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b/>
          <w:color w:val="auto"/>
          <w:sz w:val="84"/>
          <w:szCs w:val="84"/>
          <w:highlight w:val="none"/>
        </w:rPr>
      </w:pPr>
    </w:p>
    <w:p>
      <w:pPr>
        <w:snapToGrid w:val="0"/>
        <w:spacing w:before="156" w:beforeLines="50"/>
        <w:jc w:val="center"/>
        <w:rPr>
          <w:rFonts w:ascii="宋体" w:hAnsi="宋体" w:eastAsia="宋体"/>
          <w:b/>
          <w:bCs/>
          <w:color w:val="auto"/>
          <w:sz w:val="84"/>
          <w:szCs w:val="84"/>
          <w:highlight w:val="none"/>
        </w:rPr>
      </w:pPr>
      <w:r>
        <w:rPr>
          <w:rFonts w:hint="eastAsia" w:ascii="宋体" w:hAnsi="宋体" w:eastAsia="宋体"/>
          <w:b/>
          <w:color w:val="auto"/>
          <w:sz w:val="84"/>
          <w:szCs w:val="84"/>
          <w:highlight w:val="none"/>
        </w:rPr>
        <w:t>综合评审文件</w:t>
      </w:r>
    </w:p>
    <w:p>
      <w:pPr>
        <w:spacing w:line="360" w:lineRule="auto"/>
        <w:jc w:val="center"/>
        <w:rPr>
          <w:rFonts w:ascii="宋体" w:hAnsi="宋体" w:eastAsia="宋体"/>
          <w:b/>
          <w:bCs/>
          <w:color w:val="auto"/>
          <w:sz w:val="24"/>
          <w:szCs w:val="24"/>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rPr>
          <w:rFonts w:ascii="宋体" w:hAnsi="宋体" w:eastAsia="宋体"/>
          <w:color w:val="auto"/>
          <w:sz w:val="30"/>
          <w:szCs w:val="30"/>
          <w:highlight w:val="none"/>
        </w:rPr>
      </w:pPr>
    </w:p>
    <w:p>
      <w:pPr>
        <w:spacing w:line="360" w:lineRule="auto"/>
        <w:jc w:val="left"/>
        <w:rPr>
          <w:rFonts w:ascii="宋体" w:hAnsi="宋体" w:eastAsia="宋体"/>
          <w:b/>
          <w:bCs/>
          <w:color w:val="auto"/>
          <w:sz w:val="28"/>
          <w:szCs w:val="32"/>
          <w:highlight w:val="none"/>
        </w:rPr>
      </w:pPr>
      <w:r>
        <w:rPr>
          <w:rFonts w:ascii="宋体" w:hAnsi="宋体" w:eastAsia="宋体"/>
          <w:b/>
          <w:bCs/>
          <w:color w:val="auto"/>
          <w:sz w:val="28"/>
          <w:szCs w:val="32"/>
          <w:highlight w:val="none"/>
        </w:rPr>
        <w:t>采购方式：</w:t>
      </w:r>
      <w:r>
        <w:rPr>
          <w:rFonts w:hint="eastAsia" w:ascii="宋体" w:hAnsi="宋体" w:eastAsia="宋体"/>
          <w:b/>
          <w:bCs/>
          <w:color w:val="auto"/>
          <w:sz w:val="28"/>
          <w:szCs w:val="32"/>
          <w:highlight w:val="none"/>
        </w:rPr>
        <w:t>综合评审</w:t>
      </w:r>
    </w:p>
    <w:p>
      <w:pPr>
        <w:keepNext w:val="0"/>
        <w:keepLines w:val="0"/>
        <w:pageBreakBefore w:val="0"/>
        <w:widowControl w:val="0"/>
        <w:kinsoku/>
        <w:wordWrap/>
        <w:overflowPunct/>
        <w:topLinePunct w:val="0"/>
        <w:autoSpaceDE/>
        <w:autoSpaceDN/>
        <w:bidi w:val="0"/>
        <w:adjustRightInd/>
        <w:snapToGrid/>
        <w:spacing w:line="360" w:lineRule="auto"/>
        <w:ind w:left="1265" w:hanging="1265" w:hangingChars="450"/>
        <w:jc w:val="left"/>
        <w:textAlignment w:val="auto"/>
        <w:rPr>
          <w:rFonts w:ascii="宋体" w:hAnsi="宋体" w:eastAsia="宋体"/>
          <w:b/>
          <w:bCs/>
          <w:color w:val="auto"/>
          <w:sz w:val="28"/>
          <w:szCs w:val="32"/>
          <w:highlight w:val="none"/>
        </w:rPr>
      </w:pPr>
      <w:r>
        <w:rPr>
          <w:rFonts w:ascii="宋体" w:hAnsi="宋体" w:eastAsia="宋体"/>
          <w:b/>
          <w:bCs/>
          <w:color w:val="auto"/>
          <w:sz w:val="28"/>
          <w:szCs w:val="32"/>
          <w:highlight w:val="none"/>
        </w:rPr>
        <w:t>项目</w:t>
      </w:r>
      <w:r>
        <w:rPr>
          <w:rFonts w:hint="eastAsia" w:ascii="宋体" w:hAnsi="宋体" w:eastAsia="宋体"/>
          <w:b/>
          <w:bCs/>
          <w:color w:val="auto"/>
          <w:sz w:val="28"/>
          <w:szCs w:val="32"/>
          <w:highlight w:val="none"/>
        </w:rPr>
        <w:t>名称</w:t>
      </w:r>
      <w:r>
        <w:rPr>
          <w:rFonts w:ascii="宋体" w:hAnsi="宋体" w:eastAsia="宋体"/>
          <w:b/>
          <w:bCs/>
          <w:color w:val="auto"/>
          <w:sz w:val="28"/>
          <w:szCs w:val="32"/>
          <w:highlight w:val="none"/>
        </w:rPr>
        <w:t>：</w:t>
      </w:r>
      <w:r>
        <w:rPr>
          <w:rFonts w:hint="eastAsia" w:ascii="宋体" w:hAnsi="宋体" w:eastAsia="宋体"/>
          <w:b/>
          <w:bCs/>
          <w:color w:val="auto"/>
          <w:sz w:val="28"/>
          <w:szCs w:val="32"/>
          <w:highlight w:val="none"/>
          <w:lang w:val="en-US" w:eastAsia="zh-CN"/>
        </w:rPr>
        <w:t>海口海洋地质调查中心</w:t>
      </w:r>
      <w:r>
        <w:rPr>
          <w:rFonts w:hint="eastAsia" w:ascii="宋体" w:hAnsi="宋体" w:eastAsia="宋体"/>
          <w:b/>
          <w:bCs/>
          <w:color w:val="auto"/>
          <w:sz w:val="28"/>
          <w:szCs w:val="32"/>
          <w:highlight w:val="none"/>
        </w:rPr>
        <w:t>海南岛东南海域海洋能数据分析及资源量评估</w:t>
      </w:r>
    </w:p>
    <w:p>
      <w:pPr>
        <w:autoSpaceDE w:val="0"/>
        <w:autoSpaceDN w:val="0"/>
        <w:adjustRightInd w:val="0"/>
        <w:snapToGrid w:val="0"/>
        <w:spacing w:before="156" w:beforeLines="50" w:after="156" w:afterLines="50" w:line="360" w:lineRule="auto"/>
        <w:jc w:val="center"/>
        <w:rPr>
          <w:rFonts w:ascii="宋体" w:hAnsi="宋体" w:eastAsia="宋体" w:cs="华文中宋"/>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宋体" w:hAnsi="宋体" w:eastAsia="宋体" w:cs="华文中宋"/>
          <w:color w:val="auto"/>
          <w:kern w:val="0"/>
          <w:sz w:val="30"/>
          <w:szCs w:val="30"/>
          <w:highlight w:val="none"/>
        </w:rPr>
      </w:pPr>
    </w:p>
    <w:p>
      <w:pPr>
        <w:pStyle w:val="2"/>
        <w:rPr>
          <w:color w:val="auto"/>
          <w:highlight w:val="none"/>
        </w:rPr>
      </w:pPr>
    </w:p>
    <w:p>
      <w:pPr>
        <w:autoSpaceDE w:val="0"/>
        <w:autoSpaceDN w:val="0"/>
        <w:adjustRightInd w:val="0"/>
        <w:snapToGrid w:val="0"/>
        <w:spacing w:line="360" w:lineRule="auto"/>
        <w:ind w:left="420" w:firstLine="420"/>
        <w:jc w:val="center"/>
        <w:rPr>
          <w:rFonts w:ascii="宋体" w:hAnsi="宋体" w:eastAsia="宋体"/>
          <w:b/>
          <w:bCs/>
          <w:color w:val="auto"/>
          <w:sz w:val="28"/>
          <w:szCs w:val="32"/>
          <w:highlight w:val="none"/>
        </w:rPr>
      </w:pPr>
    </w:p>
    <w:p>
      <w:pPr>
        <w:autoSpaceDE w:val="0"/>
        <w:autoSpaceDN w:val="0"/>
        <w:adjustRightInd w:val="0"/>
        <w:snapToGrid w:val="0"/>
        <w:spacing w:line="360" w:lineRule="auto"/>
        <w:ind w:left="420" w:firstLine="420"/>
        <w:jc w:val="center"/>
        <w:rPr>
          <w:rFonts w:ascii="宋体" w:hAnsi="宋体" w:eastAsia="宋体"/>
          <w:b/>
          <w:bCs/>
          <w:color w:val="auto"/>
          <w:sz w:val="28"/>
          <w:szCs w:val="32"/>
          <w:highlight w:val="none"/>
        </w:rPr>
      </w:pPr>
      <w:r>
        <w:rPr>
          <w:rFonts w:hint="eastAsia" w:ascii="宋体" w:hAnsi="宋体" w:eastAsia="宋体"/>
          <w:b/>
          <w:bCs/>
          <w:color w:val="auto"/>
          <w:sz w:val="28"/>
          <w:szCs w:val="32"/>
          <w:highlight w:val="none"/>
        </w:rPr>
        <w:t>中国地质调查局海口海洋地质调查中心</w:t>
      </w:r>
    </w:p>
    <w:p>
      <w:pPr>
        <w:autoSpaceDE w:val="0"/>
        <w:autoSpaceDN w:val="0"/>
        <w:adjustRightInd w:val="0"/>
        <w:snapToGrid w:val="0"/>
        <w:spacing w:line="360" w:lineRule="auto"/>
        <w:ind w:left="420" w:firstLine="420"/>
        <w:jc w:val="center"/>
        <w:rPr>
          <w:rFonts w:ascii="宋体" w:hAnsi="宋体" w:eastAsia="宋体"/>
          <w:b/>
          <w:color w:val="auto"/>
          <w:sz w:val="28"/>
          <w:highlight w:val="none"/>
        </w:rPr>
      </w:pPr>
      <w:r>
        <w:rPr>
          <w:rFonts w:ascii="宋体" w:hAnsi="宋体" w:eastAsia="宋体"/>
          <w:b/>
          <w:color w:val="auto"/>
          <w:sz w:val="28"/>
          <w:highlight w:val="none"/>
        </w:rPr>
        <w:t>云采链（广州）信息科技有限公司</w:t>
      </w:r>
    </w:p>
    <w:p>
      <w:pPr>
        <w:autoSpaceDE w:val="0"/>
        <w:autoSpaceDN w:val="0"/>
        <w:adjustRightInd w:val="0"/>
        <w:snapToGrid w:val="0"/>
        <w:spacing w:line="360" w:lineRule="auto"/>
        <w:ind w:left="420" w:firstLine="420"/>
        <w:jc w:val="center"/>
        <w:rPr>
          <w:rFonts w:ascii="宋体" w:hAnsi="宋体" w:eastAsia="宋体"/>
          <w:b/>
          <w:color w:val="auto"/>
          <w:sz w:val="28"/>
          <w:highlight w:val="none"/>
        </w:rPr>
      </w:pPr>
      <w:r>
        <w:rPr>
          <w:rFonts w:hint="eastAsia" w:ascii="宋体" w:hAnsi="宋体" w:eastAsia="宋体"/>
          <w:b/>
          <w:color w:val="auto"/>
          <w:sz w:val="28"/>
          <w:highlight w:val="none"/>
        </w:rPr>
        <w:t>二零二四年五</w:t>
      </w:r>
      <w:r>
        <w:rPr>
          <w:rFonts w:ascii="宋体" w:hAnsi="宋体" w:eastAsia="宋体"/>
          <w:b/>
          <w:color w:val="auto"/>
          <w:sz w:val="28"/>
          <w:highlight w:val="none"/>
        </w:rPr>
        <w:t>月</w:t>
      </w:r>
    </w:p>
    <w:p>
      <w:pPr>
        <w:autoSpaceDE w:val="0"/>
        <w:autoSpaceDN w:val="0"/>
        <w:adjustRightInd w:val="0"/>
        <w:snapToGrid w:val="0"/>
        <w:spacing w:line="360" w:lineRule="auto"/>
        <w:ind w:left="420" w:firstLine="420"/>
        <w:jc w:val="center"/>
        <w:rPr>
          <w:rFonts w:ascii="宋体" w:hAnsi="宋体" w:eastAsia="宋体"/>
          <w:color w:val="auto"/>
          <w:sz w:val="28"/>
          <w:highlight w:val="none"/>
        </w:rPr>
      </w:pPr>
    </w:p>
    <w:p>
      <w:pPr>
        <w:autoSpaceDE w:val="0"/>
        <w:autoSpaceDN w:val="0"/>
        <w:adjustRightInd w:val="0"/>
        <w:snapToGrid w:val="0"/>
        <w:spacing w:line="360" w:lineRule="auto"/>
        <w:ind w:left="420" w:firstLine="420"/>
        <w:jc w:val="center"/>
        <w:rPr>
          <w:rFonts w:ascii="宋体" w:hAnsi="宋体" w:eastAsia="宋体"/>
          <w:b/>
          <w:bCs/>
          <w:color w:val="auto"/>
          <w:sz w:val="28"/>
          <w:szCs w:val="32"/>
          <w:highlight w:val="none"/>
        </w:rPr>
        <w:sectPr>
          <w:footerReference r:id="rId5" w:type="first"/>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pStyle w:val="34"/>
        <w:spacing w:before="0" w:after="0"/>
        <w:rPr>
          <w:rFonts w:ascii="宋体" w:hAnsi="宋体"/>
          <w:color w:val="auto"/>
          <w:highlight w:val="none"/>
        </w:rPr>
      </w:pPr>
      <w:r>
        <w:rPr>
          <w:rFonts w:hint="eastAsia" w:ascii="宋体" w:hAnsi="宋体"/>
          <w:color w:val="auto"/>
          <w:highlight w:val="none"/>
        </w:rPr>
        <w:t>第一章线上评审须知</w:t>
      </w:r>
    </w:p>
    <w:p>
      <w:pPr>
        <w:pStyle w:val="55"/>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本项目通过云采链线上采购一体化平台发布综合评审，响应供应商必须登录平台进行注册，注册成功后方可参与项目。</w:t>
      </w:r>
    </w:p>
    <w:p>
      <w:pPr>
        <w:pStyle w:val="55"/>
        <w:numPr>
          <w:ilvl w:val="0"/>
          <w:numId w:val="3"/>
        </w:numPr>
        <w:spacing w:line="360" w:lineRule="auto"/>
        <w:ind w:firstLineChars="0"/>
        <w:rPr>
          <w:rFonts w:ascii="宋体" w:hAnsi="宋体" w:eastAsia="宋体"/>
          <w:color w:val="auto"/>
          <w:highlight w:val="none"/>
        </w:rPr>
      </w:pPr>
      <w:r>
        <w:rPr>
          <w:rFonts w:ascii="宋体" w:hAnsi="宋体" w:eastAsia="宋体"/>
          <w:color w:val="auto"/>
          <w:highlight w:val="none"/>
        </w:rPr>
        <w:t>语言要求</w:t>
      </w:r>
    </w:p>
    <w:p>
      <w:pPr>
        <w:spacing w:line="360" w:lineRule="auto"/>
        <w:ind w:left="420" w:leftChars="200"/>
        <w:rPr>
          <w:rFonts w:ascii="宋体" w:hAnsi="宋体" w:eastAsia="宋体"/>
          <w:color w:val="auto"/>
          <w:highlight w:val="none"/>
        </w:rPr>
      </w:pPr>
      <w:r>
        <w:rPr>
          <w:rFonts w:ascii="宋体" w:hAnsi="宋体" w:eastAsia="宋体"/>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55"/>
        <w:numPr>
          <w:ilvl w:val="0"/>
          <w:numId w:val="3"/>
        </w:numPr>
        <w:spacing w:line="360" w:lineRule="auto"/>
        <w:ind w:firstLineChars="0"/>
        <w:rPr>
          <w:rFonts w:ascii="宋体" w:hAnsi="宋体" w:eastAsia="宋体"/>
          <w:b/>
          <w:bCs/>
          <w:color w:val="auto"/>
          <w:highlight w:val="none"/>
        </w:rPr>
      </w:pPr>
      <w:r>
        <w:rPr>
          <w:rFonts w:hint="eastAsia" w:ascii="宋体" w:hAnsi="宋体" w:eastAsia="宋体"/>
          <w:b/>
          <w:bCs/>
          <w:color w:val="auto"/>
          <w:szCs w:val="21"/>
          <w:highlight w:val="none"/>
        </w:rPr>
        <w:t>在云采链平台参与项目响应后放弃成交资格超过三次（含三次）的供应商连同该供应商同一法人名下所有公司将被列入平台黑名单，永久不得参与平台的项目。</w:t>
      </w:r>
    </w:p>
    <w:p>
      <w:pPr>
        <w:pStyle w:val="55"/>
        <w:numPr>
          <w:ilvl w:val="0"/>
          <w:numId w:val="3"/>
        </w:numPr>
        <w:spacing w:line="360" w:lineRule="auto"/>
        <w:ind w:firstLineChars="0"/>
        <w:rPr>
          <w:rFonts w:ascii="宋体" w:hAnsi="宋体" w:eastAsia="宋体"/>
          <w:color w:val="auto"/>
          <w:highlight w:val="none"/>
        </w:rPr>
      </w:pPr>
      <w:r>
        <w:rPr>
          <w:rFonts w:hint="eastAsia" w:ascii="宋体" w:hAnsi="宋体" w:eastAsia="宋体"/>
          <w:color w:val="auto"/>
          <w:highlight w:val="none"/>
        </w:rPr>
        <w:t>综合评审须知</w:t>
      </w:r>
    </w:p>
    <w:p>
      <w:pPr>
        <w:pStyle w:val="55"/>
        <w:numPr>
          <w:ilvl w:val="0"/>
          <w:numId w:val="4"/>
        </w:numPr>
        <w:spacing w:line="360" w:lineRule="auto"/>
        <w:ind w:firstLineChars="0"/>
        <w:rPr>
          <w:rFonts w:ascii="宋体" w:hAnsi="宋体" w:eastAsia="宋体"/>
          <w:b/>
          <w:color w:val="auto"/>
          <w:highlight w:val="none"/>
        </w:rPr>
      </w:pPr>
      <w:r>
        <w:rPr>
          <w:rStyle w:val="39"/>
          <w:rFonts w:hint="eastAsia" w:ascii="宋体" w:hAnsi="宋体" w:eastAsia="宋体"/>
          <w:bCs w:val="0"/>
          <w:color w:val="auto"/>
          <w:highlight w:val="none"/>
        </w:rPr>
        <w:t>综合评审说明</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参与综合评审的供应商应承担所有与准备和参加项目有关的费用</w:t>
      </w:r>
      <w:r>
        <w:rPr>
          <w:rFonts w:hint="eastAsia" w:ascii="宋体" w:hAnsi="宋体" w:eastAsia="宋体" w:cs="宋体"/>
          <w:color w:val="auto"/>
          <w:szCs w:val="21"/>
          <w:highlight w:val="none"/>
        </w:rPr>
        <w:t>，不</w:t>
      </w:r>
      <w:r>
        <w:rPr>
          <w:rFonts w:hint="eastAsia" w:ascii="宋体" w:hAnsi="宋体" w:eastAsia="宋体" w:cs="宋体"/>
          <w:color w:val="auto"/>
          <w:szCs w:val="21"/>
          <w:highlight w:val="none"/>
          <w:lang w:eastAsia="zh-TW"/>
        </w:rPr>
        <w:t>论</w:t>
      </w:r>
      <w:r>
        <w:rPr>
          <w:rFonts w:hint="eastAsia" w:ascii="宋体" w:hAnsi="宋体" w:eastAsia="宋体" w:cs="宋体"/>
          <w:color w:val="auto"/>
          <w:szCs w:val="21"/>
          <w:highlight w:val="none"/>
        </w:rPr>
        <w:t>综合评审</w:t>
      </w:r>
      <w:r>
        <w:rPr>
          <w:rFonts w:hint="eastAsia" w:ascii="宋体" w:hAnsi="宋体" w:eastAsia="宋体" w:cs="宋体"/>
          <w:color w:val="auto"/>
          <w:szCs w:val="21"/>
          <w:highlight w:val="none"/>
          <w:lang w:eastAsia="zh-TW"/>
        </w:rPr>
        <w:t>的</w:t>
      </w:r>
    </w:p>
    <w:p>
      <w:pPr>
        <w:pStyle w:val="55"/>
        <w:tabs>
          <w:tab w:val="left" w:pos="851"/>
        </w:tabs>
        <w:autoSpaceDE w:val="0"/>
        <w:autoSpaceDN w:val="0"/>
        <w:adjustRightInd w:val="0"/>
        <w:snapToGrid w:val="0"/>
        <w:spacing w:line="360" w:lineRule="auto"/>
        <w:ind w:left="420" w:firstLine="210" w:firstLineChars="100"/>
        <w:rPr>
          <w:rFonts w:ascii="宋体" w:hAnsi="宋体" w:eastAsia="宋体"/>
          <w:color w:val="auto"/>
          <w:highlight w:val="none"/>
        </w:rPr>
      </w:pPr>
      <w:r>
        <w:rPr>
          <w:rFonts w:hint="eastAsia" w:ascii="宋体" w:hAnsi="宋体" w:eastAsia="宋体" w:cs="宋体"/>
          <w:color w:val="auto"/>
          <w:szCs w:val="21"/>
          <w:highlight w:val="none"/>
          <w:lang w:eastAsia="zh-TW"/>
        </w:rPr>
        <w:t>结果如何</w:t>
      </w:r>
      <w:r>
        <w:rPr>
          <w:rFonts w:hint="eastAsia" w:ascii="宋体" w:hAnsi="宋体" w:eastAsia="宋体" w:cs="宋体"/>
          <w:color w:val="auto"/>
          <w:szCs w:val="21"/>
          <w:highlight w:val="none"/>
        </w:rPr>
        <w:t>，采购</w:t>
      </w:r>
      <w:r>
        <w:rPr>
          <w:rFonts w:hint="eastAsia" w:ascii="宋体" w:hAnsi="宋体" w:eastAsia="宋体" w:cs="宋体"/>
          <w:color w:val="auto"/>
          <w:szCs w:val="21"/>
          <w:highlight w:val="none"/>
          <w:lang w:eastAsia="zh-TW"/>
        </w:rPr>
        <w:t>人</w:t>
      </w:r>
      <w:r>
        <w:rPr>
          <w:rFonts w:hint="eastAsia" w:ascii="宋体" w:hAnsi="宋体" w:eastAsia="宋体" w:cs="宋体"/>
          <w:color w:val="auto"/>
          <w:szCs w:val="21"/>
          <w:highlight w:val="none"/>
        </w:rPr>
        <w:t>和</w:t>
      </w:r>
      <w:r>
        <w:rPr>
          <w:rFonts w:hint="eastAsia" w:ascii="宋体" w:hAnsi="宋体" w:eastAsia="宋体" w:cs="宋体"/>
          <w:color w:val="auto"/>
          <w:szCs w:val="21"/>
          <w:highlight w:val="none"/>
          <w:lang w:eastAsia="zh-TW"/>
        </w:rPr>
        <w:t>代理机构均无义务和责任承担这些费用</w:t>
      </w:r>
      <w:r>
        <w:rPr>
          <w:rFonts w:hint="eastAsia" w:ascii="宋体" w:hAnsi="宋体" w:eastAsia="宋体" w:cs="宋体"/>
          <w:color w:val="auto"/>
          <w:szCs w:val="21"/>
          <w:highlight w:val="none"/>
        </w:rPr>
        <w:t>。</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参与综合评审的供应商必须按综合评审附件的格式填写，不得随意增加或删除表格</w:t>
      </w:r>
    </w:p>
    <w:p>
      <w:pPr>
        <w:pStyle w:val="55"/>
        <w:tabs>
          <w:tab w:val="left" w:pos="851"/>
        </w:tabs>
        <w:autoSpaceDE w:val="0"/>
        <w:autoSpaceDN w:val="0"/>
        <w:adjustRightInd w:val="0"/>
        <w:snapToGrid w:val="0"/>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内容。除单价、金额或项目要求填写的内容外，不得擅自改动综合评审附件内容，否则将有可能影响成交结果，不推荐为成交候选人。</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若成交供应商自身原因无法完成本项目，则采购人有权利保留追究责任。</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成交供应商因自身原因被取消成交资格，采购人可重新启动采购或按综合评审公告</w:t>
      </w:r>
    </w:p>
    <w:p>
      <w:pPr>
        <w:pStyle w:val="55"/>
        <w:tabs>
          <w:tab w:val="left" w:pos="851"/>
        </w:tabs>
        <w:autoSpaceDE w:val="0"/>
        <w:autoSpaceDN w:val="0"/>
        <w:adjustRightInd w:val="0"/>
        <w:snapToGrid w:val="0"/>
        <w:spacing w:line="360" w:lineRule="auto"/>
        <w:ind w:left="420" w:firstLine="210" w:firstLineChars="100"/>
        <w:rPr>
          <w:rFonts w:ascii="宋体" w:hAnsi="宋体" w:eastAsia="宋体"/>
          <w:color w:val="auto"/>
          <w:szCs w:val="21"/>
          <w:highlight w:val="none"/>
        </w:rPr>
      </w:pPr>
      <w:r>
        <w:rPr>
          <w:rFonts w:hint="eastAsia" w:ascii="宋体" w:hAnsi="宋体" w:eastAsia="宋体"/>
          <w:color w:val="auto"/>
          <w:szCs w:val="21"/>
          <w:highlight w:val="none"/>
        </w:rPr>
        <w:t>规定顺延推选符合要求的供应商作为成交供应商。</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若本项目综合评审采购失败，采购人将重新采购，届时采购人有权根据项目具体情</w:t>
      </w:r>
    </w:p>
    <w:p>
      <w:pPr>
        <w:pStyle w:val="55"/>
        <w:tabs>
          <w:tab w:val="left" w:pos="851"/>
        </w:tabs>
        <w:autoSpaceDE w:val="0"/>
        <w:autoSpaceDN w:val="0"/>
        <w:adjustRightInd w:val="0"/>
        <w:snapToGrid w:val="0"/>
        <w:spacing w:line="360" w:lineRule="auto"/>
        <w:ind w:left="420" w:firstLine="210" w:firstLineChars="100"/>
        <w:rPr>
          <w:rFonts w:ascii="宋体" w:hAnsi="宋体" w:eastAsia="宋体"/>
          <w:color w:val="auto"/>
          <w:szCs w:val="21"/>
          <w:highlight w:val="none"/>
        </w:rPr>
      </w:pPr>
      <w:r>
        <w:rPr>
          <w:rFonts w:hint="eastAsia" w:ascii="宋体" w:hAnsi="宋体" w:eastAsia="宋体"/>
          <w:color w:val="auto"/>
          <w:szCs w:val="21"/>
          <w:highlight w:val="none"/>
        </w:rPr>
        <w:t>况，决定重新采购项目的采购方式。</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成交供应商若无正当理由恶意放弃成交资格，采购人有权拒绝其参加本项目重新组</w:t>
      </w:r>
    </w:p>
    <w:p>
      <w:pPr>
        <w:pStyle w:val="55"/>
        <w:tabs>
          <w:tab w:val="left" w:pos="851"/>
        </w:tabs>
        <w:autoSpaceDE w:val="0"/>
        <w:autoSpaceDN w:val="0"/>
        <w:adjustRightInd w:val="0"/>
        <w:snapToGrid w:val="0"/>
        <w:spacing w:line="360" w:lineRule="auto"/>
        <w:ind w:left="420" w:firstLine="210" w:firstLineChars="100"/>
        <w:rPr>
          <w:rFonts w:ascii="宋体" w:hAnsi="宋体" w:eastAsia="宋体"/>
          <w:color w:val="auto"/>
          <w:szCs w:val="21"/>
          <w:highlight w:val="none"/>
        </w:rPr>
      </w:pPr>
      <w:r>
        <w:rPr>
          <w:rFonts w:hint="eastAsia" w:ascii="宋体" w:hAnsi="宋体" w:eastAsia="宋体"/>
          <w:color w:val="auto"/>
          <w:szCs w:val="21"/>
          <w:highlight w:val="none"/>
        </w:rPr>
        <w:t>织的综合评审采购活动，并将其列入单位黑名单，不得参与单位后续其他项目。</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如采购人或代理机构在审核或复核参与综合评审的供应商所提交的综合评审资料时，</w:t>
      </w:r>
    </w:p>
    <w:p>
      <w:pPr>
        <w:pStyle w:val="55"/>
        <w:tabs>
          <w:tab w:val="left" w:pos="851"/>
        </w:tabs>
        <w:autoSpaceDE w:val="0"/>
        <w:autoSpaceDN w:val="0"/>
        <w:adjustRightInd w:val="0"/>
        <w:snapToGrid w:val="0"/>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供应商须无条件配合；期间若发现存在弄虚作假或相关的失信记录或违反国家法律法规等相关的不良情形，采购人可取消其成交资格并保留追究责任的权力。</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参与综合评审的供应商向我司咨询的有关项目事项，一切以综合评审文件规定和综</w:t>
      </w:r>
    </w:p>
    <w:p>
      <w:pPr>
        <w:pStyle w:val="55"/>
        <w:tabs>
          <w:tab w:val="left" w:pos="851"/>
        </w:tabs>
        <w:autoSpaceDE w:val="0"/>
        <w:autoSpaceDN w:val="0"/>
        <w:adjustRightInd w:val="0"/>
        <w:snapToGrid w:val="0"/>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合评审公告规定以及本公司的书面答复为准，其他一切形式均为个人意见，不代表本公司的意见。</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参与本次综合评审的供应商应认真阅读、并充分理解综合评审文件的全部内容（包</w:t>
      </w:r>
    </w:p>
    <w:p>
      <w:pPr>
        <w:pStyle w:val="55"/>
        <w:tabs>
          <w:tab w:val="left" w:pos="851"/>
        </w:tabs>
        <w:autoSpaceDE w:val="0"/>
        <w:autoSpaceDN w:val="0"/>
        <w:adjustRightInd w:val="0"/>
        <w:snapToGrid w:val="0"/>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括所有的补充、修改内容重要事项、格式、条款、服务要求和技术规范、参数及要求等）。供应商没有按照综合评审文件要求提交全部资料，或者参与项目所上传的文件没有对综合评审文件在各方面都作出实质性响应是供应商的风险，有可能导致其参与评审项目被拒绝，或被认定为无效响应。</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采购人有权拒绝接受任何不合格的货物或服务，由此产生的费用及相关后果均由成</w:t>
      </w:r>
    </w:p>
    <w:p>
      <w:pPr>
        <w:pStyle w:val="55"/>
        <w:tabs>
          <w:tab w:val="left" w:pos="851"/>
        </w:tabs>
        <w:autoSpaceDE w:val="0"/>
        <w:autoSpaceDN w:val="0"/>
        <w:adjustRightInd w:val="0"/>
        <w:snapToGrid w:val="0"/>
        <w:spacing w:line="360" w:lineRule="auto"/>
        <w:ind w:left="420"/>
        <w:rPr>
          <w:rFonts w:ascii="宋体" w:hAnsi="宋体" w:eastAsia="宋体"/>
          <w:color w:val="auto"/>
          <w:szCs w:val="21"/>
          <w:highlight w:val="none"/>
        </w:rPr>
      </w:pPr>
      <w:r>
        <w:rPr>
          <w:rFonts w:hint="eastAsia" w:ascii="宋体" w:hAnsi="宋体" w:eastAsia="宋体"/>
          <w:color w:val="auto"/>
          <w:szCs w:val="21"/>
          <w:highlight w:val="none"/>
        </w:rPr>
        <w:t>交供应商自行承担。</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供应商认为评审结果损害其权益的，应按照云采链平台相关指引在规定的时间内向</w:t>
      </w:r>
    </w:p>
    <w:p>
      <w:pPr>
        <w:pStyle w:val="55"/>
        <w:tabs>
          <w:tab w:val="left" w:pos="851"/>
        </w:tabs>
        <w:autoSpaceDE w:val="0"/>
        <w:autoSpaceDN w:val="0"/>
        <w:adjustRightInd w:val="0"/>
        <w:snapToGrid w:val="0"/>
        <w:spacing w:line="360" w:lineRule="auto"/>
        <w:ind w:left="420"/>
        <w:rPr>
          <w:rFonts w:ascii="宋体" w:hAnsi="宋体" w:eastAsia="宋体"/>
          <w:color w:val="auto"/>
          <w:szCs w:val="21"/>
          <w:highlight w:val="none"/>
        </w:rPr>
      </w:pPr>
      <w:r>
        <w:rPr>
          <w:rFonts w:hint="eastAsia" w:ascii="宋体" w:hAnsi="宋体" w:eastAsia="宋体"/>
          <w:color w:val="auto"/>
          <w:szCs w:val="21"/>
          <w:highlight w:val="none"/>
        </w:rPr>
        <w:t>采购人或代理机构提交书面质疑，不提交的视为无异议，逾期提交将不予受理。</w:t>
      </w:r>
    </w:p>
    <w:p>
      <w:pPr>
        <w:pStyle w:val="55"/>
        <w:numPr>
          <w:ilvl w:val="0"/>
          <w:numId w:val="5"/>
        </w:numPr>
        <w:tabs>
          <w:tab w:val="left" w:pos="851"/>
        </w:tabs>
        <w:autoSpaceDE w:val="0"/>
        <w:autoSpaceDN w:val="0"/>
        <w:adjustRightInd w:val="0"/>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本综合评审公告和综合评审文件的解释权归“云采链线上采购一体化平台”所有。</w:t>
      </w:r>
    </w:p>
    <w:p>
      <w:pPr>
        <w:pStyle w:val="55"/>
        <w:numPr>
          <w:ilvl w:val="0"/>
          <w:numId w:val="4"/>
        </w:numPr>
        <w:spacing w:line="360" w:lineRule="auto"/>
        <w:ind w:firstLineChars="0"/>
        <w:rPr>
          <w:rFonts w:ascii="宋体" w:hAnsi="宋体" w:eastAsia="宋体"/>
          <w:color w:val="auto"/>
          <w:highlight w:val="none"/>
        </w:rPr>
      </w:pPr>
      <w:r>
        <w:rPr>
          <w:rFonts w:hint="eastAsia" w:ascii="宋体" w:hAnsi="宋体" w:eastAsia="宋体"/>
          <w:b/>
          <w:color w:val="auto"/>
          <w:highlight w:val="none"/>
        </w:rPr>
        <w:t>综合评审文件的澄清或修改</w:t>
      </w:r>
    </w:p>
    <w:p>
      <w:pPr>
        <w:pStyle w:val="55"/>
        <w:numPr>
          <w:ilvl w:val="0"/>
          <w:numId w:val="6"/>
        </w:numPr>
        <w:tabs>
          <w:tab w:val="left" w:pos="851"/>
        </w:tabs>
        <w:autoSpaceDE w:val="0"/>
        <w:autoSpaceDN w:val="0"/>
        <w:adjustRightInd w:val="0"/>
        <w:snapToGrid w:val="0"/>
        <w:spacing w:line="360" w:lineRule="auto"/>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采购人或者采购代理机构可以对已发出的综合评审文件进行必要的澄清或者修改。</w:t>
      </w:r>
    </w:p>
    <w:p>
      <w:pPr>
        <w:pStyle w:val="55"/>
        <w:tabs>
          <w:tab w:val="left" w:pos="851"/>
        </w:tabs>
        <w:autoSpaceDE w:val="0"/>
        <w:autoSpaceDN w:val="0"/>
        <w:adjustRightInd w:val="0"/>
        <w:snapToGrid w:val="0"/>
        <w:spacing w:line="360" w:lineRule="auto"/>
        <w:ind w:left="420"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澄清或者修改的内容将在云采链平台上发布澄清（更正/变更）公告。</w:t>
      </w:r>
    </w:p>
    <w:p>
      <w:pPr>
        <w:pStyle w:val="55"/>
        <w:numPr>
          <w:ilvl w:val="0"/>
          <w:numId w:val="6"/>
        </w:numPr>
        <w:tabs>
          <w:tab w:val="left" w:pos="851"/>
        </w:tabs>
        <w:autoSpaceDE w:val="0"/>
        <w:autoSpaceDN w:val="0"/>
        <w:adjustRightInd w:val="0"/>
        <w:snapToGrid w:val="0"/>
        <w:spacing w:line="360" w:lineRule="auto"/>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无论澄清或者修改的内容是否影响综合评审，平台将以短信形式通知所有的报名供</w:t>
      </w:r>
    </w:p>
    <w:p>
      <w:pPr>
        <w:pStyle w:val="55"/>
        <w:tabs>
          <w:tab w:val="left" w:pos="851"/>
        </w:tabs>
        <w:autoSpaceDE w:val="0"/>
        <w:autoSpaceDN w:val="0"/>
        <w:adjustRightInd w:val="0"/>
        <w:snapToGrid w:val="0"/>
        <w:spacing w:line="360" w:lineRule="auto"/>
        <w:ind w:left="630" w:leftChars="300" w:firstLine="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应商；报名供应商应按要求履行相应的义务；如报名截止时间少于一个工作日的，采购人或者采购代理机构应当相应顺延报名的截止时间。</w:t>
      </w:r>
    </w:p>
    <w:p>
      <w:pPr>
        <w:pStyle w:val="55"/>
        <w:numPr>
          <w:ilvl w:val="0"/>
          <w:numId w:val="6"/>
        </w:numPr>
        <w:tabs>
          <w:tab w:val="left" w:pos="851"/>
        </w:tabs>
        <w:autoSpaceDE w:val="0"/>
        <w:autoSpaceDN w:val="0"/>
        <w:adjustRightInd w:val="0"/>
        <w:snapToGrid w:val="0"/>
        <w:spacing w:line="360" w:lineRule="auto"/>
        <w:ind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采购人或者采购代理机构发出的澄清或修改（更正/变更）的内容为综合评审文件的</w:t>
      </w:r>
    </w:p>
    <w:p>
      <w:pPr>
        <w:pStyle w:val="55"/>
        <w:numPr>
          <w:ilvl w:val="0"/>
          <w:numId w:val="0"/>
        </w:numPr>
        <w:tabs>
          <w:tab w:val="left" w:pos="851"/>
        </w:tabs>
        <w:autoSpaceDE w:val="0"/>
        <w:autoSpaceDN w:val="0"/>
        <w:adjustRightInd w:val="0"/>
        <w:snapToGrid w:val="0"/>
        <w:spacing w:line="360" w:lineRule="auto"/>
        <w:ind w:left="420" w:leftChars="0"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组成部分，并对供应商具有约束力。</w:t>
      </w:r>
    </w:p>
    <w:p>
      <w:pPr>
        <w:pStyle w:val="55"/>
        <w:numPr>
          <w:ilvl w:val="0"/>
          <w:numId w:val="4"/>
        </w:numPr>
        <w:spacing w:line="360" w:lineRule="auto"/>
        <w:ind w:firstLineChars="0"/>
        <w:rPr>
          <w:rStyle w:val="39"/>
          <w:rFonts w:ascii="宋体" w:hAnsi="宋体" w:eastAsia="宋体"/>
          <w:bCs w:val="0"/>
          <w:color w:val="auto"/>
          <w:highlight w:val="none"/>
        </w:rPr>
      </w:pPr>
      <w:r>
        <w:rPr>
          <w:rStyle w:val="39"/>
          <w:rFonts w:hint="eastAsia" w:ascii="宋体" w:hAnsi="宋体" w:eastAsia="宋体"/>
          <w:bCs w:val="0"/>
          <w:color w:val="auto"/>
          <w:highlight w:val="none"/>
        </w:rPr>
        <w:t>报名要求（</w:t>
      </w:r>
      <w:r>
        <w:rPr>
          <w:rFonts w:hint="eastAsia" w:ascii="宋体" w:hAnsi="宋体" w:eastAsia="宋体"/>
          <w:color w:val="auto"/>
          <w:szCs w:val="21"/>
          <w:highlight w:val="none"/>
        </w:rPr>
        <w:t>参与综合评审的</w:t>
      </w:r>
      <w:r>
        <w:rPr>
          <w:rStyle w:val="39"/>
          <w:rFonts w:hint="eastAsia" w:ascii="宋体" w:hAnsi="宋体" w:eastAsia="宋体"/>
          <w:bCs w:val="0"/>
          <w:color w:val="auto"/>
          <w:highlight w:val="none"/>
        </w:rPr>
        <w:t>供应商资质要求:</w:t>
      </w:r>
      <w:r>
        <w:rPr>
          <w:rStyle w:val="39"/>
          <w:rFonts w:hint="eastAsia" w:ascii="宋体" w:hAnsi="宋体" w:eastAsia="宋体"/>
          <w:b w:val="0"/>
          <w:color w:val="auto"/>
          <w:szCs w:val="21"/>
          <w:highlight w:val="none"/>
        </w:rPr>
        <w:t xml:space="preserve"> 报名时需要提供以下</w:t>
      </w:r>
      <w:r>
        <w:rPr>
          <w:rStyle w:val="39"/>
          <w:rFonts w:hint="eastAsia" w:ascii="宋体" w:hAnsi="宋体" w:eastAsia="宋体"/>
          <w:color w:val="auto"/>
          <w:szCs w:val="21"/>
          <w:highlight w:val="none"/>
          <w:u w:val="double"/>
        </w:rPr>
        <w:t>盖章</w:t>
      </w:r>
      <w:r>
        <w:rPr>
          <w:rStyle w:val="39"/>
          <w:rFonts w:hint="eastAsia" w:ascii="宋体" w:hAnsi="宋体" w:eastAsia="宋体"/>
          <w:b w:val="0"/>
          <w:color w:val="auto"/>
          <w:szCs w:val="21"/>
          <w:highlight w:val="none"/>
        </w:rPr>
        <w:t>资料，</w:t>
      </w:r>
      <w:r>
        <w:rPr>
          <w:rFonts w:hint="eastAsia" w:ascii="宋体" w:hAnsi="宋体" w:eastAsia="宋体"/>
          <w:color w:val="auto"/>
          <w:szCs w:val="21"/>
          <w:highlight w:val="none"/>
        </w:rPr>
        <w:t>并对上传的报名文件资料承担责任</w:t>
      </w:r>
      <w:r>
        <w:rPr>
          <w:rStyle w:val="39"/>
          <w:rFonts w:hint="eastAsia" w:ascii="宋体" w:hAnsi="宋体" w:eastAsia="宋体"/>
          <w:bCs w:val="0"/>
          <w:color w:val="auto"/>
          <w:highlight w:val="none"/>
        </w:rPr>
        <w:t>）</w:t>
      </w:r>
    </w:p>
    <w:p>
      <w:pPr>
        <w:pStyle w:val="55"/>
        <w:widowControl/>
        <w:numPr>
          <w:ilvl w:val="0"/>
          <w:numId w:val="7"/>
        </w:numPr>
        <w:spacing w:line="360" w:lineRule="auto"/>
        <w:ind w:firstLineChars="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供应商提供在中华人民共和国境内注册的法人或其他组织的营业执照或事业单位法</w:t>
      </w:r>
    </w:p>
    <w:p>
      <w:pPr>
        <w:widowControl/>
        <w:spacing w:line="360" w:lineRule="auto"/>
        <w:ind w:left="630" w:leftChars="300"/>
        <w:jc w:val="left"/>
        <w:rPr>
          <w:rFonts w:ascii="宋体" w:hAnsi="宋体" w:eastAsia="宋体" w:cs="宋体"/>
          <w:color w:val="auto"/>
          <w:kern w:val="0"/>
          <w:szCs w:val="20"/>
          <w:highlight w:val="none"/>
        </w:rPr>
      </w:pPr>
      <w:r>
        <w:rPr>
          <w:rFonts w:hint="eastAsia" w:ascii="宋体" w:hAnsi="宋体" w:eastAsia="宋体" w:cs="宋体"/>
          <w:color w:val="auto"/>
          <w:kern w:val="0"/>
          <w:szCs w:val="20"/>
          <w:highlight w:val="none"/>
        </w:rPr>
        <w:t>人证书或社会团体法人登记证书复印件</w:t>
      </w:r>
      <w:r>
        <w:rPr>
          <w:rFonts w:hint="eastAsia" w:ascii="宋体" w:hAnsi="宋体" w:eastAsia="宋体"/>
          <w:color w:val="auto"/>
          <w:szCs w:val="20"/>
          <w:highlight w:val="none"/>
        </w:rPr>
        <w:t>；</w:t>
      </w:r>
      <w:r>
        <w:rPr>
          <w:rFonts w:hint="eastAsia" w:ascii="宋体" w:hAnsi="宋体" w:eastAsia="宋体" w:cs="宋体"/>
          <w:color w:val="auto"/>
          <w:kern w:val="0"/>
          <w:szCs w:val="20"/>
          <w:highlight w:val="none"/>
        </w:rPr>
        <w:t>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55"/>
        <w:widowControl/>
        <w:numPr>
          <w:ilvl w:val="0"/>
          <w:numId w:val="7"/>
        </w:numPr>
        <w:spacing w:line="360" w:lineRule="auto"/>
        <w:ind w:firstLineChars="0"/>
        <w:jc w:val="left"/>
        <w:rPr>
          <w:rFonts w:ascii="宋体" w:hAnsi="宋体" w:eastAsia="宋体"/>
          <w:color w:val="auto"/>
          <w:kern w:val="0"/>
          <w:szCs w:val="21"/>
          <w:highlight w:val="none"/>
          <w:lang w:eastAsia="zh-TW"/>
        </w:rPr>
      </w:pPr>
      <w:r>
        <w:rPr>
          <w:rFonts w:ascii="宋体" w:hAnsi="宋体" w:eastAsia="宋体"/>
          <w:color w:val="auto"/>
          <w:kern w:val="0"/>
          <w:szCs w:val="21"/>
          <w:highlight w:val="none"/>
          <w:lang w:eastAsia="zh-TW"/>
        </w:rPr>
        <w:t>供应商符合《中华人民共和国政府采购法》的第二十二条规定，本项目不允许分包，</w:t>
      </w:r>
    </w:p>
    <w:p>
      <w:pPr>
        <w:pStyle w:val="55"/>
        <w:widowControl/>
        <w:spacing w:line="360" w:lineRule="auto"/>
        <w:ind w:left="420" w:firstLine="210" w:firstLineChars="100"/>
        <w:jc w:val="left"/>
        <w:rPr>
          <w:rFonts w:ascii="宋体" w:hAnsi="宋体" w:eastAsia="宋体"/>
          <w:color w:val="auto"/>
          <w:kern w:val="0"/>
          <w:szCs w:val="21"/>
          <w:highlight w:val="none"/>
          <w:lang w:eastAsia="zh-TW"/>
        </w:rPr>
      </w:pPr>
      <w:r>
        <w:rPr>
          <w:rFonts w:ascii="宋体" w:hAnsi="宋体" w:eastAsia="宋体"/>
          <w:color w:val="auto"/>
          <w:kern w:val="0"/>
          <w:szCs w:val="21"/>
          <w:highlight w:val="none"/>
          <w:lang w:eastAsia="zh-TW"/>
        </w:rPr>
        <w:t>不接受联合竞价；提供供应商资格声明函，格式详见附件。</w:t>
      </w:r>
    </w:p>
    <w:p>
      <w:pPr>
        <w:pStyle w:val="55"/>
        <w:numPr>
          <w:ilvl w:val="0"/>
          <w:numId w:val="4"/>
        </w:numPr>
        <w:spacing w:line="360" w:lineRule="auto"/>
        <w:ind w:firstLineChars="0"/>
        <w:rPr>
          <w:rStyle w:val="39"/>
          <w:rFonts w:ascii="宋体" w:hAnsi="宋体" w:eastAsia="宋体"/>
          <w:bCs w:val="0"/>
          <w:color w:val="auto"/>
          <w:highlight w:val="none"/>
        </w:rPr>
      </w:pPr>
      <w:r>
        <w:rPr>
          <w:rStyle w:val="39"/>
          <w:rFonts w:hint="eastAsia" w:ascii="宋体" w:hAnsi="宋体" w:eastAsia="宋体"/>
          <w:bCs w:val="0"/>
          <w:color w:val="auto"/>
          <w:highlight w:val="none"/>
        </w:rPr>
        <w:t>报价要求</w:t>
      </w:r>
      <w:r>
        <w:rPr>
          <w:rStyle w:val="39"/>
          <w:rFonts w:hint="eastAsia" w:ascii="宋体" w:hAnsi="宋体" w:eastAsia="宋体"/>
          <w:color w:val="auto"/>
          <w:szCs w:val="21"/>
          <w:highlight w:val="none"/>
        </w:rPr>
        <w:t>（</w:t>
      </w:r>
      <w:r>
        <w:rPr>
          <w:rStyle w:val="39"/>
          <w:rFonts w:hint="eastAsia" w:ascii="宋体" w:hAnsi="宋体" w:eastAsia="宋体"/>
          <w:b w:val="0"/>
          <w:color w:val="auto"/>
          <w:szCs w:val="21"/>
          <w:highlight w:val="none"/>
        </w:rPr>
        <w:t>报价时需要提供以下</w:t>
      </w:r>
      <w:r>
        <w:rPr>
          <w:rStyle w:val="39"/>
          <w:rFonts w:hint="eastAsia" w:ascii="宋体" w:hAnsi="宋体" w:eastAsia="宋体"/>
          <w:color w:val="auto"/>
          <w:szCs w:val="21"/>
          <w:highlight w:val="none"/>
          <w:u w:val="double"/>
        </w:rPr>
        <w:t>盖章</w:t>
      </w:r>
      <w:r>
        <w:rPr>
          <w:rStyle w:val="39"/>
          <w:rFonts w:hint="eastAsia" w:ascii="宋体" w:hAnsi="宋体" w:eastAsia="宋体"/>
          <w:b w:val="0"/>
          <w:color w:val="auto"/>
          <w:szCs w:val="21"/>
          <w:highlight w:val="none"/>
        </w:rPr>
        <w:t>资料，</w:t>
      </w:r>
      <w:r>
        <w:rPr>
          <w:rFonts w:hint="eastAsia" w:ascii="宋体" w:hAnsi="宋体" w:eastAsia="宋体"/>
          <w:color w:val="auto"/>
          <w:szCs w:val="21"/>
          <w:highlight w:val="none"/>
        </w:rPr>
        <w:t>并对上传的响应文件资料承担责任</w:t>
      </w:r>
      <w:r>
        <w:rPr>
          <w:rStyle w:val="39"/>
          <w:rFonts w:hint="eastAsia" w:ascii="宋体" w:hAnsi="宋体" w:eastAsia="宋体"/>
          <w:color w:val="auto"/>
          <w:szCs w:val="21"/>
          <w:highlight w:val="none"/>
        </w:rPr>
        <w:t>）</w:t>
      </w:r>
    </w:p>
    <w:p>
      <w:pPr>
        <w:pStyle w:val="55"/>
        <w:numPr>
          <w:ilvl w:val="0"/>
          <w:numId w:val="8"/>
        </w:numPr>
        <w:spacing w:line="360" w:lineRule="auto"/>
        <w:ind w:firstLineChars="0"/>
        <w:rPr>
          <w:rFonts w:ascii="宋体" w:hAnsi="宋体" w:eastAsia="宋体"/>
          <w:color w:val="auto"/>
          <w:highlight w:val="none"/>
        </w:rPr>
      </w:pPr>
      <w:r>
        <w:rPr>
          <w:rFonts w:hint="eastAsia" w:ascii="宋体" w:hAnsi="宋体" w:eastAsia="宋体"/>
          <w:color w:val="auto"/>
          <w:szCs w:val="21"/>
          <w:highlight w:val="none"/>
        </w:rPr>
        <w:t>通过报名供应商应根据本公告要求，在规定的时间内对采购项目进行响应，同时按</w:t>
      </w:r>
    </w:p>
    <w:p>
      <w:pPr>
        <w:pStyle w:val="55"/>
        <w:spacing w:line="360" w:lineRule="auto"/>
        <w:ind w:left="420" w:firstLine="210" w:firstLineChars="100"/>
        <w:rPr>
          <w:rFonts w:ascii="宋体" w:hAnsi="宋体" w:eastAsia="宋体"/>
          <w:color w:val="auto"/>
          <w:highlight w:val="none"/>
        </w:rPr>
      </w:pPr>
      <w:r>
        <w:rPr>
          <w:rFonts w:hint="eastAsia" w:ascii="宋体" w:hAnsi="宋体" w:eastAsia="宋体"/>
          <w:color w:val="auto"/>
          <w:szCs w:val="21"/>
          <w:highlight w:val="none"/>
        </w:rPr>
        <w:t>本公告要求完整</w:t>
      </w:r>
      <w:r>
        <w:rPr>
          <w:rFonts w:hint="eastAsia" w:ascii="宋体" w:hAnsi="宋体" w:eastAsia="宋体" w:cs="宋体"/>
          <w:color w:val="auto"/>
          <w:szCs w:val="21"/>
          <w:highlight w:val="none"/>
          <w:lang w:eastAsia="zh-TW"/>
        </w:rPr>
        <w:t>、真实、准确地</w:t>
      </w:r>
      <w:r>
        <w:rPr>
          <w:rFonts w:hint="eastAsia" w:ascii="宋体" w:hAnsi="宋体" w:eastAsia="宋体" w:cs="宋体"/>
          <w:color w:val="auto"/>
          <w:szCs w:val="21"/>
          <w:highlight w:val="none"/>
        </w:rPr>
        <w:t>填写并</w:t>
      </w:r>
      <w:r>
        <w:rPr>
          <w:rFonts w:hint="eastAsia" w:ascii="宋体" w:hAnsi="宋体" w:eastAsia="宋体"/>
          <w:color w:val="auto"/>
          <w:szCs w:val="21"/>
          <w:highlight w:val="none"/>
        </w:rPr>
        <w:t>上传响应文件。</w:t>
      </w:r>
    </w:p>
    <w:p>
      <w:pPr>
        <w:pStyle w:val="55"/>
        <w:numPr>
          <w:ilvl w:val="0"/>
          <w:numId w:val="8"/>
        </w:numPr>
        <w:spacing w:line="360" w:lineRule="auto"/>
        <w:ind w:firstLineChars="0"/>
        <w:rPr>
          <w:rFonts w:ascii="宋体" w:hAnsi="宋体" w:eastAsia="宋体"/>
          <w:b/>
          <w:bCs w:val="0"/>
          <w:color w:val="auto"/>
          <w:highlight w:val="none"/>
          <w:u w:val="none"/>
        </w:rPr>
      </w:pPr>
      <w:r>
        <w:rPr>
          <w:rFonts w:hint="eastAsia" w:ascii="宋体" w:hAnsi="宋体" w:eastAsia="宋体"/>
          <w:b/>
          <w:bCs w:val="0"/>
          <w:color w:val="auto"/>
          <w:szCs w:val="21"/>
          <w:highlight w:val="none"/>
          <w:u w:val="none"/>
        </w:rPr>
        <w:t>公告中的报价次数指报价期间供应商可进行的最多报价次数。如报价次数为2次，</w:t>
      </w:r>
    </w:p>
    <w:p>
      <w:pPr>
        <w:spacing w:line="360" w:lineRule="auto"/>
        <w:ind w:left="630" w:leftChars="300"/>
        <w:rPr>
          <w:rFonts w:ascii="宋体" w:hAnsi="宋体" w:eastAsia="宋体"/>
          <w:b/>
          <w:bCs w:val="0"/>
          <w:color w:val="auto"/>
          <w:highlight w:val="none"/>
          <w:u w:val="none"/>
        </w:rPr>
      </w:pPr>
      <w:r>
        <w:rPr>
          <w:rFonts w:hint="eastAsia" w:ascii="宋体" w:hAnsi="宋体" w:eastAsia="宋体"/>
          <w:b/>
          <w:bCs w:val="0"/>
          <w:color w:val="auto"/>
          <w:szCs w:val="21"/>
          <w:highlight w:val="none"/>
          <w:u w:val="none"/>
        </w:rPr>
        <w:t>指供应商最多可进行2次报价。如供应商只进行1次报价，则以此次报价为准；如供应商因报价有误或其他原因需重新进行第2次报价，则以第2次报价为准，以此类推。</w:t>
      </w:r>
    </w:p>
    <w:p>
      <w:pPr>
        <w:pStyle w:val="55"/>
        <w:numPr>
          <w:ilvl w:val="0"/>
          <w:numId w:val="8"/>
        </w:numPr>
        <w:spacing w:line="360" w:lineRule="auto"/>
        <w:ind w:firstLineChars="0"/>
        <w:rPr>
          <w:rFonts w:ascii="宋体" w:hAnsi="宋体" w:eastAsia="宋体"/>
          <w:b/>
          <w:color w:val="auto"/>
          <w:highlight w:val="none"/>
          <w:u w:val="double"/>
        </w:rPr>
      </w:pPr>
      <w:r>
        <w:rPr>
          <w:rFonts w:hint="eastAsia" w:ascii="宋体" w:hAnsi="宋体" w:eastAsia="宋体"/>
          <w:b/>
          <w:color w:val="auto"/>
          <w:highlight w:val="none"/>
          <w:u w:val="double"/>
        </w:rPr>
        <w:t>本项目报总价，总价</w:t>
      </w:r>
      <w:r>
        <w:rPr>
          <w:rFonts w:ascii="宋体" w:hAnsi="宋体" w:eastAsia="宋体"/>
          <w:b/>
          <w:color w:val="auto"/>
          <w:highlight w:val="none"/>
          <w:u w:val="double"/>
        </w:rPr>
        <w:t>中应包括招标范围规定</w:t>
      </w:r>
      <w:r>
        <w:rPr>
          <w:rFonts w:hint="eastAsia" w:ascii="宋体" w:hAnsi="宋体" w:eastAsia="宋体"/>
          <w:b/>
          <w:color w:val="auto"/>
          <w:highlight w:val="none"/>
          <w:u w:val="double"/>
        </w:rPr>
        <w:t>的</w:t>
      </w:r>
      <w:r>
        <w:rPr>
          <w:rFonts w:ascii="宋体" w:hAnsi="宋体" w:eastAsia="宋体"/>
          <w:b/>
          <w:color w:val="auto"/>
          <w:highlight w:val="none"/>
          <w:u w:val="double"/>
        </w:rPr>
        <w:t>全程项目</w:t>
      </w:r>
      <w:r>
        <w:rPr>
          <w:rFonts w:hint="eastAsia" w:ascii="宋体" w:hAnsi="宋体" w:eastAsia="宋体"/>
          <w:b/>
          <w:color w:val="auto"/>
          <w:highlight w:val="none"/>
          <w:u w:val="double"/>
        </w:rPr>
        <w:t>相关的所有费用，</w:t>
      </w:r>
      <w:r>
        <w:rPr>
          <w:rFonts w:ascii="宋体" w:hAnsi="宋体" w:eastAsia="宋体"/>
          <w:b/>
          <w:color w:val="auto"/>
          <w:highlight w:val="none"/>
          <w:u w:val="double"/>
        </w:rPr>
        <w:t>包括但不</w:t>
      </w:r>
    </w:p>
    <w:p>
      <w:pPr>
        <w:pStyle w:val="55"/>
        <w:spacing w:line="360" w:lineRule="auto"/>
        <w:ind w:left="630" w:leftChars="300" w:firstLine="0" w:firstLineChars="0"/>
        <w:rPr>
          <w:rFonts w:ascii="宋体" w:hAnsi="宋体" w:eastAsia="宋体"/>
          <w:b/>
          <w:color w:val="auto"/>
          <w:highlight w:val="none"/>
          <w:u w:val="double"/>
        </w:rPr>
      </w:pPr>
      <w:r>
        <w:rPr>
          <w:rFonts w:ascii="宋体" w:hAnsi="宋体" w:eastAsia="宋体"/>
          <w:b/>
          <w:color w:val="auto"/>
          <w:highlight w:val="none"/>
          <w:u w:val="double"/>
        </w:rPr>
        <w:t>限于人工费、</w:t>
      </w:r>
      <w:r>
        <w:rPr>
          <w:rFonts w:hint="eastAsia" w:ascii="宋体" w:hAnsi="宋体" w:eastAsia="宋体"/>
          <w:b/>
          <w:color w:val="auto"/>
          <w:highlight w:val="none"/>
          <w:u w:val="double"/>
        </w:rPr>
        <w:t>其他</w:t>
      </w:r>
      <w:r>
        <w:rPr>
          <w:rFonts w:ascii="宋体" w:hAnsi="宋体" w:eastAsia="宋体"/>
          <w:b/>
          <w:color w:val="auto"/>
          <w:highlight w:val="none"/>
          <w:u w:val="double"/>
        </w:rPr>
        <w:t>交通</w:t>
      </w:r>
      <w:r>
        <w:rPr>
          <w:rFonts w:hint="eastAsia" w:ascii="宋体" w:hAnsi="宋体" w:eastAsia="宋体"/>
          <w:b/>
          <w:color w:val="auto"/>
          <w:highlight w:val="none"/>
          <w:u w:val="double"/>
        </w:rPr>
        <w:t>费、租赁费、差旅费、</w:t>
      </w:r>
      <w:r>
        <w:rPr>
          <w:rFonts w:ascii="宋体" w:hAnsi="宋体" w:eastAsia="宋体"/>
          <w:b/>
          <w:color w:val="auto"/>
          <w:highlight w:val="none"/>
          <w:u w:val="double"/>
        </w:rPr>
        <w:t>办公费、会议费、培训费、通讯费、管理费、税金、利润等</w:t>
      </w:r>
      <w:r>
        <w:rPr>
          <w:rFonts w:hint="eastAsia" w:ascii="宋体" w:hAnsi="宋体" w:eastAsia="宋体"/>
          <w:b/>
          <w:color w:val="auto"/>
          <w:highlight w:val="none"/>
          <w:u w:val="double"/>
        </w:rPr>
        <w:t>。</w:t>
      </w:r>
    </w:p>
    <w:p>
      <w:pPr>
        <w:pStyle w:val="55"/>
        <w:numPr>
          <w:ilvl w:val="0"/>
          <w:numId w:val="4"/>
        </w:numPr>
        <w:spacing w:line="360" w:lineRule="auto"/>
        <w:ind w:firstLineChars="0"/>
        <w:rPr>
          <w:rStyle w:val="39"/>
          <w:rFonts w:ascii="宋体" w:hAnsi="宋体" w:eastAsia="宋体"/>
          <w:bCs w:val="0"/>
          <w:color w:val="auto"/>
          <w:highlight w:val="none"/>
        </w:rPr>
      </w:pPr>
      <w:r>
        <w:rPr>
          <w:rStyle w:val="39"/>
          <w:rFonts w:hint="eastAsia" w:ascii="宋体" w:hAnsi="宋体" w:eastAsia="宋体"/>
          <w:bCs w:val="0"/>
          <w:color w:val="auto"/>
          <w:highlight w:val="none"/>
        </w:rPr>
        <w:t>确定成交候选人（</w:t>
      </w:r>
      <w:r>
        <w:rPr>
          <w:rStyle w:val="39"/>
          <w:rFonts w:hint="eastAsia" w:ascii="宋体" w:hAnsi="宋体" w:eastAsia="宋体"/>
          <w:bCs w:val="0"/>
          <w:color w:val="auto"/>
          <w:highlight w:val="none"/>
          <w:u w:val="double"/>
        </w:rPr>
        <w:t>供应商须在系统报价环节上传响应文件并报价，响应文件请按照本文</w:t>
      </w:r>
    </w:p>
    <w:p>
      <w:pPr>
        <w:spacing w:line="360" w:lineRule="auto"/>
        <w:ind w:firstLine="211" w:firstLineChars="100"/>
        <w:rPr>
          <w:rStyle w:val="39"/>
          <w:rFonts w:ascii="宋体" w:hAnsi="宋体" w:eastAsia="宋体"/>
          <w:bCs w:val="0"/>
          <w:color w:val="auto"/>
          <w:highlight w:val="none"/>
        </w:rPr>
      </w:pPr>
      <w:r>
        <w:rPr>
          <w:rStyle w:val="39"/>
          <w:rFonts w:hint="eastAsia" w:ascii="宋体" w:hAnsi="宋体" w:eastAsia="宋体"/>
          <w:bCs w:val="0"/>
          <w:color w:val="auto"/>
          <w:highlight w:val="none"/>
          <w:u w:val="double"/>
        </w:rPr>
        <w:t>件第三章响应文件模板进行编制后打印，每页加盖公章后扫描成一个P</w:t>
      </w:r>
      <w:r>
        <w:rPr>
          <w:rStyle w:val="39"/>
          <w:rFonts w:ascii="宋体" w:hAnsi="宋体" w:eastAsia="宋体"/>
          <w:bCs w:val="0"/>
          <w:color w:val="auto"/>
          <w:highlight w:val="none"/>
          <w:u w:val="double"/>
        </w:rPr>
        <w:t>DF</w:t>
      </w:r>
      <w:r>
        <w:rPr>
          <w:rStyle w:val="39"/>
          <w:rFonts w:hint="eastAsia" w:ascii="宋体" w:hAnsi="宋体" w:eastAsia="宋体"/>
          <w:bCs w:val="0"/>
          <w:color w:val="auto"/>
          <w:highlight w:val="none"/>
          <w:u w:val="double"/>
        </w:rPr>
        <w:t>上传即可</w:t>
      </w:r>
      <w:r>
        <w:rPr>
          <w:rStyle w:val="39"/>
          <w:rFonts w:hint="eastAsia" w:ascii="宋体" w:hAnsi="宋体" w:eastAsia="宋体"/>
          <w:bCs w:val="0"/>
          <w:color w:val="auto"/>
          <w:highlight w:val="none"/>
        </w:rPr>
        <w:t>）</w:t>
      </w:r>
    </w:p>
    <w:p>
      <w:pPr>
        <w:pStyle w:val="55"/>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本项目以综合评分法确定成交供应商，参与评审的专家按照评分标准以及权重分配</w:t>
      </w:r>
    </w:p>
    <w:p>
      <w:pPr>
        <w:pStyle w:val="55"/>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的规定就各个供应商的技术状况、商务状况、价格状况及其对本文件要求的响应情况进行评议和比较，评出其技术评分、商务评分和价格评分相加得出其综合得分，推荐综合得分排名第一的供应商为第一成交候选人，排名第二的供应商为第二成交候选人，以此类推。</w:t>
      </w:r>
      <w:r>
        <w:rPr>
          <w:rFonts w:hint="eastAsia" w:ascii="宋体" w:hAnsi="宋体" w:eastAsia="宋体"/>
          <w:color w:val="auto"/>
          <w:szCs w:val="21"/>
          <w:highlight w:val="none"/>
          <w:lang w:val="en-US" w:eastAsia="zh-CN"/>
        </w:rPr>
        <w:t>成交</w:t>
      </w:r>
      <w:r>
        <w:rPr>
          <w:rFonts w:hint="eastAsia" w:ascii="宋体" w:hAnsi="宋体" w:eastAsia="宋体"/>
          <w:color w:val="auto"/>
          <w:szCs w:val="21"/>
          <w:highlight w:val="none"/>
        </w:rPr>
        <w:t>候选人综合得分并列的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按技术部分得分高低顺序确定</w:t>
      </w:r>
      <w:r>
        <w:rPr>
          <w:rFonts w:hint="eastAsia" w:ascii="宋体" w:hAnsi="宋体" w:eastAsia="宋体"/>
          <w:color w:val="auto"/>
          <w:szCs w:val="21"/>
          <w:highlight w:val="none"/>
          <w:lang w:val="en-US" w:eastAsia="zh-CN"/>
        </w:rPr>
        <w:t>成交人。</w:t>
      </w:r>
    </w:p>
    <w:p>
      <w:pPr>
        <w:pStyle w:val="55"/>
        <w:numPr>
          <w:ilvl w:val="0"/>
          <w:numId w:val="4"/>
        </w:numPr>
        <w:spacing w:line="360" w:lineRule="auto"/>
        <w:ind w:firstLineChars="0"/>
        <w:rPr>
          <w:rFonts w:ascii="宋体" w:hAnsi="宋体" w:eastAsia="宋体"/>
          <w:b/>
          <w:color w:val="auto"/>
          <w:szCs w:val="21"/>
          <w:highlight w:val="none"/>
        </w:rPr>
      </w:pPr>
      <w:r>
        <w:rPr>
          <w:rFonts w:hint="eastAsia" w:ascii="宋体" w:hAnsi="宋体" w:eastAsia="宋体"/>
          <w:b/>
          <w:color w:val="auto"/>
          <w:szCs w:val="21"/>
          <w:highlight w:val="none"/>
        </w:rPr>
        <w:t>无效响应</w:t>
      </w:r>
    </w:p>
    <w:p>
      <w:pPr>
        <w:pStyle w:val="55"/>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响应供应商报价超过最高限价或超过项目对应产品单项最高限价的视为无效响应。</w:t>
      </w:r>
    </w:p>
    <w:p>
      <w:pPr>
        <w:pStyle w:val="55"/>
        <w:numPr>
          <w:ilvl w:val="0"/>
          <w:numId w:val="9"/>
        </w:numPr>
        <w:spacing w:line="360" w:lineRule="auto"/>
        <w:ind w:left="630" w:leftChars="200" w:hanging="210" w:hangingChars="100"/>
        <w:rPr>
          <w:rFonts w:ascii="宋体" w:hAnsi="宋体" w:eastAsia="宋体"/>
          <w:color w:val="auto"/>
          <w:szCs w:val="21"/>
          <w:highlight w:val="none"/>
        </w:rPr>
      </w:pPr>
      <w:r>
        <w:rPr>
          <w:rFonts w:hint="eastAsia" w:ascii="宋体" w:hAnsi="宋体" w:eastAsia="宋体"/>
          <w:color w:val="auto"/>
          <w:szCs w:val="21"/>
          <w:highlight w:val="none"/>
        </w:rPr>
        <w:t>参与综合评审的供应商须提供本项目要求的资质文件，如果不按公告规定或综合评审文件要求等相关规定提供符合要求的资质文件，将被视为无效响应；</w:t>
      </w:r>
    </w:p>
    <w:p>
      <w:pPr>
        <w:pStyle w:val="55"/>
        <w:numPr>
          <w:ilvl w:val="0"/>
          <w:numId w:val="9"/>
        </w:numPr>
        <w:ind w:firstLineChars="0"/>
        <w:rPr>
          <w:rFonts w:ascii="宋体" w:hAnsi="宋体" w:eastAsia="宋体"/>
          <w:color w:val="auto"/>
          <w:szCs w:val="21"/>
          <w:highlight w:val="none"/>
        </w:rPr>
      </w:pPr>
      <w:r>
        <w:rPr>
          <w:rFonts w:hint="eastAsia" w:ascii="宋体" w:hAnsi="宋体" w:eastAsia="宋体"/>
          <w:color w:val="auto"/>
          <w:szCs w:val="21"/>
          <w:highlight w:val="none"/>
        </w:rPr>
        <w:t>参与综合评审的供应商须对本项目采购内容进行整体响应。</w:t>
      </w:r>
    </w:p>
    <w:p>
      <w:pPr>
        <w:pStyle w:val="55"/>
        <w:numPr>
          <w:ilvl w:val="0"/>
          <w:numId w:val="9"/>
        </w:numPr>
        <w:spacing w:line="360" w:lineRule="auto"/>
        <w:ind w:left="630" w:leftChars="200" w:hanging="210" w:hangingChars="100"/>
        <w:rPr>
          <w:rFonts w:ascii="宋体" w:hAnsi="宋体" w:eastAsia="宋体"/>
          <w:color w:val="auto"/>
          <w:szCs w:val="21"/>
          <w:highlight w:val="none"/>
          <w:u w:val="double"/>
        </w:rPr>
      </w:pPr>
      <w:r>
        <w:rPr>
          <w:rFonts w:hint="eastAsia" w:ascii="宋体" w:hAnsi="宋体" w:eastAsia="宋体"/>
          <w:color w:val="auto"/>
          <w:szCs w:val="21"/>
          <w:highlight w:val="none"/>
          <w:u w:val="double"/>
        </w:rPr>
        <w:t>所有参与评审提供的响应文件，供应商落款的文件</w:t>
      </w:r>
      <w:r>
        <w:rPr>
          <w:rFonts w:ascii="宋体" w:hAnsi="宋体" w:eastAsia="宋体"/>
          <w:color w:val="auto"/>
          <w:szCs w:val="21"/>
          <w:highlight w:val="none"/>
          <w:u w:val="double"/>
        </w:rPr>
        <w:t>必须加盖</w:t>
      </w:r>
      <w:r>
        <w:rPr>
          <w:rFonts w:hint="eastAsia" w:ascii="宋体" w:hAnsi="宋体" w:eastAsia="宋体"/>
          <w:color w:val="auto"/>
          <w:szCs w:val="21"/>
          <w:highlight w:val="none"/>
          <w:u w:val="double"/>
        </w:rPr>
        <w:t>供应商</w:t>
      </w:r>
      <w:r>
        <w:rPr>
          <w:rFonts w:ascii="宋体" w:hAnsi="宋体" w:eastAsia="宋体"/>
          <w:color w:val="auto"/>
          <w:szCs w:val="21"/>
          <w:highlight w:val="none"/>
          <w:u w:val="double"/>
        </w:rPr>
        <w:t>公章，否则视为无效</w:t>
      </w:r>
      <w:r>
        <w:rPr>
          <w:rFonts w:hint="eastAsia" w:ascii="宋体" w:hAnsi="宋体" w:eastAsia="宋体"/>
          <w:color w:val="auto"/>
          <w:szCs w:val="21"/>
          <w:highlight w:val="none"/>
          <w:u w:val="double"/>
        </w:rPr>
        <w:t>响应。</w:t>
      </w:r>
    </w:p>
    <w:p>
      <w:pPr>
        <w:pStyle w:val="55"/>
        <w:numPr>
          <w:ilvl w:val="0"/>
          <w:numId w:val="9"/>
        </w:numPr>
        <w:spacing w:line="360" w:lineRule="auto"/>
        <w:ind w:left="630" w:leftChars="200" w:hanging="210" w:hangingChars="100"/>
        <w:rPr>
          <w:rFonts w:ascii="宋体" w:hAnsi="宋体" w:eastAsia="宋体"/>
          <w:color w:val="auto"/>
          <w:szCs w:val="21"/>
          <w:highlight w:val="none"/>
        </w:rPr>
      </w:pPr>
      <w:r>
        <w:rPr>
          <w:rFonts w:ascii="宋体" w:hAnsi="宋体" w:eastAsia="宋体"/>
          <w:color w:val="auto"/>
          <w:szCs w:val="21"/>
          <w:highlight w:val="none"/>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ascii="宋体" w:hAnsi="宋体" w:eastAsia="宋体"/>
          <w:color w:val="auto"/>
          <w:szCs w:val="21"/>
          <w:highlight w:val="none"/>
        </w:rPr>
        <w:t>；不接受总价优惠折扣形式的报价，供应商应将对项目的优惠直接在清单报价中体现出来。如果供应商不接受对其错误的更正，其报价将被视为无效报价。</w:t>
      </w:r>
    </w:p>
    <w:p>
      <w:pPr>
        <w:pStyle w:val="55"/>
        <w:numPr>
          <w:ilvl w:val="0"/>
          <w:numId w:val="9"/>
        </w:numPr>
        <w:spacing w:line="360" w:lineRule="auto"/>
        <w:ind w:firstLineChars="0"/>
        <w:rPr>
          <w:rFonts w:ascii="宋体" w:hAnsi="宋体" w:eastAsia="宋体"/>
          <w:b/>
          <w:bCs/>
          <w:color w:val="auto"/>
          <w:szCs w:val="21"/>
          <w:highlight w:val="none"/>
          <w:u w:val="none"/>
        </w:rPr>
      </w:pPr>
      <w:r>
        <w:rPr>
          <w:rFonts w:hint="eastAsia" w:ascii="宋体" w:hAnsi="宋体" w:eastAsia="宋体"/>
          <w:b/>
          <w:bCs/>
          <w:color w:val="auto"/>
          <w:szCs w:val="21"/>
          <w:highlight w:val="none"/>
          <w:u w:val="none"/>
        </w:rPr>
        <w:t>按有关法律、法规、规章属于响应无效的。</w:t>
      </w:r>
    </w:p>
    <w:p>
      <w:pPr>
        <w:pStyle w:val="55"/>
        <w:numPr>
          <w:ilvl w:val="0"/>
          <w:numId w:val="9"/>
        </w:numPr>
        <w:spacing w:line="360" w:lineRule="auto"/>
        <w:ind w:firstLineChars="0"/>
        <w:rPr>
          <w:rFonts w:ascii="宋体" w:hAnsi="宋体" w:eastAsia="宋体"/>
          <w:color w:val="auto"/>
          <w:szCs w:val="21"/>
          <w:highlight w:val="none"/>
        </w:rPr>
      </w:pPr>
      <w:r>
        <w:rPr>
          <w:rFonts w:hint="eastAsia" w:ascii="宋体" w:hAnsi="宋体" w:eastAsia="宋体"/>
          <w:b/>
          <w:color w:val="auto"/>
          <w:szCs w:val="21"/>
          <w:highlight w:val="none"/>
        </w:rPr>
        <w:t>有下列情形之一的，视为串通参与项目，其响应无效：</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存在单位负责人为同一人或存在控股、管理关系的不同单位参与同一综合评审项</w:t>
      </w:r>
    </w:p>
    <w:p>
      <w:pPr>
        <w:widowControl/>
        <w:spacing w:line="360" w:lineRule="auto"/>
        <w:ind w:left="850" w:leftChars="405" w:firstLine="210" w:firstLineChars="100"/>
        <w:jc w:val="left"/>
        <w:rPr>
          <w:rFonts w:ascii="宋体" w:hAnsi="宋体" w:eastAsia="宋体"/>
          <w:color w:val="auto"/>
          <w:szCs w:val="21"/>
          <w:highlight w:val="none"/>
        </w:rPr>
      </w:pPr>
      <w:r>
        <w:rPr>
          <w:rFonts w:hint="eastAsia" w:ascii="宋体" w:hAnsi="宋体" w:eastAsia="宋体"/>
          <w:color w:val="auto"/>
          <w:szCs w:val="21"/>
          <w:highlight w:val="none"/>
        </w:rPr>
        <w:t>目；</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不同供应商的响应文件由同一单位或者个人编制；</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不同供应商委托同一单位或者个人办理综合评审事宜；</w:t>
      </w:r>
    </w:p>
    <w:p>
      <w:pPr>
        <w:pStyle w:val="55"/>
        <w:widowControl/>
        <w:numPr>
          <w:ilvl w:val="2"/>
          <w:numId w:val="10"/>
        </w:numPr>
        <w:spacing w:line="360" w:lineRule="auto"/>
        <w:ind w:firstLineChars="0"/>
        <w:jc w:val="left"/>
        <w:rPr>
          <w:rFonts w:ascii="宋体" w:hAnsi="宋体" w:eastAsia="宋体"/>
          <w:b/>
          <w:bCs/>
          <w:color w:val="auto"/>
          <w:szCs w:val="21"/>
          <w:highlight w:val="none"/>
          <w:u w:val="double"/>
        </w:rPr>
      </w:pPr>
      <w:r>
        <w:rPr>
          <w:rFonts w:hint="eastAsia" w:ascii="宋体" w:hAnsi="宋体" w:eastAsia="宋体"/>
          <w:b/>
          <w:bCs/>
          <w:color w:val="auto"/>
          <w:szCs w:val="21"/>
          <w:highlight w:val="none"/>
          <w:u w:val="double"/>
        </w:rPr>
        <w:t>不同供应商使用同一IP地址参与综合评审；</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不同供应商的响应文件载明的项目管理成员或者联系人员为同一人；</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不同供应商的响应文件异常一致或者报价呈规律性差异；</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不同供应商的响应文件相互混淆；</w:t>
      </w:r>
    </w:p>
    <w:p>
      <w:pPr>
        <w:pStyle w:val="55"/>
        <w:widowControl/>
        <w:numPr>
          <w:ilvl w:val="2"/>
          <w:numId w:val="10"/>
        </w:numPr>
        <w:spacing w:line="360" w:lineRule="auto"/>
        <w:ind w:firstLineChars="0"/>
        <w:jc w:val="left"/>
        <w:rPr>
          <w:rFonts w:ascii="宋体" w:hAnsi="宋体" w:eastAsia="宋体"/>
          <w:color w:val="auto"/>
          <w:szCs w:val="21"/>
          <w:highlight w:val="none"/>
        </w:rPr>
      </w:pPr>
      <w:r>
        <w:rPr>
          <w:rFonts w:hint="eastAsia" w:ascii="宋体" w:hAnsi="宋体" w:eastAsia="宋体"/>
          <w:color w:val="auto"/>
          <w:szCs w:val="21"/>
          <w:highlight w:val="none"/>
        </w:rPr>
        <w:t>不同供应商的平台使用费从同一单位或者个人的账户转出。</w:t>
      </w:r>
    </w:p>
    <w:p>
      <w:pPr>
        <w:pStyle w:val="55"/>
        <w:numPr>
          <w:ilvl w:val="0"/>
          <w:numId w:val="4"/>
        </w:numPr>
        <w:spacing w:line="360" w:lineRule="auto"/>
        <w:ind w:firstLineChars="0"/>
        <w:rPr>
          <w:rFonts w:ascii="宋体" w:hAnsi="宋体" w:eastAsia="宋体"/>
          <w:color w:val="auto"/>
          <w:szCs w:val="21"/>
          <w:highlight w:val="none"/>
        </w:rPr>
      </w:pPr>
      <w:r>
        <w:rPr>
          <w:rFonts w:hint="eastAsia" w:ascii="宋体" w:hAnsi="宋体" w:eastAsia="宋体"/>
          <w:b/>
          <w:color w:val="auto"/>
          <w:szCs w:val="21"/>
          <w:highlight w:val="none"/>
        </w:rPr>
        <w:t>综合评审活动失败</w:t>
      </w:r>
    </w:p>
    <w:p>
      <w:pPr>
        <w:pStyle w:val="55"/>
        <w:numPr>
          <w:ilvl w:val="0"/>
          <w:numId w:val="11"/>
        </w:numPr>
        <w:spacing w:line="360" w:lineRule="auto"/>
        <w:ind w:left="420" w:leftChars="200" w:firstLineChars="0"/>
        <w:rPr>
          <w:rFonts w:ascii="宋体" w:hAnsi="宋体" w:eastAsia="宋体"/>
          <w:color w:val="auto"/>
          <w:highlight w:val="none"/>
        </w:rPr>
      </w:pPr>
      <w:r>
        <w:rPr>
          <w:rFonts w:hint="eastAsia" w:ascii="宋体" w:hAnsi="宋体" w:eastAsia="宋体"/>
          <w:color w:val="auto"/>
          <w:szCs w:val="21"/>
          <w:highlight w:val="none"/>
        </w:rPr>
        <w:t>出现下列情况的，本次综合评审活动失败：</w:t>
      </w:r>
    </w:p>
    <w:p>
      <w:pPr>
        <w:pStyle w:val="55"/>
        <w:widowControl/>
        <w:numPr>
          <w:ilvl w:val="2"/>
          <w:numId w:val="12"/>
        </w:numPr>
        <w:spacing w:line="360" w:lineRule="auto"/>
        <w:ind w:firstLineChars="0"/>
        <w:jc w:val="left"/>
        <w:rPr>
          <w:rFonts w:ascii="宋体" w:hAnsi="宋体" w:eastAsia="宋体"/>
          <w:color w:val="auto"/>
          <w:highlight w:val="none"/>
        </w:rPr>
      </w:pPr>
      <w:r>
        <w:rPr>
          <w:rFonts w:hint="eastAsia" w:ascii="宋体" w:hAnsi="宋体" w:eastAsia="宋体"/>
          <w:color w:val="auto"/>
          <w:highlight w:val="none"/>
        </w:rPr>
        <w:t>报名供应商不足3家；</w:t>
      </w:r>
    </w:p>
    <w:p>
      <w:pPr>
        <w:pStyle w:val="55"/>
        <w:widowControl/>
        <w:numPr>
          <w:ilvl w:val="2"/>
          <w:numId w:val="12"/>
        </w:numPr>
        <w:spacing w:line="360" w:lineRule="auto"/>
        <w:ind w:firstLineChars="0"/>
        <w:jc w:val="left"/>
        <w:rPr>
          <w:rFonts w:ascii="宋体" w:hAnsi="宋体" w:eastAsia="宋体"/>
          <w:color w:val="auto"/>
          <w:szCs w:val="21"/>
          <w:highlight w:val="none"/>
        </w:rPr>
      </w:pPr>
      <w:r>
        <w:rPr>
          <w:rFonts w:hint="eastAsia" w:ascii="宋体" w:hAnsi="宋体" w:eastAsia="宋体"/>
          <w:color w:val="auto"/>
          <w:highlight w:val="none"/>
        </w:rPr>
        <w:t>参与评审的供应商不足3家。</w:t>
      </w:r>
    </w:p>
    <w:p>
      <w:pPr>
        <w:pStyle w:val="55"/>
        <w:numPr>
          <w:ilvl w:val="0"/>
          <w:numId w:val="11"/>
        </w:numPr>
        <w:spacing w:line="360" w:lineRule="auto"/>
        <w:ind w:left="420" w:leftChars="200" w:firstLineChars="0"/>
        <w:rPr>
          <w:rFonts w:ascii="宋体" w:hAnsi="宋体" w:eastAsia="宋体"/>
          <w:color w:val="auto"/>
          <w:szCs w:val="21"/>
          <w:highlight w:val="none"/>
        </w:rPr>
      </w:pPr>
      <w:r>
        <w:rPr>
          <w:rFonts w:ascii="宋体" w:hAnsi="宋体" w:eastAsia="宋体"/>
          <w:color w:val="auto"/>
          <w:szCs w:val="21"/>
          <w:highlight w:val="none"/>
        </w:rPr>
        <w:t>出现影响采购公正的违法、违规行为的</w:t>
      </w:r>
      <w:r>
        <w:rPr>
          <w:rFonts w:hint="eastAsia" w:ascii="宋体" w:hAnsi="宋体" w:eastAsia="宋体"/>
          <w:color w:val="auto"/>
          <w:szCs w:val="21"/>
          <w:highlight w:val="none"/>
        </w:rPr>
        <w:t>；</w:t>
      </w:r>
    </w:p>
    <w:p>
      <w:pPr>
        <w:pStyle w:val="55"/>
        <w:numPr>
          <w:ilvl w:val="0"/>
          <w:numId w:val="11"/>
        </w:numPr>
        <w:spacing w:line="360" w:lineRule="auto"/>
        <w:ind w:left="420" w:leftChars="200" w:firstLineChars="0"/>
        <w:rPr>
          <w:rFonts w:ascii="宋体" w:hAnsi="宋体" w:eastAsia="宋体"/>
          <w:color w:val="auto"/>
          <w:szCs w:val="21"/>
          <w:highlight w:val="none"/>
        </w:rPr>
      </w:pPr>
      <w:r>
        <w:rPr>
          <w:rFonts w:ascii="宋体" w:hAnsi="宋体" w:eastAsia="宋体"/>
          <w:color w:val="auto"/>
          <w:szCs w:val="21"/>
          <w:highlight w:val="none"/>
        </w:rPr>
        <w:t>因重大变故，采购任务取消的</w:t>
      </w:r>
      <w:r>
        <w:rPr>
          <w:rFonts w:hint="eastAsia" w:ascii="宋体" w:hAnsi="宋体" w:eastAsia="宋体"/>
          <w:color w:val="auto"/>
          <w:szCs w:val="21"/>
          <w:highlight w:val="none"/>
        </w:rPr>
        <w:t>。</w:t>
      </w:r>
    </w:p>
    <w:p>
      <w:pPr>
        <w:pStyle w:val="55"/>
        <w:numPr>
          <w:ilvl w:val="0"/>
          <w:numId w:val="4"/>
        </w:numPr>
        <w:spacing w:line="360" w:lineRule="auto"/>
        <w:ind w:firstLineChars="0"/>
        <w:rPr>
          <w:rFonts w:ascii="宋体" w:hAnsi="宋体" w:eastAsia="宋体"/>
          <w:b/>
          <w:color w:val="auto"/>
          <w:szCs w:val="21"/>
          <w:highlight w:val="none"/>
        </w:rPr>
      </w:pPr>
      <w:r>
        <w:rPr>
          <w:rFonts w:hint="eastAsia" w:ascii="宋体" w:hAnsi="宋体" w:eastAsia="宋体"/>
          <w:b/>
          <w:color w:val="auto"/>
          <w:szCs w:val="21"/>
          <w:highlight w:val="none"/>
        </w:rPr>
        <w:t>使用费</w:t>
      </w:r>
    </w:p>
    <w:p>
      <w:pPr>
        <w:pStyle w:val="55"/>
        <w:numPr>
          <w:ilvl w:val="0"/>
          <w:numId w:val="13"/>
        </w:numPr>
        <w:spacing w:line="360" w:lineRule="auto"/>
        <w:ind w:firstLineChars="0"/>
        <w:rPr>
          <w:rFonts w:ascii="宋体" w:hAnsi="宋体" w:eastAsia="宋体"/>
          <w:color w:val="auto"/>
          <w:szCs w:val="21"/>
          <w:highlight w:val="none"/>
        </w:rPr>
      </w:pPr>
      <w:r>
        <w:rPr>
          <w:rFonts w:hint="eastAsia" w:ascii="宋体" w:hAnsi="宋体" w:eastAsia="宋体"/>
          <w:color w:val="auto"/>
          <w:highlight w:val="none"/>
        </w:rPr>
        <w:t>成交供应商须向平台服务商</w:t>
      </w:r>
      <w:r>
        <w:rPr>
          <w:rFonts w:hint="eastAsia" w:ascii="宋体" w:hAnsi="宋体" w:eastAsia="宋体"/>
          <w:color w:val="auto"/>
          <w:szCs w:val="21"/>
          <w:highlight w:val="none"/>
        </w:rPr>
        <w:t>云采链线上采购一体化平台</w:t>
      </w:r>
      <w:r>
        <w:rPr>
          <w:rFonts w:hint="eastAsia" w:ascii="宋体" w:hAnsi="宋体" w:eastAsia="宋体"/>
          <w:color w:val="auto"/>
          <w:highlight w:val="none"/>
        </w:rPr>
        <w:t>缴纳平台使用费，</w:t>
      </w:r>
      <w:r>
        <w:rPr>
          <w:rFonts w:ascii="宋体" w:hAnsi="宋体" w:eastAsia="宋体"/>
          <w:color w:val="auto"/>
          <w:szCs w:val="21"/>
          <w:highlight w:val="none"/>
        </w:rPr>
        <w:t>金额为</w:t>
      </w:r>
      <w:r>
        <w:rPr>
          <w:rFonts w:hint="eastAsia" w:ascii="宋体" w:hAnsi="宋体" w:eastAsia="宋体"/>
          <w:color w:val="auto"/>
          <w:szCs w:val="21"/>
          <w:highlight w:val="none"/>
        </w:rPr>
        <w:t>成</w:t>
      </w:r>
    </w:p>
    <w:p>
      <w:pPr>
        <w:pStyle w:val="55"/>
        <w:spacing w:line="360" w:lineRule="auto"/>
        <w:ind w:left="630" w:leftChars="300" w:firstLine="0" w:firstLineChars="0"/>
        <w:rPr>
          <w:rFonts w:ascii="宋体" w:hAnsi="宋体" w:eastAsia="宋体"/>
          <w:color w:val="auto"/>
          <w:szCs w:val="21"/>
          <w:highlight w:val="none"/>
        </w:rPr>
      </w:pPr>
      <w:r>
        <w:rPr>
          <w:rFonts w:hint="eastAsia" w:ascii="宋体" w:hAnsi="宋体" w:eastAsia="宋体"/>
          <w:color w:val="auto"/>
          <w:szCs w:val="21"/>
          <w:highlight w:val="none"/>
        </w:rPr>
        <w:t>交</w:t>
      </w:r>
      <w:r>
        <w:rPr>
          <w:rFonts w:ascii="宋体" w:hAnsi="宋体" w:eastAsia="宋体"/>
          <w:color w:val="auto"/>
          <w:szCs w:val="21"/>
          <w:highlight w:val="none"/>
        </w:rPr>
        <w:t>金额的1.0%（四舍五入取整数）</w:t>
      </w:r>
      <w:r>
        <w:rPr>
          <w:rFonts w:hint="eastAsia" w:ascii="宋体" w:hAnsi="宋体" w:eastAsia="宋体"/>
          <w:color w:val="auto"/>
          <w:szCs w:val="21"/>
          <w:highlight w:val="none"/>
        </w:rPr>
        <w:t>，如产生专家劳务费则按上述平台使用费金额加上专家劳务费金额进行收取</w:t>
      </w:r>
      <w:r>
        <w:rPr>
          <w:rFonts w:hint="eastAsia" w:ascii="宋体" w:hAnsi="宋体" w:eastAsia="宋体"/>
          <w:color w:val="auto"/>
          <w:highlight w:val="none"/>
        </w:rPr>
        <w:t>。</w:t>
      </w:r>
    </w:p>
    <w:p>
      <w:pPr>
        <w:pStyle w:val="55"/>
        <w:numPr>
          <w:ilvl w:val="0"/>
          <w:numId w:val="13"/>
        </w:numPr>
        <w:spacing w:line="360" w:lineRule="auto"/>
        <w:ind w:firstLineChars="0"/>
        <w:rPr>
          <w:rFonts w:ascii="宋体" w:hAnsi="宋体" w:eastAsia="宋体"/>
          <w:color w:val="auto"/>
          <w:highlight w:val="none"/>
        </w:rPr>
      </w:pPr>
      <w:r>
        <w:rPr>
          <w:rFonts w:hint="eastAsia" w:ascii="宋体" w:hAnsi="宋体" w:eastAsia="宋体"/>
          <w:color w:val="auto"/>
          <w:highlight w:val="none"/>
        </w:rPr>
        <w:t>成交供应商无正当理由放弃成交资格的必须按</w:t>
      </w:r>
      <w:r>
        <w:rPr>
          <w:rFonts w:hint="eastAsia" w:ascii="宋体" w:hAnsi="宋体" w:eastAsia="宋体"/>
          <w:color w:val="auto"/>
          <w:szCs w:val="21"/>
          <w:highlight w:val="none"/>
        </w:rPr>
        <w:t>综合评审</w:t>
      </w:r>
      <w:r>
        <w:rPr>
          <w:rFonts w:hint="eastAsia" w:ascii="宋体" w:hAnsi="宋体" w:eastAsia="宋体"/>
          <w:color w:val="auto"/>
          <w:highlight w:val="none"/>
        </w:rPr>
        <w:t>公告等相关规定缴纳相应的</w:t>
      </w:r>
    </w:p>
    <w:p>
      <w:pPr>
        <w:spacing w:line="360" w:lineRule="auto"/>
        <w:ind w:left="420" w:leftChars="200" w:firstLine="210" w:firstLineChars="100"/>
        <w:rPr>
          <w:rFonts w:ascii="宋体" w:hAnsi="宋体" w:eastAsia="宋体"/>
          <w:color w:val="auto"/>
          <w:highlight w:val="none"/>
        </w:rPr>
      </w:pPr>
      <w:r>
        <w:rPr>
          <w:rFonts w:hint="eastAsia" w:ascii="宋体" w:hAnsi="宋体" w:eastAsia="宋体"/>
          <w:color w:val="auto"/>
          <w:highlight w:val="none"/>
        </w:rPr>
        <w:t>平台使用费。</w:t>
      </w:r>
    </w:p>
    <w:p>
      <w:pPr>
        <w:pStyle w:val="55"/>
        <w:numPr>
          <w:ilvl w:val="0"/>
          <w:numId w:val="13"/>
        </w:numPr>
        <w:spacing w:line="360" w:lineRule="auto"/>
        <w:ind w:firstLineChars="0"/>
        <w:rPr>
          <w:rFonts w:ascii="宋体" w:hAnsi="宋体" w:eastAsia="宋体"/>
          <w:color w:val="auto"/>
          <w:highlight w:val="none"/>
        </w:rPr>
      </w:pPr>
      <w:r>
        <w:rPr>
          <w:rFonts w:hint="eastAsia" w:ascii="宋体" w:hAnsi="宋体" w:eastAsia="宋体"/>
          <w:color w:val="auto"/>
          <w:highlight w:val="none"/>
        </w:rPr>
        <w:t>如确实因不可抗力放弃成交资格的，应在不可抗力发生后三个工作日内予以通知采购代理机构并提供相关的证明；如逾期，采购代理机构不予退还平台使用费。</w:t>
      </w:r>
    </w:p>
    <w:p>
      <w:pPr>
        <w:pStyle w:val="55"/>
        <w:widowControl/>
        <w:numPr>
          <w:ilvl w:val="0"/>
          <w:numId w:val="3"/>
        </w:numPr>
        <w:spacing w:line="360" w:lineRule="auto"/>
        <w:ind w:firstLineChars="0"/>
        <w:jc w:val="left"/>
        <w:rPr>
          <w:rFonts w:ascii="宋体" w:hAnsi="宋体" w:eastAsia="宋体"/>
          <w:b/>
          <w:color w:val="auto"/>
          <w:highlight w:val="none"/>
        </w:rPr>
      </w:pPr>
      <w:r>
        <w:rPr>
          <w:rFonts w:hint="eastAsia" w:ascii="宋体" w:hAnsi="宋体" w:eastAsia="宋体"/>
          <w:b/>
          <w:color w:val="auto"/>
          <w:highlight w:val="none"/>
        </w:rPr>
        <w:t>联系方式</w:t>
      </w:r>
    </w:p>
    <w:p>
      <w:pPr>
        <w:pStyle w:val="55"/>
        <w:widowControl/>
        <w:spacing w:line="360" w:lineRule="auto"/>
        <w:ind w:left="420" w:firstLine="0" w:firstLineChars="0"/>
        <w:jc w:val="left"/>
        <w:rPr>
          <w:rFonts w:ascii="宋体" w:hAnsi="宋体" w:eastAsia="宋体"/>
          <w:color w:val="auto"/>
          <w:highlight w:val="none"/>
        </w:rPr>
      </w:pPr>
      <w:r>
        <w:rPr>
          <w:rFonts w:ascii="宋体" w:hAnsi="宋体" w:eastAsia="宋体"/>
          <w:color w:val="auto"/>
          <w:highlight w:val="none"/>
        </w:rPr>
        <w:t>扫码关注微信公众号“云采链互联服务平台”，即可在线咨询相关事项</w:t>
      </w:r>
      <w:r>
        <w:rPr>
          <w:rFonts w:hint="eastAsia" w:ascii="宋体" w:hAnsi="宋体" w:eastAsia="宋体"/>
          <w:color w:val="auto"/>
          <w:highlight w:val="none"/>
        </w:rPr>
        <w:t>。</w:t>
      </w:r>
    </w:p>
    <w:p>
      <w:pPr>
        <w:pStyle w:val="55"/>
        <w:widowControl/>
        <w:spacing w:line="360" w:lineRule="auto"/>
        <w:ind w:left="420" w:firstLine="0" w:firstLineChars="0"/>
        <w:jc w:val="center"/>
        <w:rPr>
          <w:rFonts w:ascii="宋体" w:hAnsi="宋体" w:eastAsia="宋体"/>
          <w:b/>
          <w:color w:val="auto"/>
          <w:highlight w:val="none"/>
        </w:rPr>
      </w:pPr>
      <w:r>
        <w:rPr>
          <w:rFonts w:hint="eastAsia" w:ascii="宋体" w:hAnsi="宋体" w:eastAsia="宋体"/>
          <w:color w:val="auto"/>
          <w:highlight w:val="none"/>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pStyle w:val="34"/>
        <w:spacing w:before="0" w:after="0"/>
        <w:rPr>
          <w:rFonts w:ascii="宋体" w:hAnsi="宋体"/>
          <w:color w:val="auto"/>
          <w:highlight w:val="none"/>
        </w:rPr>
      </w:pPr>
      <w:r>
        <w:rPr>
          <w:rFonts w:ascii="宋体" w:hAnsi="宋体"/>
          <w:color w:val="auto"/>
          <w:highlight w:val="none"/>
        </w:rPr>
        <w:br w:type="page"/>
      </w:r>
      <w:r>
        <w:rPr>
          <w:rFonts w:hint="eastAsia" w:ascii="宋体" w:hAnsi="宋体"/>
          <w:color w:val="auto"/>
          <w:kern w:val="0"/>
          <w:highlight w:val="none"/>
          <w:lang w:val="zh-CN"/>
        </w:rPr>
        <w:t>第二章用户需求书</w:t>
      </w:r>
    </w:p>
    <w:p>
      <w:pPr>
        <w:pStyle w:val="55"/>
        <w:numPr>
          <w:ilvl w:val="0"/>
          <w:numId w:val="14"/>
        </w:numPr>
        <w:spacing w:before="156" w:beforeLines="50" w:line="360" w:lineRule="auto"/>
        <w:ind w:firstLineChars="0"/>
        <w:rPr>
          <w:rFonts w:ascii="宋体" w:hAnsi="宋体" w:eastAsia="宋体" w:cs="宋体"/>
          <w:b/>
          <w:color w:val="auto"/>
          <w:szCs w:val="21"/>
          <w:highlight w:val="none"/>
        </w:rPr>
      </w:pPr>
      <w:r>
        <w:rPr>
          <w:rFonts w:hint="eastAsia" w:ascii="宋体" w:hAnsi="宋体" w:eastAsia="宋体" w:cs="微软雅黑"/>
          <w:b/>
          <w:color w:val="auto"/>
          <w:szCs w:val="21"/>
          <w:highlight w:val="none"/>
        </w:rPr>
        <w:t>项</w:t>
      </w:r>
      <w:r>
        <w:rPr>
          <w:rFonts w:hint="eastAsia" w:ascii="宋体" w:hAnsi="宋体" w:eastAsia="宋体" w:cs="Gulim"/>
          <w:b/>
          <w:color w:val="auto"/>
          <w:szCs w:val="21"/>
          <w:highlight w:val="none"/>
        </w:rPr>
        <w:t>目</w:t>
      </w:r>
      <w:r>
        <w:rPr>
          <w:rFonts w:hint="eastAsia" w:ascii="宋体" w:hAnsi="宋体" w:eastAsia="宋体" w:cs="宋体"/>
          <w:b/>
          <w:color w:val="auto"/>
          <w:szCs w:val="21"/>
          <w:highlight w:val="none"/>
        </w:rPr>
        <w:t>一</w:t>
      </w:r>
      <w:r>
        <w:rPr>
          <w:rFonts w:hint="eastAsia" w:ascii="宋体" w:hAnsi="宋体" w:eastAsia="宋体" w:cs="微软雅黑"/>
          <w:b/>
          <w:color w:val="auto"/>
          <w:szCs w:val="21"/>
          <w:highlight w:val="none"/>
        </w:rPr>
        <w:t>览</w:t>
      </w:r>
      <w:r>
        <w:rPr>
          <w:rFonts w:hint="eastAsia" w:ascii="宋体" w:hAnsi="宋体" w:eastAsia="宋体" w:cs="宋体"/>
          <w:b/>
          <w:color w:val="auto"/>
          <w:szCs w:val="21"/>
          <w:highlight w:val="none"/>
        </w:rPr>
        <w:t>表</w:t>
      </w:r>
    </w:p>
    <w:tbl>
      <w:tblPr>
        <w:tblStyle w:val="3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89"/>
        <w:gridCol w:w="1006"/>
        <w:gridCol w:w="2142"/>
        <w:gridCol w:w="3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1232" w:type="pct"/>
            <w:shd w:val="clear" w:color="auto" w:fill="EEECE1"/>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采购内容</w:t>
            </w:r>
          </w:p>
        </w:tc>
        <w:tc>
          <w:tcPr>
            <w:tcW w:w="593" w:type="pct"/>
            <w:shd w:val="clear" w:color="auto" w:fill="EEECE1"/>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数量</w:t>
            </w:r>
          </w:p>
        </w:tc>
        <w:tc>
          <w:tcPr>
            <w:tcW w:w="1263" w:type="pct"/>
            <w:shd w:val="clear" w:color="auto" w:fill="EEECE1"/>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服务期</w:t>
            </w:r>
          </w:p>
        </w:tc>
        <w:tc>
          <w:tcPr>
            <w:tcW w:w="1912" w:type="pct"/>
            <w:shd w:val="clear" w:color="auto" w:fill="EEECE1"/>
            <w:vAlign w:val="center"/>
          </w:tcPr>
          <w:p>
            <w:pPr>
              <w:jc w:val="center"/>
              <w:rPr>
                <w:rFonts w:ascii="宋体" w:hAnsi="宋体" w:eastAsia="宋体"/>
                <w:color w:val="auto"/>
                <w:szCs w:val="21"/>
                <w:highlight w:val="none"/>
              </w:rPr>
            </w:pPr>
            <w:r>
              <w:rPr>
                <w:rFonts w:hint="eastAsia" w:ascii="宋体" w:hAnsi="宋体" w:eastAsia="宋体"/>
                <w:b/>
                <w:color w:val="auto"/>
                <w:szCs w:val="21"/>
                <w:highlight w:val="none"/>
              </w:rPr>
              <w:t>最高限价（含税）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6" w:hRule="atLeast"/>
          <w:jc w:val="center"/>
        </w:trPr>
        <w:tc>
          <w:tcPr>
            <w:tcW w:w="1232" w:type="pct"/>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海口海洋地质调查中心</w:t>
            </w:r>
            <w:r>
              <w:rPr>
                <w:rFonts w:hint="eastAsia" w:ascii="宋体" w:hAnsi="宋体" w:eastAsia="宋体"/>
                <w:color w:val="auto"/>
                <w:szCs w:val="21"/>
                <w:highlight w:val="none"/>
              </w:rPr>
              <w:t>海南岛东南海域海洋能数据分析及资源量评估</w:t>
            </w:r>
          </w:p>
        </w:tc>
        <w:tc>
          <w:tcPr>
            <w:tcW w:w="593" w:type="pct"/>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1项</w:t>
            </w:r>
          </w:p>
        </w:tc>
        <w:tc>
          <w:tcPr>
            <w:tcW w:w="1263" w:type="pct"/>
            <w:vAlign w:val="center"/>
          </w:tcPr>
          <w:p>
            <w:pPr>
              <w:jc w:val="center"/>
              <w:rPr>
                <w:rFonts w:ascii="宋体" w:hAnsi="宋体" w:eastAsia="宋体"/>
                <w:color w:val="auto"/>
                <w:szCs w:val="21"/>
                <w:highlight w:val="none"/>
              </w:rPr>
            </w:pPr>
            <w:r>
              <w:rPr>
                <w:rFonts w:hint="eastAsia" w:ascii="宋体" w:hAnsi="宋体" w:eastAsia="宋体"/>
                <w:bCs/>
                <w:color w:val="auto"/>
                <w:szCs w:val="21"/>
                <w:highlight w:val="none"/>
              </w:rPr>
              <w:t>从签订合同之日起，到2</w:t>
            </w:r>
            <w:r>
              <w:rPr>
                <w:rFonts w:ascii="宋体" w:hAnsi="宋体" w:eastAsia="宋体"/>
                <w:bCs/>
                <w:color w:val="auto"/>
                <w:szCs w:val="21"/>
                <w:highlight w:val="none"/>
              </w:rPr>
              <w:t>024</w:t>
            </w:r>
            <w:r>
              <w:rPr>
                <w:rFonts w:hint="eastAsia" w:ascii="宋体" w:hAnsi="宋体" w:eastAsia="宋体"/>
                <w:bCs/>
                <w:color w:val="auto"/>
                <w:szCs w:val="21"/>
                <w:highlight w:val="none"/>
              </w:rPr>
              <w:t>年</w:t>
            </w:r>
            <w:r>
              <w:rPr>
                <w:rFonts w:ascii="宋体" w:hAnsi="宋体" w:eastAsia="宋体"/>
                <w:bCs/>
                <w:color w:val="auto"/>
                <w:szCs w:val="21"/>
                <w:highlight w:val="none"/>
              </w:rPr>
              <w:t>1</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月</w:t>
            </w:r>
            <w:r>
              <w:rPr>
                <w:rFonts w:ascii="宋体" w:hAnsi="宋体" w:eastAsia="宋体"/>
                <w:bCs/>
                <w:color w:val="auto"/>
                <w:szCs w:val="21"/>
                <w:highlight w:val="none"/>
              </w:rPr>
              <w:t>20</w:t>
            </w:r>
            <w:r>
              <w:rPr>
                <w:rFonts w:hint="eastAsia" w:ascii="宋体" w:hAnsi="宋体" w:eastAsia="宋体"/>
                <w:bCs/>
                <w:color w:val="auto"/>
                <w:szCs w:val="21"/>
                <w:highlight w:val="none"/>
              </w:rPr>
              <w:t>日完成</w:t>
            </w:r>
            <w:r>
              <w:rPr>
                <w:rFonts w:hint="eastAsia" w:ascii="宋体" w:hAnsi="宋体" w:eastAsia="宋体"/>
                <w:color w:val="auto"/>
                <w:szCs w:val="21"/>
                <w:highlight w:val="none"/>
              </w:rPr>
              <w:t xml:space="preserve">    </w:t>
            </w:r>
          </w:p>
        </w:tc>
        <w:tc>
          <w:tcPr>
            <w:tcW w:w="1912" w:type="pct"/>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人民币100000.00元</w:t>
            </w:r>
          </w:p>
        </w:tc>
      </w:tr>
    </w:tbl>
    <w:p>
      <w:pPr>
        <w:pStyle w:val="55"/>
        <w:numPr>
          <w:ilvl w:val="0"/>
          <w:numId w:val="14"/>
        </w:numPr>
        <w:spacing w:before="156" w:beforeLines="50" w:line="360" w:lineRule="auto"/>
        <w:ind w:firstLineChars="0"/>
        <w:rPr>
          <w:rFonts w:hint="eastAsia" w:ascii="宋体" w:hAnsi="宋体" w:eastAsia="宋体" w:cs="微软雅黑"/>
          <w:b/>
          <w:color w:val="auto"/>
          <w:szCs w:val="21"/>
          <w:highlight w:val="none"/>
        </w:rPr>
      </w:pPr>
      <w:bookmarkStart w:id="0" w:name="_Toc97017994"/>
      <w:r>
        <w:rPr>
          <w:rFonts w:hint="eastAsia" w:ascii="宋体" w:hAnsi="宋体" w:eastAsia="宋体" w:cs="微软雅黑"/>
          <w:b/>
          <w:color w:val="auto"/>
          <w:szCs w:val="21"/>
          <w:highlight w:val="none"/>
        </w:rPr>
        <w:t>项目基本情况</w:t>
      </w:r>
      <w:bookmarkEnd w:id="0"/>
    </w:p>
    <w:p>
      <w:pPr>
        <w:spacing w:line="360" w:lineRule="auto"/>
        <w:ind w:firstLine="420" w:firstLineChars="200"/>
        <w:rPr>
          <w:rFonts w:hint="eastAsia" w:ascii="宋体" w:hAnsi="宋体" w:eastAsia="宋体"/>
          <w:color w:val="auto"/>
          <w:szCs w:val="21"/>
          <w:highlight w:val="none"/>
        </w:rPr>
      </w:pPr>
      <w:bookmarkStart w:id="1" w:name="_Hlk99004553"/>
      <w:r>
        <w:rPr>
          <w:rFonts w:hint="eastAsia" w:ascii="宋体" w:hAnsi="宋体" w:eastAsia="宋体"/>
          <w:bCs/>
          <w:color w:val="auto"/>
          <w:szCs w:val="21"/>
          <w:highlight w:val="none"/>
        </w:rPr>
        <w:t>项目名</w:t>
      </w:r>
      <w:r>
        <w:rPr>
          <w:rFonts w:ascii="宋体" w:hAnsi="宋体" w:eastAsia="宋体"/>
          <w:bCs/>
          <w:color w:val="auto"/>
          <w:szCs w:val="21"/>
          <w:highlight w:val="none"/>
        </w:rPr>
        <w:t>称</w:t>
      </w:r>
      <w:r>
        <w:rPr>
          <w:rFonts w:hint="eastAsia" w:ascii="宋体" w:hAnsi="宋体" w:eastAsia="宋体"/>
          <w:bCs/>
          <w:color w:val="auto"/>
          <w:szCs w:val="21"/>
          <w:highlight w:val="none"/>
        </w:rPr>
        <w:t>∶</w:t>
      </w:r>
      <w:bookmarkEnd w:id="1"/>
      <w:r>
        <w:rPr>
          <w:rFonts w:hint="eastAsia" w:ascii="宋体" w:hAnsi="宋体" w:eastAsia="宋体"/>
          <w:color w:val="auto"/>
          <w:szCs w:val="21"/>
          <w:highlight w:val="none"/>
          <w:lang w:val="en-US" w:eastAsia="zh-CN"/>
        </w:rPr>
        <w:t>海口海洋地质调查中心</w:t>
      </w:r>
      <w:r>
        <w:rPr>
          <w:rFonts w:hint="eastAsia" w:ascii="宋体" w:hAnsi="宋体" w:eastAsia="宋体"/>
          <w:color w:val="auto"/>
          <w:szCs w:val="21"/>
          <w:highlight w:val="none"/>
        </w:rPr>
        <w:t>海南岛东南海域海洋能数据分析及资源量评估</w:t>
      </w:r>
    </w:p>
    <w:p>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委托业务类型：专题研究</w:t>
      </w:r>
    </w:p>
    <w:p>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所属项目名称∶海南岛东南海域自然资源调查试点项目</w:t>
      </w:r>
    </w:p>
    <w:p>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经费预算：人民币10万元</w:t>
      </w:r>
    </w:p>
    <w:p>
      <w:pPr>
        <w:pStyle w:val="55"/>
        <w:numPr>
          <w:ilvl w:val="0"/>
          <w:numId w:val="14"/>
        </w:numPr>
        <w:spacing w:before="156" w:beforeLines="50" w:line="360" w:lineRule="auto"/>
        <w:ind w:firstLineChars="0"/>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目标任务</w:t>
      </w:r>
    </w:p>
    <w:p>
      <w:pPr>
        <w:numPr>
          <w:ilvl w:val="0"/>
          <w:numId w:val="0"/>
        </w:numPr>
        <w:spacing w:line="360" w:lineRule="auto"/>
        <w:ind w:leftChars="0"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使用高分辨率非结构化网格海洋数值模式FESOM对海南岛东南海域的海洋状态进行模拟，获取研究区域小时级时间分辨率海平面高度、海洋温度、海洋盐度、海洋流场等数据。</w:t>
      </w:r>
    </w:p>
    <w:p>
      <w:pPr>
        <w:numPr>
          <w:ilvl w:val="0"/>
          <w:numId w:val="0"/>
        </w:numPr>
        <w:spacing w:line="360" w:lineRule="auto"/>
        <w:ind w:leftChars="0"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2.</w:t>
      </w:r>
      <w:r>
        <w:rPr>
          <w:rFonts w:hint="eastAsia" w:ascii="宋体" w:hAnsi="宋体" w:eastAsia="宋体"/>
          <w:bCs/>
          <w:color w:val="auto"/>
          <w:szCs w:val="21"/>
          <w:highlight w:val="none"/>
        </w:rPr>
        <w:t>基于FESOM模式结果数据与观测数据进行同化和修正。</w:t>
      </w:r>
    </w:p>
    <w:p>
      <w:pPr>
        <w:numPr>
          <w:ilvl w:val="0"/>
          <w:numId w:val="0"/>
        </w:numPr>
        <w:spacing w:line="360" w:lineRule="auto"/>
        <w:ind w:leftChars="0"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分析海南岛周边工作区潮汐能、潮流能的时空分布变化。</w:t>
      </w:r>
    </w:p>
    <w:p>
      <w:pPr>
        <w:numPr>
          <w:ilvl w:val="0"/>
          <w:numId w:val="0"/>
        </w:numPr>
        <w:spacing w:line="360" w:lineRule="auto"/>
        <w:ind w:leftChars="0"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lang w:val="en-US" w:eastAsia="zh-CN"/>
        </w:rPr>
        <w:t>4.</w:t>
      </w:r>
      <w:r>
        <w:rPr>
          <w:rFonts w:hint="eastAsia" w:ascii="宋体" w:hAnsi="宋体" w:eastAsia="宋体"/>
          <w:bCs/>
          <w:color w:val="auto"/>
          <w:szCs w:val="21"/>
          <w:highlight w:val="none"/>
        </w:rPr>
        <w:t>协助采购人编制海洋能相关图件。</w:t>
      </w:r>
    </w:p>
    <w:p>
      <w:pPr>
        <w:pStyle w:val="55"/>
        <w:numPr>
          <w:ilvl w:val="0"/>
          <w:numId w:val="14"/>
        </w:numPr>
        <w:spacing w:before="156" w:beforeLines="50" w:line="360" w:lineRule="auto"/>
        <w:ind w:firstLineChars="0"/>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调查方法</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1.收集研究区背景数据资料，并视情况补充现场调查。</w:t>
      </w:r>
    </w:p>
    <w:p>
      <w:pPr>
        <w:pStyle w:val="19"/>
        <w:ind w:firstLine="402" w:firstLineChars="200"/>
        <w:rPr>
          <w:rFonts w:hAnsi="宋体" w:cs="宋体"/>
          <w:b/>
          <w:bCs/>
          <w:color w:val="auto"/>
          <w:highlight w:val="none"/>
        </w:rPr>
      </w:pPr>
      <w:r>
        <w:rPr>
          <w:rFonts w:hint="eastAsia" w:hAnsi="宋体" w:cs="宋体"/>
          <w:b/>
          <w:bCs/>
          <w:color w:val="auto"/>
          <w:highlight w:val="none"/>
        </w:rPr>
        <w:t>2.开展海洋能资源评估</w:t>
      </w:r>
    </w:p>
    <w:p>
      <w:pPr>
        <w:pStyle w:val="19"/>
        <w:spacing w:line="360" w:lineRule="auto"/>
        <w:ind w:firstLine="420" w:firstLineChars="200"/>
        <w:rPr>
          <w:rFonts w:hAnsi="宋体" w:cs="宋体"/>
          <w:color w:val="auto"/>
          <w:kern w:val="2"/>
          <w:sz w:val="21"/>
          <w:highlight w:val="none"/>
        </w:rPr>
      </w:pPr>
      <w:r>
        <w:rPr>
          <w:rFonts w:hint="eastAsia" w:hAnsi="宋体" w:cs="宋体"/>
          <w:color w:val="auto"/>
          <w:kern w:val="2"/>
          <w:sz w:val="21"/>
          <w:highlight w:val="none"/>
        </w:rPr>
        <w:t>通过数值模拟、资料融合与同化、计算资源评估参数、绘制资源图表等，进行资源蕴藏量和技术可开发量评估。研究区重点评估潮汐能、潮流能资源量</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（1）数值模拟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采取合适的数值模拟方法，如FESOM模式模拟方法，通过对中国南海区域网格进行局部加密，并对海南岛东南海域研究区域进一步加密，增加研究区域网格平均空间分辨率（小于3公里），输出数据时间步长为1小时，开展相关模拟。</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（2）数据同化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收集海南岛东南海域研究区域高精度观测资料，对模式模拟结果进行数据同化，优化模式模拟结果。</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（3）潮汐能、潮流能的时空分布变化分析</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使用同化后的模拟数据，评估海南岛东南海域研究区域的潮汐能、潮流能，分析研究区域潮汐能、潮流能的时空分布变化。提供潮汐特征值（包括：平均高潮位、平均低潮位，最高高潮位、最低低潮位、最大潮差、最小潮差、平均涨潮潮差、平均落潮潮差、平均潮差、平均涨潮历时、平均落潮历时等）、研究区域潮汐类型、理论深度基准面、潮汐能蕴藏量、潮流能功率密度、潮流能平均功率密度、有效流时等相关参数的特征分布和时空演化。</w:t>
      </w:r>
    </w:p>
    <w:p>
      <w:pPr>
        <w:spacing w:line="360" w:lineRule="auto"/>
        <w:ind w:firstLine="422" w:firstLineChars="200"/>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（4）编制海洋能调查与评估报告，提出相关资源开发建议。</w:t>
      </w:r>
    </w:p>
    <w:p>
      <w:pPr>
        <w:pStyle w:val="55"/>
        <w:numPr>
          <w:ilvl w:val="0"/>
          <w:numId w:val="14"/>
        </w:numPr>
        <w:spacing w:before="156" w:beforeLines="50" w:line="360" w:lineRule="auto"/>
        <w:ind w:firstLineChars="0"/>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预期成果与考核指标</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1.利用合适的数值模式模拟方法完成海南岛东南海域研究区域数值模拟。</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2.基于观测数据完成对模式数据的数据同化。</w:t>
      </w:r>
    </w:p>
    <w:p>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3.基于同化后数据完成研究区域潮汐能、潮流能资源量及时空分布分析。</w:t>
      </w:r>
    </w:p>
    <w:p>
      <w:pPr>
        <w:spacing w:line="360" w:lineRule="auto"/>
        <w:ind w:firstLine="420" w:firstLineChars="200"/>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完成</w:t>
      </w:r>
      <w:r>
        <w:rPr>
          <w:rFonts w:ascii="宋体" w:hAnsi="宋体" w:eastAsia="宋体" w:cs="宋体"/>
          <w:color w:val="auto"/>
          <w:szCs w:val="21"/>
          <w:highlight w:val="none"/>
        </w:rPr>
        <w:t>海南岛东南海域海洋能数据分析及资源量评估</w:t>
      </w:r>
      <w:r>
        <w:rPr>
          <w:rFonts w:hint="eastAsia" w:ascii="宋体" w:hAnsi="宋体" w:eastAsia="宋体" w:cs="宋体"/>
          <w:color w:val="auto"/>
          <w:szCs w:val="21"/>
          <w:highlight w:val="none"/>
        </w:rPr>
        <w:t>报告，并绘制各资源类型分布图表，提出海洋能资源开发建议。</w:t>
      </w:r>
    </w:p>
    <w:p>
      <w:pPr>
        <w:pStyle w:val="55"/>
        <w:numPr>
          <w:ilvl w:val="0"/>
          <w:numId w:val="14"/>
        </w:numPr>
        <w:spacing w:before="156" w:beforeLines="50" w:line="360" w:lineRule="auto"/>
        <w:ind w:firstLineChars="0"/>
        <w:rPr>
          <w:rFonts w:hint="eastAsia" w:ascii="宋体" w:hAnsi="宋体" w:eastAsia="宋体" w:cs="微软雅黑"/>
          <w:b/>
          <w:color w:val="auto"/>
          <w:szCs w:val="21"/>
          <w:highlight w:val="none"/>
        </w:rPr>
      </w:pPr>
      <w:bookmarkStart w:id="2" w:name="_Hlk104332737"/>
      <w:r>
        <w:rPr>
          <w:rFonts w:hint="eastAsia" w:ascii="宋体" w:hAnsi="宋体" w:eastAsia="宋体" w:cs="微软雅黑"/>
          <w:b/>
          <w:color w:val="auto"/>
          <w:szCs w:val="21"/>
          <w:highlight w:val="none"/>
        </w:rPr>
        <w:t>相关要求</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（一）完成时间</w:t>
      </w:r>
    </w:p>
    <w:p>
      <w:pPr>
        <w:spacing w:line="360" w:lineRule="auto"/>
        <w:ind w:firstLine="420" w:firstLineChars="200"/>
        <w:rPr>
          <w:rFonts w:hint="eastAsia" w:ascii="宋体" w:hAnsi="宋体" w:eastAsia="宋体"/>
          <w:bCs/>
          <w:color w:val="auto"/>
          <w:szCs w:val="21"/>
          <w:highlight w:val="none"/>
        </w:rPr>
      </w:pPr>
      <w:r>
        <w:rPr>
          <w:rFonts w:hint="eastAsia" w:ascii="宋体" w:hAnsi="宋体" w:eastAsia="宋体"/>
          <w:bCs/>
          <w:color w:val="auto"/>
          <w:szCs w:val="21"/>
          <w:highlight w:val="none"/>
        </w:rPr>
        <w:t>专题研究从签订合同之日起，到2</w:t>
      </w:r>
      <w:r>
        <w:rPr>
          <w:rFonts w:ascii="宋体" w:hAnsi="宋体" w:eastAsia="宋体"/>
          <w:bCs/>
          <w:color w:val="auto"/>
          <w:szCs w:val="21"/>
          <w:highlight w:val="none"/>
        </w:rPr>
        <w:t>024</w:t>
      </w:r>
      <w:r>
        <w:rPr>
          <w:rFonts w:hint="eastAsia" w:ascii="宋体" w:hAnsi="宋体" w:eastAsia="宋体"/>
          <w:bCs/>
          <w:color w:val="auto"/>
          <w:szCs w:val="21"/>
          <w:highlight w:val="none"/>
        </w:rPr>
        <w:t>年</w:t>
      </w:r>
      <w:r>
        <w:rPr>
          <w:rFonts w:ascii="宋体" w:hAnsi="宋体" w:eastAsia="宋体"/>
          <w:bCs/>
          <w:color w:val="auto"/>
          <w:szCs w:val="21"/>
          <w:highlight w:val="none"/>
        </w:rPr>
        <w:t>11</w:t>
      </w:r>
      <w:r>
        <w:rPr>
          <w:rFonts w:hint="eastAsia" w:ascii="宋体" w:hAnsi="宋体" w:eastAsia="宋体"/>
          <w:bCs/>
          <w:color w:val="auto"/>
          <w:szCs w:val="21"/>
          <w:highlight w:val="none"/>
        </w:rPr>
        <w:t>月</w:t>
      </w:r>
      <w:r>
        <w:rPr>
          <w:rFonts w:ascii="宋体" w:hAnsi="宋体" w:eastAsia="宋体"/>
          <w:bCs/>
          <w:color w:val="auto"/>
          <w:szCs w:val="21"/>
          <w:highlight w:val="none"/>
        </w:rPr>
        <w:t>20</w:t>
      </w:r>
      <w:r>
        <w:rPr>
          <w:rFonts w:hint="eastAsia" w:ascii="宋体" w:hAnsi="宋体" w:eastAsia="宋体"/>
          <w:bCs/>
          <w:color w:val="auto"/>
          <w:szCs w:val="21"/>
          <w:highlight w:val="none"/>
        </w:rPr>
        <w:t>日完成。</w:t>
      </w:r>
    </w:p>
    <w:p>
      <w:pPr>
        <w:spacing w:line="360" w:lineRule="auto"/>
        <w:rPr>
          <w:rFonts w:hint="eastAsia"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（二）成果要求</w:t>
      </w:r>
    </w:p>
    <w:p>
      <w:pPr>
        <w:numPr>
          <w:ilvl w:val="0"/>
          <w:numId w:val="0"/>
        </w:numPr>
        <w:adjustRightInd w:val="0"/>
        <w:snapToGrid w:val="0"/>
        <w:spacing w:line="360" w:lineRule="auto"/>
        <w:ind w:firstLine="420" w:firstLineChars="200"/>
        <w:rPr>
          <w:rFonts w:hint="eastAsia" w:ascii="宋体" w:hAnsi="宋体" w:eastAsia="宋体"/>
          <w:b/>
          <w:color w:val="auto"/>
          <w:szCs w:val="21"/>
          <w:highlight w:val="none"/>
        </w:rPr>
      </w:pPr>
      <w:r>
        <w:rPr>
          <w:rFonts w:hint="eastAsia" w:ascii="宋体" w:hAnsi="宋体" w:eastAsia="宋体" w:cs="宋体"/>
          <w:color w:val="auto"/>
          <w:szCs w:val="21"/>
          <w:highlight w:val="none"/>
        </w:rPr>
        <w:t>按照采购人委托业务管理规定编制实施方案、专题研究报告及结算报告。</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（三）质量要求</w:t>
      </w:r>
    </w:p>
    <w:p>
      <w:pPr>
        <w:spacing w:line="360" w:lineRule="auto"/>
        <w:ind w:firstLine="420" w:firstLineChars="200"/>
        <w:rPr>
          <w:rFonts w:ascii="宋体" w:hAnsi="宋体" w:eastAsia="宋体"/>
          <w:bCs/>
          <w:color w:val="auto"/>
          <w:szCs w:val="21"/>
          <w:highlight w:val="none"/>
        </w:rPr>
      </w:pPr>
      <w:r>
        <w:rPr>
          <w:rFonts w:ascii="宋体" w:hAnsi="宋体" w:eastAsia="宋体"/>
          <w:bCs/>
          <w:color w:val="auto"/>
          <w:szCs w:val="21"/>
          <w:highlight w:val="none"/>
        </w:rPr>
        <w:t>1.</w:t>
      </w:r>
      <w:r>
        <w:rPr>
          <w:rFonts w:hint="eastAsia" w:ascii="宋体" w:hAnsi="宋体" w:eastAsia="宋体"/>
          <w:bCs/>
          <w:color w:val="auto"/>
          <w:szCs w:val="21"/>
          <w:highlight w:val="none"/>
        </w:rPr>
        <w:t>中期质量检查、最终成果通过验收，项目实施过程质量管理资料齐全、完整。</w:t>
      </w:r>
    </w:p>
    <w:p>
      <w:pPr>
        <w:spacing w:line="360" w:lineRule="auto"/>
        <w:ind w:firstLine="420" w:firstLineChars="200"/>
        <w:rPr>
          <w:rFonts w:ascii="宋体" w:hAnsi="宋体" w:eastAsia="宋体"/>
          <w:bCs/>
          <w:color w:val="auto"/>
          <w:szCs w:val="21"/>
          <w:highlight w:val="none"/>
        </w:rPr>
      </w:pPr>
      <w:r>
        <w:rPr>
          <w:rFonts w:ascii="宋体" w:hAnsi="宋体" w:eastAsia="宋体"/>
          <w:bCs/>
          <w:color w:val="auto"/>
          <w:szCs w:val="21"/>
          <w:highlight w:val="none"/>
        </w:rPr>
        <w:t>2.</w:t>
      </w:r>
      <w:r>
        <w:rPr>
          <w:rFonts w:hint="eastAsia" w:ascii="宋体" w:hAnsi="宋体" w:eastAsia="宋体"/>
          <w:bCs/>
          <w:color w:val="auto"/>
          <w:szCs w:val="21"/>
          <w:highlight w:val="none"/>
        </w:rPr>
        <w:t>项目实施过程中收集、产生的资料必须齐全，过程资料要完整。</w:t>
      </w: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（四）其他要求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bCs/>
          <w:color w:val="auto"/>
          <w:szCs w:val="21"/>
          <w:highlight w:val="none"/>
        </w:rPr>
        <w:t>1</w:t>
      </w:r>
      <w:r>
        <w:rPr>
          <w:rFonts w:ascii="宋体" w:hAnsi="宋体" w:eastAsia="宋体"/>
          <w:bCs/>
          <w:color w:val="auto"/>
          <w:szCs w:val="21"/>
          <w:highlight w:val="none"/>
        </w:rPr>
        <w:t>.</w:t>
      </w:r>
      <w:r>
        <w:rPr>
          <w:rFonts w:hint="eastAsia" w:ascii="宋体" w:hAnsi="宋体" w:eastAsia="宋体"/>
          <w:bCs/>
          <w:color w:val="auto"/>
          <w:szCs w:val="21"/>
          <w:highlight w:val="none"/>
        </w:rPr>
        <w:t>供应商要求：</w:t>
      </w:r>
      <w:r>
        <w:rPr>
          <w:rFonts w:hint="eastAsia" w:ascii="宋体" w:hAnsi="宋体" w:eastAsia="宋体" w:cs="宋体"/>
          <w:color w:val="auto"/>
          <w:szCs w:val="21"/>
          <w:highlight w:val="none"/>
        </w:rPr>
        <w:t>成交供应商必须具备独立承担项目的能力，严禁分包给第三方。</w:t>
      </w:r>
    </w:p>
    <w:p>
      <w:pPr>
        <w:spacing w:line="360" w:lineRule="auto"/>
        <w:ind w:firstLine="420" w:firstLineChars="200"/>
        <w:rPr>
          <w:rFonts w:hint="eastAsia" w:ascii="宋体" w:hAnsi="宋体" w:eastAsia="宋体" w:cs="宋体"/>
          <w:color w:val="auto"/>
          <w:szCs w:val="21"/>
          <w:highlight w:val="none"/>
        </w:rPr>
      </w:pPr>
      <w:r>
        <w:rPr>
          <w:rFonts w:ascii="宋体" w:hAnsi="宋体" w:eastAsia="宋体"/>
          <w:bCs/>
          <w:color w:val="auto"/>
          <w:szCs w:val="21"/>
          <w:highlight w:val="none"/>
        </w:rPr>
        <w:t>2.</w:t>
      </w:r>
      <w:r>
        <w:rPr>
          <w:rFonts w:hint="eastAsia" w:ascii="宋体" w:hAnsi="宋体" w:eastAsia="宋体"/>
          <w:bCs/>
          <w:color w:val="auto"/>
          <w:szCs w:val="21"/>
          <w:highlight w:val="none"/>
        </w:rPr>
        <w:t>人才培养要求：</w:t>
      </w:r>
      <w:r>
        <w:rPr>
          <w:rFonts w:hint="eastAsia" w:ascii="宋体" w:hAnsi="宋体" w:eastAsia="宋体" w:cs="宋体"/>
          <w:color w:val="auto"/>
          <w:szCs w:val="21"/>
          <w:highlight w:val="none"/>
        </w:rPr>
        <w:t>确定合作关系后，负责对采购人项目组成员进行业务培训，让其熟悉专题研究整套流程并基本掌握相关技术能力。</w:t>
      </w:r>
    </w:p>
    <w:p>
      <w:pPr>
        <w:spacing w:line="360" w:lineRule="auto"/>
        <w:ind w:firstLine="420" w:firstLineChars="200"/>
        <w:rPr>
          <w:rFonts w:ascii="宋体" w:hAnsi="宋体" w:eastAsia="宋体"/>
          <w:bCs/>
          <w:color w:val="auto"/>
          <w:szCs w:val="21"/>
          <w:highlight w:val="none"/>
        </w:rPr>
      </w:pPr>
      <w:r>
        <w:rPr>
          <w:rFonts w:hint="eastAsia" w:ascii="宋体" w:hAnsi="宋体" w:eastAsia="宋体"/>
          <w:bCs/>
          <w:color w:val="auto"/>
          <w:szCs w:val="21"/>
          <w:highlight w:val="none"/>
        </w:rPr>
        <w:t>3</w:t>
      </w:r>
      <w:r>
        <w:rPr>
          <w:rFonts w:ascii="宋体" w:hAnsi="宋体" w:eastAsia="宋体"/>
          <w:bCs/>
          <w:color w:val="auto"/>
          <w:szCs w:val="21"/>
          <w:highlight w:val="none"/>
        </w:rPr>
        <w:t>.</w:t>
      </w:r>
      <w:r>
        <w:rPr>
          <w:rFonts w:hint="eastAsia" w:ascii="宋体" w:hAnsi="宋体" w:eastAsia="宋体"/>
          <w:bCs/>
          <w:color w:val="auto"/>
          <w:szCs w:val="21"/>
          <w:highlight w:val="none"/>
        </w:rPr>
        <w:t>保密要求：项目执行过程中严格遵守相关保密要求，成交供应商对项目实施过程中收集、产生的各类数据具有保密责任，未经采购人同意，严禁泄漏给第三方。</w:t>
      </w:r>
    </w:p>
    <w:p>
      <w:pPr>
        <w:pStyle w:val="55"/>
        <w:numPr>
          <w:ilvl w:val="0"/>
          <w:numId w:val="14"/>
        </w:numPr>
        <w:spacing w:before="156" w:beforeLines="50" w:line="360" w:lineRule="auto"/>
        <w:ind w:firstLineChars="0"/>
        <w:rPr>
          <w:rFonts w:ascii="宋体" w:hAnsi="宋体" w:eastAsia="宋体" w:cs="微软雅黑"/>
          <w:b/>
          <w:color w:val="auto"/>
          <w:szCs w:val="21"/>
          <w:highlight w:val="none"/>
        </w:rPr>
      </w:pPr>
      <w:r>
        <w:rPr>
          <w:rFonts w:hint="eastAsia" w:ascii="宋体" w:hAnsi="宋体" w:eastAsia="宋体" w:cs="微软雅黑"/>
          <w:b/>
          <w:color w:val="auto"/>
          <w:szCs w:val="21"/>
          <w:highlight w:val="none"/>
        </w:rPr>
        <w:t xml:space="preserve"> 付款方式</w:t>
      </w:r>
    </w:p>
    <w:p>
      <w:pPr>
        <w:snapToGrid w:val="0"/>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签订合同后15日内，</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支付50%首付款，</w:t>
      </w:r>
      <w:r>
        <w:rPr>
          <w:rFonts w:hint="eastAsia" w:ascii="宋体" w:hAnsi="宋体" w:eastAsia="宋体" w:cs="宋体"/>
          <w:color w:val="auto"/>
          <w:szCs w:val="21"/>
          <w:highlight w:val="none"/>
          <w:lang w:val="en-US" w:eastAsia="zh-CN"/>
        </w:rPr>
        <w:t>成交供应商</w:t>
      </w:r>
      <w:r>
        <w:rPr>
          <w:rFonts w:hint="eastAsia" w:ascii="宋体" w:hAnsi="宋体" w:eastAsia="宋体" w:cs="宋体"/>
          <w:color w:val="auto"/>
          <w:szCs w:val="21"/>
          <w:highlight w:val="none"/>
        </w:rPr>
        <w:t>完成所有工作内容，</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验收合格，通过结算审查后，支付剩余款项。</w:t>
      </w:r>
      <w:bookmarkEnd w:id="2"/>
    </w:p>
    <w:p>
      <w:pPr>
        <w:snapToGrid w:val="0"/>
        <w:spacing w:line="360" w:lineRule="auto"/>
        <w:ind w:firstLine="315" w:firstLineChars="150"/>
        <w:rPr>
          <w:rFonts w:ascii="宋体" w:hAnsi="宋体" w:eastAsia="宋体" w:cs="宋体"/>
          <w:b/>
          <w:color w:val="auto"/>
          <w:szCs w:val="21"/>
          <w:highlight w:val="none"/>
        </w:rPr>
      </w:pPr>
      <w:r>
        <w:rPr>
          <w:rFonts w:hint="eastAsia" w:ascii="宋体" w:hAnsi="宋体" w:eastAsia="宋体" w:cs="宋体"/>
          <w:color w:val="auto"/>
          <w:szCs w:val="21"/>
          <w:highlight w:val="none"/>
        </w:rPr>
        <w:t>此次采购内容以人民币进行结算。</w:t>
      </w:r>
    </w:p>
    <w:p>
      <w:pPr>
        <w:pStyle w:val="55"/>
        <w:numPr>
          <w:ilvl w:val="0"/>
          <w:numId w:val="14"/>
        </w:numPr>
        <w:spacing w:before="156" w:beforeLines="50" w:line="360" w:lineRule="auto"/>
        <w:ind w:firstLineChars="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综合评分标准</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本次采用综合评分法。评审以文件规定的条件为依据。评分比重构成如下：</w:t>
      </w:r>
    </w:p>
    <w:tbl>
      <w:tblPr>
        <w:tblStyle w:val="36"/>
        <w:tblW w:w="0" w:type="auto"/>
        <w:jc w:val="center"/>
        <w:tblLayout w:type="fixed"/>
        <w:tblCellMar>
          <w:top w:w="0" w:type="dxa"/>
          <w:left w:w="108" w:type="dxa"/>
          <w:bottom w:w="0" w:type="dxa"/>
          <w:right w:w="108" w:type="dxa"/>
        </w:tblCellMar>
      </w:tblPr>
      <w:tblGrid>
        <w:gridCol w:w="910"/>
        <w:gridCol w:w="1037"/>
        <w:gridCol w:w="2022"/>
        <w:gridCol w:w="680"/>
        <w:gridCol w:w="3332"/>
      </w:tblGrid>
      <w:tr>
        <w:tblPrEx>
          <w:tblCellMar>
            <w:top w:w="0" w:type="dxa"/>
            <w:left w:w="108" w:type="dxa"/>
            <w:bottom w:w="0" w:type="dxa"/>
            <w:right w:w="108" w:type="dxa"/>
          </w:tblCellMar>
        </w:tblPrEx>
        <w:trPr>
          <w:trHeight w:val="464" w:hRule="atLeast"/>
          <w:tblHeader/>
          <w:jc w:val="center"/>
        </w:trPr>
        <w:tc>
          <w:tcPr>
            <w:tcW w:w="910" w:type="dxa"/>
            <w:tcBorders>
              <w:top w:val="single" w:color="auto" w:sz="4" w:space="0"/>
              <w:left w:val="single" w:color="auto" w:sz="4" w:space="0"/>
              <w:bottom w:val="single" w:color="auto" w:sz="4" w:space="0"/>
              <w:right w:val="single" w:color="auto" w:sz="4" w:space="0"/>
            </w:tcBorders>
            <w:shd w:val="clear" w:color="auto" w:fill="EEECE1"/>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w:t>
            </w:r>
          </w:p>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因素</w:t>
            </w:r>
          </w:p>
        </w:tc>
        <w:tc>
          <w:tcPr>
            <w:tcW w:w="1037" w:type="dxa"/>
            <w:tcBorders>
              <w:top w:val="single" w:color="auto" w:sz="4" w:space="0"/>
              <w:left w:val="nil"/>
              <w:bottom w:val="single" w:color="auto" w:sz="4" w:space="0"/>
              <w:right w:val="single" w:color="auto" w:sz="4" w:space="0"/>
            </w:tcBorders>
            <w:shd w:val="clear" w:color="auto" w:fill="EEECE1"/>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w:t>
            </w:r>
          </w:p>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指标</w:t>
            </w:r>
          </w:p>
        </w:tc>
        <w:tc>
          <w:tcPr>
            <w:tcW w:w="2022" w:type="dxa"/>
            <w:tcBorders>
              <w:top w:val="single" w:color="auto" w:sz="4" w:space="0"/>
              <w:left w:val="nil"/>
              <w:bottom w:val="single" w:color="auto" w:sz="4" w:space="0"/>
              <w:right w:val="single" w:color="auto" w:sz="4" w:space="0"/>
            </w:tcBorders>
            <w:shd w:val="clear" w:color="auto" w:fill="EEECE1"/>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评审要点</w:t>
            </w:r>
          </w:p>
        </w:tc>
        <w:tc>
          <w:tcPr>
            <w:tcW w:w="680" w:type="dxa"/>
            <w:tcBorders>
              <w:top w:val="single" w:color="auto" w:sz="4" w:space="0"/>
              <w:left w:val="nil"/>
              <w:bottom w:val="single" w:color="auto" w:sz="4" w:space="0"/>
              <w:right w:val="single" w:color="auto" w:sz="4" w:space="0"/>
            </w:tcBorders>
            <w:shd w:val="clear" w:color="auto" w:fill="EEECE1"/>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分值</w:t>
            </w:r>
          </w:p>
        </w:tc>
        <w:tc>
          <w:tcPr>
            <w:tcW w:w="3332" w:type="dxa"/>
            <w:tcBorders>
              <w:top w:val="single" w:color="auto" w:sz="4" w:space="0"/>
              <w:left w:val="nil"/>
              <w:bottom w:val="single" w:color="auto" w:sz="4" w:space="0"/>
              <w:right w:val="single" w:color="auto" w:sz="4" w:space="0"/>
            </w:tcBorders>
            <w:shd w:val="clear" w:color="auto" w:fill="EEECE1"/>
            <w:vAlign w:val="center"/>
          </w:tcPr>
          <w:p>
            <w:pPr>
              <w:jc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评分标准</w:t>
            </w:r>
          </w:p>
        </w:tc>
      </w:tr>
      <w:tr>
        <w:tblPrEx>
          <w:tblCellMar>
            <w:top w:w="0" w:type="dxa"/>
            <w:left w:w="108" w:type="dxa"/>
            <w:bottom w:w="0" w:type="dxa"/>
            <w:right w:w="108" w:type="dxa"/>
          </w:tblCellMar>
        </w:tblPrEx>
        <w:trPr>
          <w:trHeight w:val="1069" w:hRule="atLeast"/>
          <w:jc w:val="center"/>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03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c>
          <w:tcPr>
            <w:tcW w:w="202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价格分统一采用低价优先法计算，即满足综合评审文件要求且报价最低的报价为基准价，其价格分为满分。其他响应供应商的价格分统一按照下列公式计算：</w:t>
            </w:r>
          </w:p>
          <w:p>
            <w:pPr>
              <w:jc w:val="center"/>
              <w:rPr>
                <w:rFonts w:ascii="宋体" w:hAnsi="宋体" w:eastAsia="宋体" w:cs="宋体"/>
                <w:color w:val="auto"/>
                <w:kern w:val="0"/>
                <w:sz w:val="21"/>
                <w:szCs w:val="21"/>
                <w:highlight w:val="none"/>
              </w:rPr>
            </w:pPr>
            <w:r>
              <w:rPr>
                <w:rFonts w:hint="eastAsia" w:ascii="宋体" w:hAnsi="宋体" w:eastAsia="宋体" w:cs="宋体"/>
                <w:color w:val="auto"/>
                <w:highlight w:val="none"/>
              </w:rPr>
              <w:t>报价得分=(基准价／最后报价)×100×价格权重</w:t>
            </w:r>
          </w:p>
        </w:tc>
        <w:tc>
          <w:tcPr>
            <w:tcW w:w="680" w:type="dxa"/>
            <w:tcBorders>
              <w:top w:val="nil"/>
              <w:left w:val="nil"/>
              <w:bottom w:val="single" w:color="auto" w:sz="4" w:space="0"/>
              <w:right w:val="single" w:color="auto" w:sz="4" w:space="0"/>
            </w:tcBorders>
            <w:shd w:val="clear" w:color="auto" w:fill="auto"/>
            <w:vAlign w:val="center"/>
          </w:tcPr>
          <w:p>
            <w:pPr>
              <w:pStyle w:val="2"/>
              <w:spacing w:line="240" w:lineRule="auto"/>
              <w:jc w:val="center"/>
              <w:rPr>
                <w:rFonts w:ascii="宋体" w:hAnsi="宋体" w:eastAsia="宋体" w:cs="宋体"/>
                <w:color w:val="auto"/>
                <w:kern w:val="0"/>
                <w:sz w:val="21"/>
                <w:szCs w:val="21"/>
                <w:highlight w:val="none"/>
              </w:rPr>
            </w:pPr>
            <w:r>
              <w:rPr>
                <w:rFonts w:hint="eastAsia" w:ascii="宋体" w:hAnsi="宋体" w:eastAsia="宋体" w:cs="宋体"/>
                <w:b w:val="0"/>
                <w:bCs w:val="0"/>
                <w:color w:val="auto"/>
                <w:sz w:val="21"/>
                <w:szCs w:val="21"/>
                <w:highlight w:val="none"/>
              </w:rPr>
              <w:t>15</w:t>
            </w:r>
          </w:p>
        </w:tc>
        <w:tc>
          <w:tcPr>
            <w:tcW w:w="3332" w:type="dxa"/>
            <w:tcBorders>
              <w:top w:val="nil"/>
              <w:left w:val="nil"/>
              <w:bottom w:val="single" w:color="auto" w:sz="4" w:space="0"/>
              <w:right w:val="single" w:color="auto" w:sz="4" w:space="0"/>
            </w:tcBorders>
            <w:shd w:val="clear" w:color="auto" w:fill="auto"/>
            <w:vAlign w:val="center"/>
          </w:tcPr>
          <w:p>
            <w:pPr>
              <w:pStyle w:val="2"/>
              <w:spacing w:line="240" w:lineRule="auto"/>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报价得分=(基准价／最后报价)×100×15%</w:t>
            </w:r>
          </w:p>
          <w:p>
            <w:pP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备注：1.报价得分四舍五入后，小数点后保留两位有效数；</w:t>
            </w:r>
          </w:p>
          <w:p>
            <w:pPr>
              <w:rPr>
                <w:rFonts w:hint="eastAsia" w:eastAsia="宋体"/>
                <w:color w:val="auto"/>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供应商的报价明显低于其他供应商报价，有可能影响项目质量或者不能诚信履约的，</w:t>
            </w:r>
            <w:r>
              <w:rPr>
                <w:rFonts w:hint="eastAsia" w:ascii="宋体" w:hAnsi="宋体" w:eastAsia="宋体" w:cs="宋体"/>
                <w:color w:val="auto"/>
                <w:kern w:val="0"/>
                <w:szCs w:val="21"/>
                <w:highlight w:val="none"/>
                <w:lang w:val="en-US" w:eastAsia="zh-CN"/>
              </w:rPr>
              <w:t>评审委员会</w:t>
            </w:r>
            <w:r>
              <w:rPr>
                <w:rFonts w:hint="eastAsia" w:ascii="宋体" w:hAnsi="宋体" w:eastAsia="宋体" w:cs="宋体"/>
                <w:color w:val="auto"/>
                <w:kern w:val="0"/>
                <w:szCs w:val="21"/>
                <w:highlight w:val="none"/>
              </w:rPr>
              <w:t>将要求其在评审现场合理的时间内提供书面说明，必要时提交相关证明材料；供应商不能证明其报价合理性的，评审委员会应当将其作为无效响应处理，取消其继续参与评审的资格</w:t>
            </w:r>
            <w:r>
              <w:rPr>
                <w:rFonts w:hint="eastAsia" w:ascii="宋体" w:hAnsi="宋体" w:eastAsia="宋体" w:cs="宋体"/>
                <w:color w:val="auto"/>
                <w:kern w:val="0"/>
                <w:szCs w:val="21"/>
                <w:highlight w:val="none"/>
                <w:lang w:eastAsia="zh-CN"/>
              </w:rPr>
              <w:t>。</w:t>
            </w:r>
          </w:p>
        </w:tc>
      </w:tr>
      <w:tr>
        <w:tblPrEx>
          <w:tblCellMar>
            <w:top w:w="0" w:type="dxa"/>
            <w:left w:w="108" w:type="dxa"/>
            <w:bottom w:w="0" w:type="dxa"/>
            <w:right w:w="108" w:type="dxa"/>
          </w:tblCellMar>
        </w:tblPrEx>
        <w:trPr>
          <w:trHeight w:val="1019" w:hRule="atLeast"/>
          <w:jc w:val="center"/>
        </w:trPr>
        <w:tc>
          <w:tcPr>
            <w:tcW w:w="91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p>
        </w:tc>
        <w:tc>
          <w:tcPr>
            <w:tcW w:w="1037"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工作业绩</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分）</w:t>
            </w:r>
          </w:p>
        </w:tc>
        <w:tc>
          <w:tcPr>
            <w:tcW w:w="2022" w:type="dxa"/>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rPr>
                <w:rFonts w:ascii="宋体" w:hAnsi="宋体" w:eastAsia="宋体"/>
                <w:color w:val="auto"/>
                <w:szCs w:val="21"/>
                <w:highlight w:val="none"/>
              </w:rPr>
            </w:pPr>
            <w:r>
              <w:rPr>
                <w:rFonts w:hint="eastAsia" w:ascii="宋体" w:hAnsi="宋体" w:eastAsia="宋体"/>
                <w:color w:val="auto"/>
                <w:szCs w:val="21"/>
                <w:highlight w:val="none"/>
              </w:rPr>
              <w:t>供应商具有海洋能数据分析及资源量评估能力，拟承担的队伍近十年(2014年1月1日至今)作为项目负责人承担过相关调查研究项目，调查质量及成果报告在合格及以上</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olor w:val="auto"/>
                <w:szCs w:val="21"/>
                <w:highlight w:val="none"/>
              </w:rPr>
              <w:t>注：提供①项目立项书，或②成果报告及验收意见书复印件等相关证明文件。以及③</w:t>
            </w:r>
            <w:r>
              <w:rPr>
                <w:rFonts w:ascii="宋体" w:hAnsi="宋体" w:eastAsia="宋体"/>
                <w:color w:val="auto"/>
                <w:szCs w:val="21"/>
                <w:highlight w:val="none"/>
              </w:rPr>
              <w:t>20</w:t>
            </w:r>
            <w:r>
              <w:rPr>
                <w:rFonts w:hint="eastAsia" w:ascii="宋体" w:hAnsi="宋体" w:eastAsia="宋体"/>
                <w:color w:val="auto"/>
                <w:szCs w:val="21"/>
                <w:highlight w:val="none"/>
              </w:rPr>
              <w:t>14</w:t>
            </w:r>
            <w:r>
              <w:rPr>
                <w:rFonts w:ascii="宋体" w:hAnsi="宋体" w:eastAsia="宋体"/>
                <w:color w:val="auto"/>
                <w:szCs w:val="21"/>
                <w:highlight w:val="none"/>
              </w:rPr>
              <w:t>年1月1日至今</w:t>
            </w:r>
            <w:r>
              <w:rPr>
                <w:rFonts w:hint="eastAsia" w:ascii="宋体" w:hAnsi="宋体" w:eastAsia="宋体"/>
                <w:color w:val="auto"/>
                <w:szCs w:val="21"/>
                <w:highlight w:val="none"/>
              </w:rPr>
              <w:t>项目业绩一览表。</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3332" w:type="dxa"/>
            <w:vMerge w:val="restart"/>
            <w:tcBorders>
              <w:top w:val="nil"/>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承担过3项及以上（3项及以上</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分，1项成果优秀</w:t>
            </w:r>
            <w:r>
              <w:rPr>
                <w:rFonts w:hint="eastAsia" w:ascii="宋体" w:hAnsi="宋体" w:eastAsia="宋体" w:cs="宋体"/>
                <w:color w:val="auto"/>
                <w:kern w:val="0"/>
                <w:szCs w:val="21"/>
                <w:highlight w:val="none"/>
                <w:lang w:val="en-US" w:eastAsia="zh-CN"/>
              </w:rPr>
              <w:t>得11</w:t>
            </w:r>
            <w:r>
              <w:rPr>
                <w:rFonts w:hint="eastAsia" w:ascii="宋体" w:hAnsi="宋体" w:eastAsia="宋体" w:cs="宋体"/>
                <w:color w:val="auto"/>
                <w:kern w:val="0"/>
                <w:szCs w:val="21"/>
                <w:highlight w:val="none"/>
              </w:rPr>
              <w:t>分，2项及以上成果优秀</w:t>
            </w:r>
            <w:r>
              <w:rPr>
                <w:rFonts w:hint="eastAsia" w:ascii="宋体" w:hAnsi="宋体" w:eastAsia="宋体" w:cs="宋体"/>
                <w:color w:val="auto"/>
                <w:kern w:val="0"/>
                <w:szCs w:val="21"/>
                <w:highlight w:val="none"/>
                <w:lang w:val="en-US" w:eastAsia="zh-CN"/>
              </w:rPr>
              <w:t>得12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承担过2项（2项</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分，1项成果优秀</w:t>
            </w:r>
            <w:r>
              <w:rPr>
                <w:rFonts w:hint="eastAsia" w:ascii="宋体" w:hAnsi="宋体" w:eastAsia="宋体" w:cs="宋体"/>
                <w:color w:val="auto"/>
                <w:kern w:val="0"/>
                <w:szCs w:val="21"/>
                <w:highlight w:val="none"/>
                <w:lang w:val="en-US" w:eastAsia="zh-CN"/>
              </w:rPr>
              <w:t>得8</w:t>
            </w:r>
            <w:r>
              <w:rPr>
                <w:rFonts w:hint="eastAsia" w:ascii="宋体" w:hAnsi="宋体" w:eastAsia="宋体" w:cs="宋体"/>
                <w:color w:val="auto"/>
                <w:kern w:val="0"/>
                <w:szCs w:val="21"/>
                <w:highlight w:val="none"/>
              </w:rPr>
              <w:t>分，2项成果优秀</w:t>
            </w:r>
            <w:r>
              <w:rPr>
                <w:rFonts w:hint="eastAsia" w:ascii="宋体" w:hAnsi="宋体" w:eastAsia="宋体" w:cs="宋体"/>
                <w:color w:val="auto"/>
                <w:kern w:val="0"/>
                <w:szCs w:val="21"/>
                <w:highlight w:val="none"/>
                <w:lang w:val="en-US" w:eastAsia="zh-CN"/>
              </w:rPr>
              <w:t>得9</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承担过1项</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分，成果优秀</w:t>
            </w:r>
            <w:r>
              <w:rPr>
                <w:rFonts w:hint="eastAsia" w:ascii="宋体" w:hAnsi="宋体" w:eastAsia="宋体" w:cs="宋体"/>
                <w:color w:val="auto"/>
                <w:kern w:val="0"/>
                <w:szCs w:val="21"/>
                <w:highlight w:val="none"/>
                <w:lang w:val="en-US" w:eastAsia="zh-CN"/>
              </w:rPr>
              <w:t>得6</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承担过其它调查项目1项及以上</w:t>
            </w:r>
            <w:r>
              <w:rPr>
                <w:rFonts w:hint="eastAsia" w:ascii="宋体" w:hAnsi="宋体" w:eastAsia="宋体" w:cs="宋体"/>
                <w:color w:val="auto"/>
                <w:kern w:val="0"/>
                <w:szCs w:val="21"/>
                <w:highlight w:val="none"/>
                <w:lang w:val="en-US" w:eastAsia="zh-CN"/>
              </w:rPr>
              <w:t>得2</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未承担</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0分</w:t>
            </w:r>
            <w:r>
              <w:rPr>
                <w:rFonts w:hint="eastAsia" w:ascii="宋体" w:hAnsi="宋体" w:eastAsia="宋体" w:cs="宋体"/>
                <w:color w:val="auto"/>
                <w:kern w:val="0"/>
                <w:szCs w:val="21"/>
                <w:highlight w:val="none"/>
                <w:lang w:eastAsia="zh-CN"/>
              </w:rPr>
              <w:t>。</w:t>
            </w:r>
          </w:p>
        </w:tc>
      </w:tr>
      <w:tr>
        <w:tblPrEx>
          <w:tblCellMar>
            <w:top w:w="0" w:type="dxa"/>
            <w:left w:w="108" w:type="dxa"/>
            <w:bottom w:w="0" w:type="dxa"/>
            <w:right w:w="108" w:type="dxa"/>
          </w:tblCellMar>
        </w:tblPrEx>
        <w:trPr>
          <w:trHeight w:val="787"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435"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837"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737"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restart"/>
            <w:tcBorders>
              <w:top w:val="nil"/>
              <w:left w:val="single" w:color="auto" w:sz="4" w:space="0"/>
              <w:bottom w:val="single" w:color="000000" w:sz="4" w:space="0"/>
              <w:right w:val="single" w:color="auto" w:sz="4" w:space="0"/>
            </w:tcBorders>
            <w:shd w:val="clear" w:color="auto" w:fill="auto"/>
            <w:vAlign w:val="center"/>
          </w:tcPr>
          <w:p>
            <w:pPr>
              <w:adjustRightInd w:val="0"/>
              <w:snapToGrid w:val="0"/>
              <w:rPr>
                <w:rFonts w:ascii="宋体" w:hAnsi="宋体" w:eastAsia="宋体"/>
                <w:color w:val="auto"/>
                <w:szCs w:val="21"/>
                <w:highlight w:val="none"/>
              </w:rPr>
            </w:pPr>
            <w:r>
              <w:rPr>
                <w:rFonts w:hint="eastAsia" w:ascii="宋体" w:hAnsi="宋体" w:eastAsia="宋体"/>
                <w:color w:val="auto"/>
                <w:szCs w:val="21"/>
                <w:highlight w:val="none"/>
              </w:rPr>
              <w:t>拟承担的队伍近十年（2014年1月1日至今）是否在</w:t>
            </w:r>
            <w:r>
              <w:rPr>
                <w:rFonts w:hint="eastAsia" w:ascii="宋体" w:hAnsi="宋体" w:eastAsia="宋体"/>
                <w:b/>
                <w:bCs/>
                <w:color w:val="auto"/>
                <w:szCs w:val="21"/>
                <w:highlight w:val="none"/>
              </w:rPr>
              <w:t>工作区或邻区</w:t>
            </w:r>
            <w:r>
              <w:rPr>
                <w:rFonts w:hint="eastAsia" w:ascii="宋体" w:hAnsi="宋体" w:eastAsia="宋体"/>
                <w:color w:val="auto"/>
                <w:szCs w:val="21"/>
                <w:highlight w:val="none"/>
              </w:rPr>
              <w:t>承担过海洋环境数据分析及资源量评估相关项目，调查质量及成果报告在合格及以上</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olor w:val="auto"/>
                <w:szCs w:val="21"/>
                <w:highlight w:val="none"/>
              </w:rPr>
              <w:t>注：提供①项目立项书，或者②成果报告及验收意见书复印件等相关证明文件。以及③</w:t>
            </w:r>
            <w:r>
              <w:rPr>
                <w:rFonts w:ascii="宋体" w:hAnsi="宋体" w:eastAsia="宋体"/>
                <w:color w:val="auto"/>
                <w:szCs w:val="21"/>
                <w:highlight w:val="none"/>
              </w:rPr>
              <w:t>20</w:t>
            </w:r>
            <w:r>
              <w:rPr>
                <w:rFonts w:hint="eastAsia" w:ascii="宋体" w:hAnsi="宋体" w:eastAsia="宋体"/>
                <w:color w:val="auto"/>
                <w:szCs w:val="21"/>
                <w:highlight w:val="none"/>
              </w:rPr>
              <w:t>14</w:t>
            </w:r>
            <w:r>
              <w:rPr>
                <w:rFonts w:ascii="宋体" w:hAnsi="宋体" w:eastAsia="宋体"/>
                <w:color w:val="auto"/>
                <w:szCs w:val="21"/>
                <w:highlight w:val="none"/>
              </w:rPr>
              <w:t>年1月1日至今</w:t>
            </w:r>
            <w:r>
              <w:rPr>
                <w:rFonts w:hint="eastAsia" w:ascii="宋体" w:hAnsi="宋体" w:eastAsia="宋体"/>
                <w:color w:val="auto"/>
                <w:szCs w:val="21"/>
                <w:highlight w:val="none"/>
              </w:rPr>
              <w:t>项目业绩一览表。</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9</w:t>
            </w:r>
          </w:p>
        </w:tc>
        <w:tc>
          <w:tcPr>
            <w:tcW w:w="3332" w:type="dxa"/>
            <w:vMerge w:val="restart"/>
            <w:tcBorders>
              <w:top w:val="single" w:color="auto" w:sz="4" w:space="0"/>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承担过2项（2项</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分，1项及以上成果优秀</w:t>
            </w:r>
            <w:r>
              <w:rPr>
                <w:rFonts w:hint="eastAsia" w:ascii="宋体" w:hAnsi="宋体" w:eastAsia="宋体" w:cs="宋体"/>
                <w:color w:val="auto"/>
                <w:kern w:val="0"/>
                <w:szCs w:val="21"/>
                <w:highlight w:val="none"/>
                <w:lang w:val="en-US" w:eastAsia="zh-CN"/>
              </w:rPr>
              <w:t>得9</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承担过1项（1项</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分，成果优秀</w:t>
            </w:r>
            <w:r>
              <w:rPr>
                <w:rFonts w:hint="eastAsia" w:ascii="宋体" w:hAnsi="宋体" w:eastAsia="宋体" w:cs="宋体"/>
                <w:color w:val="auto"/>
                <w:kern w:val="0"/>
                <w:szCs w:val="21"/>
                <w:highlight w:val="none"/>
                <w:lang w:val="en-US" w:eastAsia="zh-CN"/>
              </w:rPr>
              <w:t>得7</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承担过其它调查项目1项</w:t>
            </w:r>
            <w:r>
              <w:rPr>
                <w:rFonts w:hint="eastAsia" w:ascii="宋体" w:hAnsi="宋体" w:eastAsia="宋体" w:cs="宋体"/>
                <w:color w:val="auto"/>
                <w:kern w:val="0"/>
                <w:szCs w:val="21"/>
                <w:highlight w:val="none"/>
                <w:lang w:val="en-US" w:eastAsia="zh-CN"/>
              </w:rPr>
              <w:t>得2</w:t>
            </w:r>
            <w:r>
              <w:rPr>
                <w:rFonts w:hint="eastAsia" w:ascii="宋体" w:hAnsi="宋体" w:eastAsia="宋体" w:cs="宋体"/>
                <w:color w:val="auto"/>
                <w:kern w:val="0"/>
                <w:szCs w:val="21"/>
                <w:highlight w:val="none"/>
              </w:rPr>
              <w:t>分，2项及以上</w:t>
            </w:r>
            <w:r>
              <w:rPr>
                <w:rFonts w:hint="eastAsia" w:ascii="宋体" w:hAnsi="宋体" w:eastAsia="宋体" w:cs="宋体"/>
                <w:color w:val="auto"/>
                <w:kern w:val="0"/>
                <w:szCs w:val="21"/>
                <w:highlight w:val="none"/>
                <w:lang w:val="en-US" w:eastAsia="zh-CN"/>
              </w:rPr>
              <w:t>得3分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未承担</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0</w:t>
            </w:r>
            <w:r>
              <w:rPr>
                <w:rFonts w:hint="eastAsia" w:ascii="宋体" w:hAnsi="宋体" w:eastAsia="宋体" w:cs="宋体"/>
                <w:color w:val="auto"/>
                <w:kern w:val="0"/>
                <w:szCs w:val="21"/>
                <w:highlight w:val="none"/>
                <w:lang w:val="en-US" w:eastAsia="zh-CN"/>
              </w:rPr>
              <w:t>分。</w:t>
            </w:r>
          </w:p>
        </w:tc>
      </w:tr>
      <w:tr>
        <w:tblPrEx>
          <w:tblCellMar>
            <w:top w:w="0" w:type="dxa"/>
            <w:left w:w="108" w:type="dxa"/>
            <w:bottom w:w="0" w:type="dxa"/>
            <w:right w:w="108" w:type="dxa"/>
          </w:tblCellMar>
        </w:tblPrEx>
        <w:trPr>
          <w:trHeight w:val="349"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20"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777"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人员条件</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分）</w:t>
            </w:r>
          </w:p>
        </w:tc>
        <w:tc>
          <w:tcPr>
            <w:tcW w:w="202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项目负责人是否主持过同类项目或具有同类项目工作经历，必须具备相关专业</w:t>
            </w:r>
            <w:bookmarkStart w:id="6" w:name="_GoBack"/>
            <w:bookmarkEnd w:id="6"/>
            <w:r>
              <w:rPr>
                <w:rFonts w:hint="eastAsia" w:ascii="宋体" w:hAnsi="宋体" w:eastAsia="宋体" w:cs="宋体"/>
                <w:color w:val="auto"/>
                <w:kern w:val="0"/>
                <w:szCs w:val="21"/>
                <w:highlight w:val="none"/>
                <w:lang w:eastAsia="zh-CN"/>
              </w:rPr>
              <w:t>高级</w:t>
            </w:r>
            <w:r>
              <w:rPr>
                <w:rFonts w:hint="eastAsia" w:ascii="宋体" w:hAnsi="宋体" w:eastAsia="宋体" w:cs="宋体"/>
                <w:color w:val="auto"/>
                <w:kern w:val="0"/>
                <w:szCs w:val="21"/>
                <w:highlight w:val="none"/>
              </w:rPr>
              <w:t>或以上职称</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提供①工作经历证明文件复印件和②职称证书复印件</w:t>
            </w:r>
            <w:r>
              <w:rPr>
                <w:rFonts w:hint="eastAsia" w:ascii="宋体" w:hAnsi="宋体" w:eastAsia="宋体" w:cs="宋体"/>
                <w:b/>
                <w:color w:val="auto"/>
                <w:szCs w:val="21"/>
                <w:highlight w:val="none"/>
                <w:u w:val="single"/>
              </w:rPr>
              <w:t>（若无</w:t>
            </w:r>
            <w:r>
              <w:rPr>
                <w:rFonts w:hint="eastAsia" w:ascii="宋体" w:hAnsi="宋体" w:eastAsia="宋体" w:cs="宋体"/>
                <w:b/>
                <w:color w:val="auto"/>
                <w:szCs w:val="21"/>
                <w:highlight w:val="none"/>
                <w:u w:val="single"/>
                <w:lang w:eastAsia="zh-CN"/>
              </w:rPr>
              <w:t>高级</w:t>
            </w:r>
            <w:r>
              <w:rPr>
                <w:rFonts w:hint="eastAsia" w:ascii="宋体" w:hAnsi="宋体" w:eastAsia="宋体" w:cs="宋体"/>
                <w:b/>
                <w:color w:val="auto"/>
                <w:szCs w:val="21"/>
                <w:highlight w:val="none"/>
                <w:u w:val="single"/>
              </w:rPr>
              <w:t>或以上职称，此项得分再扣</w:t>
            </w:r>
            <w:r>
              <w:rPr>
                <w:rFonts w:ascii="宋体" w:hAnsi="宋体" w:eastAsia="宋体" w:cs="宋体"/>
                <w:b/>
                <w:color w:val="auto"/>
                <w:szCs w:val="21"/>
                <w:highlight w:val="none"/>
                <w:u w:val="single"/>
              </w:rPr>
              <w:t>1分</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lang w:val="en-US" w:eastAsia="zh-CN"/>
              </w:rPr>
              <w:t>最低得0分</w:t>
            </w:r>
            <w:r>
              <w:rPr>
                <w:rFonts w:ascii="宋体" w:hAnsi="宋体" w:eastAsia="宋体" w:cs="宋体"/>
                <w:b/>
                <w:color w:val="auto"/>
                <w:szCs w:val="21"/>
                <w:highlight w:val="none"/>
                <w:u w:val="single"/>
              </w:rPr>
              <w:t>）</w:t>
            </w:r>
            <w:r>
              <w:rPr>
                <w:rFonts w:ascii="宋体" w:hAnsi="宋体" w:eastAsia="宋体" w:cs="宋体"/>
                <w:b/>
                <w:color w:val="auto"/>
                <w:szCs w:val="21"/>
                <w:highlight w:val="none"/>
              </w:rPr>
              <w:t>。</w:t>
            </w:r>
          </w:p>
        </w:tc>
        <w:tc>
          <w:tcPr>
            <w:tcW w:w="68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p>
        </w:tc>
        <w:tc>
          <w:tcPr>
            <w:tcW w:w="3332" w:type="dxa"/>
            <w:vMerge w:val="restart"/>
            <w:tcBorders>
              <w:top w:val="nil"/>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主持过同类项目2项及以上</w:t>
            </w:r>
            <w:r>
              <w:rPr>
                <w:rFonts w:hint="eastAsia" w:ascii="宋体" w:hAnsi="宋体" w:eastAsia="宋体" w:cs="宋体"/>
                <w:color w:val="auto"/>
                <w:kern w:val="0"/>
                <w:szCs w:val="21"/>
                <w:highlight w:val="none"/>
                <w:lang w:val="en-US" w:eastAsia="zh-CN"/>
              </w:rPr>
              <w:t>得</w:t>
            </w:r>
            <w:r>
              <w:rPr>
                <w:rFonts w:hint="eastAsia" w:ascii="宋体" w:hAnsi="宋体" w:eastAsia="宋体" w:cs="宋体"/>
                <w:color w:val="auto"/>
                <w:kern w:val="0"/>
                <w:szCs w:val="21"/>
                <w:highlight w:val="none"/>
              </w:rPr>
              <w:t>基础分</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分，1项及以上成果优秀</w:t>
            </w:r>
            <w:r>
              <w:rPr>
                <w:rFonts w:hint="eastAsia" w:ascii="宋体" w:hAnsi="宋体" w:eastAsia="宋体" w:cs="宋体"/>
                <w:color w:val="auto"/>
                <w:kern w:val="0"/>
                <w:szCs w:val="21"/>
                <w:highlight w:val="none"/>
                <w:lang w:val="en-US" w:eastAsia="zh-CN"/>
              </w:rPr>
              <w:t>得4</w:t>
            </w:r>
            <w:r>
              <w:rPr>
                <w:rFonts w:hint="eastAsia" w:ascii="宋体" w:hAnsi="宋体" w:eastAsia="宋体" w:cs="宋体"/>
                <w:color w:val="auto"/>
                <w:kern w:val="0"/>
                <w:szCs w:val="21"/>
                <w:highlight w:val="none"/>
              </w:rPr>
              <w:t xml:space="preserve">分） </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主持过同类项目1项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r>
              <w:rPr>
                <w:rFonts w:hint="eastAsia" w:ascii="宋体" w:hAnsi="宋体" w:eastAsia="宋体" w:cs="宋体"/>
                <w:color w:val="auto"/>
                <w:kern w:val="0"/>
                <w:szCs w:val="21"/>
                <w:highlight w:val="none"/>
              </w:rPr>
              <w:t xml:space="preserve"> </w:t>
            </w:r>
          </w:p>
          <w:p>
            <w:pPr>
              <w:widowControl/>
              <w:adjustRightInd w:val="0"/>
              <w:snapToGrid w:val="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不具有同类项目工作经历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得0分。</w:t>
            </w:r>
          </w:p>
        </w:tc>
      </w:tr>
      <w:tr>
        <w:tblPrEx>
          <w:tblCellMar>
            <w:top w:w="0" w:type="dxa"/>
            <w:left w:w="108" w:type="dxa"/>
            <w:bottom w:w="0" w:type="dxa"/>
            <w:right w:w="108" w:type="dxa"/>
          </w:tblCellMar>
        </w:tblPrEx>
        <w:trPr>
          <w:trHeight w:val="405"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1478"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left"/>
              <w:rPr>
                <w:rFonts w:hint="default"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项目组人员专业配置合理，能满足项目实施</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注：提供项目组人员专业配置一览表（格式详见附件）。</w:t>
            </w:r>
          </w:p>
        </w:tc>
        <w:tc>
          <w:tcPr>
            <w:tcW w:w="680" w:type="dxa"/>
            <w:vMerge w:val="restart"/>
            <w:tcBorders>
              <w:top w:val="nil"/>
              <w:left w:val="single" w:color="auto" w:sz="4" w:space="0"/>
              <w:bottom w:val="nil"/>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3332" w:type="dxa"/>
            <w:vMerge w:val="restart"/>
            <w:tcBorders>
              <w:top w:val="nil"/>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项目组人员配置合理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得3分；</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项目组人员配置较合理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项目组人员配置不完全合理</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得1分；</w:t>
            </w:r>
          </w:p>
          <w:p>
            <w:pPr>
              <w:widowControl/>
              <w:adjustRightInd w:val="0"/>
              <w:snapToGrid w:val="0"/>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不完全符合，未配有HSE专门管理人员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得0分。</w:t>
            </w: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315" w:hRule="atLeast"/>
          <w:jc w:val="center"/>
        </w:trPr>
        <w:tc>
          <w:tcPr>
            <w:tcW w:w="91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rPr>
                <w:rFonts w:hint="default" w:ascii="宋体" w:hAnsi="宋体" w:eastAsia="宋体" w:cs="宋体"/>
                <w:color w:val="auto"/>
                <w:kern w:val="0"/>
                <w:szCs w:val="21"/>
                <w:highlight w:val="none"/>
                <w:lang w:val="en-US"/>
              </w:rPr>
            </w:pPr>
          </w:p>
        </w:tc>
      </w:tr>
      <w:tr>
        <w:tblPrEx>
          <w:tblCellMar>
            <w:top w:w="0" w:type="dxa"/>
            <w:left w:w="108" w:type="dxa"/>
            <w:bottom w:w="0" w:type="dxa"/>
            <w:right w:w="108" w:type="dxa"/>
          </w:tblCellMar>
        </w:tblPrEx>
        <w:trPr>
          <w:trHeight w:val="1996" w:hRule="atLeast"/>
          <w:jc w:val="center"/>
        </w:trPr>
        <w:tc>
          <w:tcPr>
            <w:tcW w:w="91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57</w:t>
            </w:r>
            <w:r>
              <w:rPr>
                <w:rFonts w:hint="eastAsia" w:ascii="宋体" w:hAnsi="宋体" w:eastAsia="宋体" w:cs="宋体"/>
                <w:color w:val="auto"/>
                <w:kern w:val="0"/>
                <w:szCs w:val="21"/>
                <w:highlight w:val="none"/>
              </w:rPr>
              <w:t>%</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资料收集、分析</w:t>
            </w:r>
            <w:r>
              <w:rPr>
                <w:rFonts w:hint="eastAsia" w:ascii="宋体" w:hAnsi="宋体" w:eastAsia="宋体" w:cs="宋体"/>
                <w:color w:val="auto"/>
                <w:kern w:val="0"/>
                <w:szCs w:val="21"/>
                <w:highlight w:val="none"/>
                <w:lang w:val="en-US" w:eastAsia="zh-CN"/>
              </w:rPr>
              <w:t>与</w:t>
            </w:r>
            <w:r>
              <w:rPr>
                <w:rFonts w:hint="eastAsia" w:ascii="宋体" w:hAnsi="宋体" w:eastAsia="宋体" w:cs="宋体"/>
                <w:color w:val="auto"/>
                <w:kern w:val="0"/>
                <w:szCs w:val="21"/>
                <w:highlight w:val="none"/>
              </w:rPr>
              <w:t>利用</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（15分）</w:t>
            </w:r>
          </w:p>
        </w:tc>
        <w:tc>
          <w:tcPr>
            <w:tcW w:w="2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工作区区域地质、基础地质、相关专题调查内容地质情况等了解程度，专题调查内容国内外研究现状，已有成果资料收集情况</w:t>
            </w:r>
            <w:r>
              <w:rPr>
                <w:rFonts w:hint="eastAsia" w:ascii="宋体" w:hAnsi="宋体" w:eastAsia="宋体" w:cs="宋体"/>
                <w:color w:val="auto"/>
                <w:kern w:val="0"/>
                <w:szCs w:val="21"/>
                <w:highlight w:val="none"/>
                <w:lang w:eastAsia="zh-CN"/>
              </w:rPr>
              <w:t>。</w:t>
            </w:r>
          </w:p>
          <w:p>
            <w:pPr>
              <w:jc w:val="left"/>
              <w:rPr>
                <w:rFonts w:ascii="宋体" w:hAnsi="宋体" w:eastAsia="宋体" w:cs="宋体"/>
                <w:color w:val="auto"/>
                <w:szCs w:val="21"/>
                <w:highlight w:val="none"/>
              </w:rPr>
            </w:pPr>
            <w:r>
              <w:rPr>
                <w:rFonts w:hint="eastAsia" w:ascii="宋体" w:hAnsi="宋体" w:eastAsia="宋体" w:cs="宋体"/>
                <w:color w:val="auto"/>
                <w:highlight w:val="none"/>
              </w:rPr>
              <w:t>注：提供以上相关内容，格式自拟。</w:t>
            </w:r>
          </w:p>
          <w:p>
            <w:pPr>
              <w:widowControl/>
              <w:adjustRightInd w:val="0"/>
              <w:snapToGrid w:val="0"/>
              <w:jc w:val="left"/>
              <w:rPr>
                <w:rFonts w:ascii="宋体" w:hAnsi="宋体" w:eastAsia="宋体" w:cs="宋体"/>
                <w:color w:val="auto"/>
                <w:kern w:val="0"/>
                <w:szCs w:val="21"/>
                <w:highlight w:val="none"/>
              </w:rPr>
            </w:pP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3332" w:type="dxa"/>
            <w:vMerge w:val="restart"/>
            <w:tcBorders>
              <w:top w:val="nil"/>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熟悉工作区区域地质、基础地质、相关地质调查内容地质情况等，了解专题调查内容国内外研究现状，系统收集了能满足调查需要的成果资料等（内容较全面</w:t>
            </w:r>
            <w:r>
              <w:rPr>
                <w:rFonts w:hint="eastAsia" w:ascii="宋体" w:hAnsi="宋体" w:eastAsia="宋体" w:cs="宋体"/>
                <w:color w:val="auto"/>
                <w:kern w:val="0"/>
                <w:szCs w:val="21"/>
                <w:highlight w:val="none"/>
                <w:lang w:val="en-US" w:eastAsia="zh-CN"/>
              </w:rPr>
              <w:t>得11</w:t>
            </w:r>
            <w:r>
              <w:rPr>
                <w:rFonts w:hint="eastAsia" w:ascii="宋体" w:hAnsi="宋体" w:eastAsia="宋体" w:cs="宋体"/>
                <w:color w:val="auto"/>
                <w:kern w:val="0"/>
                <w:szCs w:val="21"/>
                <w:highlight w:val="none"/>
              </w:rPr>
              <w:t>分、内容全面</w:t>
            </w:r>
            <w:r>
              <w:rPr>
                <w:rFonts w:hint="eastAsia" w:ascii="宋体" w:hAnsi="宋体" w:eastAsia="宋体" w:cs="宋体"/>
                <w:color w:val="auto"/>
                <w:kern w:val="0"/>
                <w:szCs w:val="21"/>
                <w:highlight w:val="none"/>
                <w:lang w:val="en-US" w:eastAsia="zh-CN"/>
              </w:rPr>
              <w:t>得13</w:t>
            </w:r>
            <w:r>
              <w:rPr>
                <w:rFonts w:hint="eastAsia" w:ascii="宋体" w:hAnsi="宋体" w:eastAsia="宋体" w:cs="宋体"/>
                <w:color w:val="auto"/>
                <w:kern w:val="0"/>
                <w:szCs w:val="21"/>
                <w:highlight w:val="none"/>
              </w:rPr>
              <w:t>分、内容非常全面</w:t>
            </w:r>
            <w:r>
              <w:rPr>
                <w:rFonts w:hint="eastAsia" w:ascii="宋体" w:hAnsi="宋体" w:eastAsia="宋体" w:cs="宋体"/>
                <w:color w:val="auto"/>
                <w:kern w:val="0"/>
                <w:szCs w:val="21"/>
                <w:highlight w:val="none"/>
                <w:lang w:val="en-US" w:eastAsia="zh-CN"/>
              </w:rPr>
              <w:t>得15</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基本熟悉工作区区域地质、基础地质、相关地质调查内容地质情况等，基本了解专题调查内容国内外研究现状，收集了部分成果资料等（内容较全面</w:t>
            </w:r>
            <w:r>
              <w:rPr>
                <w:rFonts w:hint="eastAsia" w:ascii="宋体" w:hAnsi="宋体" w:eastAsia="宋体" w:cs="宋体"/>
                <w:color w:val="auto"/>
                <w:kern w:val="0"/>
                <w:szCs w:val="21"/>
                <w:highlight w:val="none"/>
                <w:lang w:val="en-US" w:eastAsia="zh-CN"/>
              </w:rPr>
              <w:t>得5</w:t>
            </w:r>
            <w:r>
              <w:rPr>
                <w:rFonts w:hint="eastAsia" w:ascii="宋体" w:hAnsi="宋体" w:eastAsia="宋体" w:cs="宋体"/>
                <w:color w:val="auto"/>
                <w:kern w:val="0"/>
                <w:szCs w:val="21"/>
                <w:highlight w:val="none"/>
              </w:rPr>
              <w:t>分、内容全面</w:t>
            </w:r>
            <w:r>
              <w:rPr>
                <w:rFonts w:hint="eastAsia" w:ascii="宋体" w:hAnsi="宋体" w:eastAsia="宋体" w:cs="宋体"/>
                <w:color w:val="auto"/>
                <w:kern w:val="0"/>
                <w:szCs w:val="21"/>
                <w:highlight w:val="none"/>
                <w:lang w:val="en-US" w:eastAsia="zh-CN"/>
              </w:rPr>
              <w:t>得7</w:t>
            </w:r>
            <w:r>
              <w:rPr>
                <w:rFonts w:hint="eastAsia" w:ascii="宋体" w:hAnsi="宋体" w:eastAsia="宋体" w:cs="宋体"/>
                <w:color w:val="auto"/>
                <w:kern w:val="0"/>
                <w:szCs w:val="21"/>
                <w:highlight w:val="none"/>
              </w:rPr>
              <w:t>分、内容非常全面</w:t>
            </w:r>
            <w:r>
              <w:rPr>
                <w:rFonts w:hint="eastAsia" w:ascii="宋体" w:hAnsi="宋体" w:eastAsia="宋体" w:cs="宋体"/>
                <w:color w:val="auto"/>
                <w:kern w:val="0"/>
                <w:szCs w:val="21"/>
                <w:highlight w:val="none"/>
                <w:lang w:val="en-US" w:eastAsia="zh-CN"/>
              </w:rPr>
              <w:t>得10</w:t>
            </w:r>
            <w:r>
              <w:rPr>
                <w:rFonts w:hint="eastAsia" w:ascii="宋体" w:hAnsi="宋体" w:eastAsia="宋体" w:cs="宋体"/>
                <w:color w:val="auto"/>
                <w:kern w:val="0"/>
                <w:szCs w:val="21"/>
                <w:highlight w:val="none"/>
              </w:rPr>
              <w:t>分</w:t>
            </w:r>
            <w:r>
              <w:rPr>
                <w:rFonts w:hint="eastAsia" w:ascii="宋体" w:hAnsi="宋体" w:eastAsia="宋体" w:cs="宋体"/>
                <w:color w:val="auto"/>
                <w:kern w:val="0"/>
                <w:szCs w:val="21"/>
                <w:highlight w:val="none"/>
                <w:lang w:eastAsia="zh-CN"/>
              </w:rPr>
              <w:t>；</w:t>
            </w:r>
          </w:p>
          <w:p>
            <w:pPr>
              <w:widowControl/>
              <w:adjustRightInd w:val="0"/>
              <w:snapToGrid w:val="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不够熟悉工作区区域地质、基础地质、相关地质调查内容地质情况等，基本不了解专题调查内容国内外研究现状，收集了少量成果资料等</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p>
          <w:p>
            <w:pPr>
              <w:widowControl/>
              <w:adjustRightInd w:val="0"/>
              <w:snapToGrid w:val="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4.未提供，得0分。</w:t>
            </w:r>
          </w:p>
        </w:tc>
      </w:tr>
      <w:tr>
        <w:tblPrEx>
          <w:tblCellMar>
            <w:top w:w="0" w:type="dxa"/>
            <w:left w:w="108" w:type="dxa"/>
            <w:bottom w:w="0" w:type="dxa"/>
            <w:right w:w="108" w:type="dxa"/>
          </w:tblCellMar>
        </w:tblPrEx>
        <w:trPr>
          <w:trHeight w:val="1986"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1601"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left"/>
              <w:rPr>
                <w:rFonts w:hint="default"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450"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技术路线</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工作方法</w:t>
            </w:r>
            <w:r>
              <w:rPr>
                <w:rFonts w:hint="eastAsia" w:ascii="宋体" w:hAnsi="宋体" w:eastAsia="宋体" w:cs="宋体"/>
                <w:color w:val="auto"/>
                <w:kern w:val="0"/>
                <w:szCs w:val="21"/>
                <w:highlight w:val="none"/>
                <w:lang w:val="en-US" w:eastAsia="zh-CN"/>
              </w:rPr>
              <w:t>和工作部署</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30</w:t>
            </w:r>
            <w:r>
              <w:rPr>
                <w:rFonts w:hint="eastAsia" w:ascii="宋体" w:hAnsi="宋体" w:eastAsia="宋体" w:cs="宋体"/>
                <w:color w:val="auto"/>
                <w:kern w:val="0"/>
                <w:szCs w:val="21"/>
                <w:highlight w:val="none"/>
              </w:rPr>
              <w:t>分）</w:t>
            </w:r>
          </w:p>
        </w:tc>
        <w:tc>
          <w:tcPr>
            <w:tcW w:w="202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技术路线是否合理，技术要求符合规范</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注：提供以上相关内容，格式自拟。</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3332" w:type="dxa"/>
            <w:vMerge w:val="restart"/>
            <w:tcBorders>
              <w:top w:val="nil"/>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技术路线非常合理，针对性很强；技术要求完全符合规范要求，满足规范精度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得10分；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技术路线合理，针对性强，技术要求全面，符合规范要求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得7分；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技术路线合理，针对性较强，技术要求符合规范要求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得4分；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技术路线合理，具有一定针对性，技术要求基本符合规范要求</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p>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技术路线不合理，针对性不强；技术要求不全</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得1分；</w:t>
            </w:r>
          </w:p>
          <w:p>
            <w:pPr>
              <w:widowControl/>
              <w:adjustRightInd w:val="0"/>
              <w:snapToGrid w:val="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6.未提供，得0分。</w:t>
            </w:r>
          </w:p>
        </w:tc>
      </w:tr>
      <w:tr>
        <w:tblPrEx>
          <w:tblCellMar>
            <w:top w:w="0" w:type="dxa"/>
            <w:left w:w="108" w:type="dxa"/>
            <w:bottom w:w="0" w:type="dxa"/>
            <w:right w:w="108" w:type="dxa"/>
          </w:tblCellMar>
        </w:tblPrEx>
        <w:trPr>
          <w:trHeight w:val="450"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540"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450"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525"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rPr>
                <w:rFonts w:hint="default"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工作方法是否满足调查需要</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注：提供以上相关内容，格式自拟。</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3332" w:type="dxa"/>
            <w:vMerge w:val="restart"/>
            <w:tcBorders>
              <w:top w:val="nil"/>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工作方法选择非常全面、合理、可行，针对性极强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得10分；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工作方法全面、合理、可行，针对性强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得7分；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工作方法全面、合理、可行，针对性较强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得4分；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工作方法全面、合理、可行，具有一定针对性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p>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工作方法不能全部满足调查研究需要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得1分；</w:t>
            </w:r>
          </w:p>
          <w:p>
            <w:pPr>
              <w:widowControl/>
              <w:adjustRightInd w:val="0"/>
              <w:snapToGrid w:val="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6.未提供，得0分。</w:t>
            </w: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rPr>
                <w:rFonts w:hint="default"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600"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工作部署是否合理且具有针对性，是否满足完成目标需要</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注：提供以上相关内容，格式自拟。</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3332" w:type="dxa"/>
            <w:vMerge w:val="restart"/>
            <w:tcBorders>
              <w:top w:val="nil"/>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工作部署非常合理，各项工作目的明确，针对性极强，完全能满足完成目标需要，工作部署阐述非常清楚，工作部署图清晰，实物工作量非常具体</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得10分；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工作部署合理，各项工作目的明确，针对性强，能满足完成目标需要，工作部署阐述较为清楚，工作部署图较清晰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得7分；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工作部署较合理，各项工作目的明确，具有针对性，基本能满足完成目标需要，工作部署阐述较为清楚，工作部署图较为清晰，实物工作量较为具体</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得4分；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工作部署具一定合理性，各项工作目的基本明确，大部分工作针对性不强，不能完全满足完成目标需要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得2分；</w:t>
            </w:r>
          </w:p>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工作部署不合理，针对性不强，不能满足完成目标需要，且存在工作部署阐述、实物工作量、工作部署图缺项</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得1分；</w:t>
            </w:r>
          </w:p>
          <w:p>
            <w:pPr>
              <w:widowControl/>
              <w:adjustRightInd w:val="0"/>
              <w:snapToGrid w:val="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6.未提供，得0分。</w:t>
            </w:r>
          </w:p>
        </w:tc>
      </w:tr>
      <w:tr>
        <w:tblPrEx>
          <w:tblCellMar>
            <w:top w:w="0" w:type="dxa"/>
            <w:left w:w="108" w:type="dxa"/>
            <w:bottom w:w="0" w:type="dxa"/>
            <w:right w:w="108" w:type="dxa"/>
          </w:tblCellMar>
        </w:tblPrEx>
        <w:trPr>
          <w:trHeight w:val="1129"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1441"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1149"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1181"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rPr>
                <w:rFonts w:hint="default"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预期成果</w:t>
            </w:r>
          </w:p>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12</w:t>
            </w:r>
            <w:r>
              <w:rPr>
                <w:rFonts w:hint="eastAsia" w:ascii="宋体" w:hAnsi="宋体" w:eastAsia="宋体" w:cs="宋体"/>
                <w:color w:val="auto"/>
                <w:kern w:val="0"/>
                <w:szCs w:val="21"/>
                <w:highlight w:val="none"/>
              </w:rPr>
              <w:t>分）</w:t>
            </w:r>
          </w:p>
        </w:tc>
        <w:tc>
          <w:tcPr>
            <w:tcW w:w="20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预期成果是否明确，并具有可考核性</w:t>
            </w:r>
            <w:r>
              <w:rPr>
                <w:rFonts w:hint="eastAsia" w:ascii="宋体" w:hAnsi="宋体" w:eastAsia="宋体" w:cs="宋体"/>
                <w:color w:val="auto"/>
                <w:kern w:val="0"/>
                <w:szCs w:val="21"/>
                <w:highlight w:val="none"/>
                <w:lang w:eastAsia="zh-CN"/>
              </w:rPr>
              <w:t>。</w:t>
            </w:r>
          </w:p>
          <w:p>
            <w:pPr>
              <w:widowControl/>
              <w:adjustRightInd w:val="0"/>
              <w:snapToGrid w:val="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注：提供以上相关内容，格式自拟。</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3332" w:type="dxa"/>
            <w:vMerge w:val="restart"/>
            <w:tcBorders>
              <w:top w:val="nil"/>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预期成果非常明确，优于综合评审文件要求，可考核性强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得12分；</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预期成果明确，符合综合评审文件要求，具有一定可考核性</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得8分</w:t>
            </w:r>
            <w:r>
              <w:rPr>
                <w:rFonts w:hint="eastAsia" w:ascii="宋体" w:hAnsi="宋体" w:eastAsia="宋体" w:cs="宋体"/>
                <w:color w:val="auto"/>
                <w:kern w:val="0"/>
                <w:szCs w:val="21"/>
                <w:highlight w:val="none"/>
                <w:lang w:eastAsia="zh-CN"/>
              </w:rPr>
              <w:t>。</w:t>
            </w:r>
          </w:p>
          <w:p>
            <w:pPr>
              <w:widowControl/>
              <w:adjustRightInd w:val="0"/>
              <w:snapToGrid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预期成果明确，符合综合评审文件要求，可考核性不强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得4分；</w:t>
            </w:r>
          </w:p>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预期成果不明确</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得1分；</w:t>
            </w:r>
          </w:p>
          <w:p>
            <w:pPr>
              <w:widowControl/>
              <w:adjustRightInd w:val="0"/>
              <w:snapToGrid w:val="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5.未提供，得0分。</w:t>
            </w: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eastAsia="zh-CN"/>
              </w:rPr>
            </w:pPr>
          </w:p>
        </w:tc>
      </w:tr>
      <w:tr>
        <w:tblPrEx>
          <w:tblCellMar>
            <w:top w:w="0" w:type="dxa"/>
            <w:left w:w="108" w:type="dxa"/>
            <w:bottom w:w="0" w:type="dxa"/>
            <w:right w:w="108" w:type="dxa"/>
          </w:tblCellMar>
        </w:tblPrEx>
        <w:trPr>
          <w:trHeight w:val="398" w:hRule="atLeast"/>
          <w:jc w:val="center"/>
        </w:trPr>
        <w:tc>
          <w:tcPr>
            <w:tcW w:w="910" w:type="dxa"/>
            <w:vMerge w:val="continue"/>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103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202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ascii="宋体" w:hAnsi="宋体" w:eastAsia="宋体" w:cs="宋体"/>
                <w:color w:val="auto"/>
                <w:kern w:val="0"/>
                <w:szCs w:val="21"/>
                <w:highlight w:val="none"/>
              </w:rPr>
            </w:pPr>
          </w:p>
        </w:tc>
        <w:tc>
          <w:tcPr>
            <w:tcW w:w="3332" w:type="dxa"/>
            <w:vMerge w:val="continue"/>
            <w:tcBorders>
              <w:left w:val="nil"/>
              <w:bottom w:val="single" w:color="auto" w:sz="4" w:space="0"/>
              <w:right w:val="single" w:color="auto" w:sz="4" w:space="0"/>
            </w:tcBorders>
            <w:shd w:val="clear" w:color="auto" w:fill="auto"/>
            <w:vAlign w:val="center"/>
          </w:tcPr>
          <w:p>
            <w:pPr>
              <w:widowControl/>
              <w:adjustRightInd w:val="0"/>
              <w:snapToGrid w:val="0"/>
              <w:rPr>
                <w:rFonts w:hint="eastAsia" w:ascii="宋体" w:hAnsi="宋体" w:eastAsia="宋体" w:cs="宋体"/>
                <w:color w:val="auto"/>
                <w:kern w:val="0"/>
                <w:szCs w:val="21"/>
                <w:highlight w:val="none"/>
                <w:lang w:val="en-US" w:eastAsia="zh-CN"/>
              </w:rPr>
            </w:pPr>
          </w:p>
        </w:tc>
      </w:tr>
      <w:tr>
        <w:tblPrEx>
          <w:tblCellMar>
            <w:top w:w="0" w:type="dxa"/>
            <w:left w:w="108" w:type="dxa"/>
            <w:bottom w:w="0" w:type="dxa"/>
            <w:right w:w="108" w:type="dxa"/>
          </w:tblCellMar>
        </w:tblPrEx>
        <w:trPr>
          <w:trHeight w:val="398" w:hRule="atLeast"/>
          <w:jc w:val="center"/>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103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202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100</w:t>
            </w:r>
          </w:p>
        </w:tc>
        <w:tc>
          <w:tcPr>
            <w:tcW w:w="3332"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pPr>
        <w:pStyle w:val="2"/>
        <w:rPr>
          <w:color w:val="auto"/>
          <w:highlight w:val="none"/>
        </w:rPr>
      </w:pPr>
    </w:p>
    <w:p>
      <w:pPr>
        <w:rPr>
          <w:color w:val="auto"/>
          <w:highlight w:val="none"/>
        </w:rPr>
      </w:pPr>
      <w:bookmarkStart w:id="3" w:name="OLE_LINK1"/>
    </w:p>
    <w:bookmarkEnd w:id="3"/>
    <w:p>
      <w:pPr>
        <w:widowControl/>
        <w:jc w:val="left"/>
        <w:rPr>
          <w:rFonts w:ascii="宋体" w:hAnsi="宋体" w:eastAsia="宋体"/>
          <w:color w:val="auto"/>
          <w:highlight w:val="none"/>
        </w:rPr>
      </w:pPr>
    </w:p>
    <w:p>
      <w:pPr>
        <w:widowControl/>
        <w:tabs>
          <w:tab w:val="left" w:pos="1728"/>
        </w:tabs>
        <w:jc w:val="left"/>
        <w:rPr>
          <w:rFonts w:ascii="宋体" w:hAnsi="宋体" w:eastAsia="宋体" w:cstheme="majorBidi"/>
          <w:b/>
          <w:bCs/>
          <w:color w:val="auto"/>
          <w:sz w:val="32"/>
          <w:szCs w:val="32"/>
          <w:highlight w:val="none"/>
          <w:lang w:val="zh-CN"/>
        </w:rPr>
      </w:pPr>
      <w:r>
        <w:rPr>
          <w:rFonts w:ascii="宋体" w:hAnsi="宋体" w:eastAsia="宋体" w:cstheme="majorBidi"/>
          <w:b/>
          <w:bCs/>
          <w:color w:val="auto"/>
          <w:sz w:val="32"/>
          <w:szCs w:val="32"/>
          <w:highlight w:val="none"/>
          <w:lang w:val="zh-CN"/>
        </w:rPr>
        <w:tab/>
      </w:r>
    </w:p>
    <w:p>
      <w:pPr>
        <w:widowControl/>
        <w:jc w:val="left"/>
        <w:rPr>
          <w:rFonts w:ascii="宋体" w:hAnsi="宋体" w:eastAsia="宋体" w:cstheme="majorBidi"/>
          <w:b/>
          <w:bCs/>
          <w:color w:val="auto"/>
          <w:sz w:val="32"/>
          <w:szCs w:val="32"/>
          <w:highlight w:val="none"/>
          <w:lang w:val="zh-CN"/>
        </w:rPr>
      </w:pPr>
      <w:r>
        <w:rPr>
          <w:rFonts w:ascii="宋体" w:hAnsi="宋体" w:eastAsia="宋体" w:cstheme="majorBidi"/>
          <w:b/>
          <w:bCs/>
          <w:color w:val="auto"/>
          <w:sz w:val="32"/>
          <w:szCs w:val="32"/>
          <w:highlight w:val="none"/>
          <w:lang w:val="zh-CN"/>
        </w:rPr>
        <w:br w:type="page"/>
      </w:r>
    </w:p>
    <w:p>
      <w:pPr>
        <w:pStyle w:val="34"/>
        <w:spacing w:before="0" w:after="0"/>
        <w:rPr>
          <w:rFonts w:ascii="宋体" w:hAnsi="宋体"/>
          <w:color w:val="auto"/>
          <w:highlight w:val="none"/>
          <w:lang w:val="zh-CN"/>
        </w:rPr>
        <w:sectPr>
          <w:footerReference r:id="rId8" w:type="first"/>
          <w:headerReference r:id="rId6" w:type="default"/>
          <w:footerReference r:id="rId7" w:type="default"/>
          <w:pgSz w:w="11906" w:h="16838"/>
          <w:pgMar w:top="1440" w:right="1843" w:bottom="1440" w:left="1797" w:header="851" w:footer="992" w:gutter="0"/>
          <w:cols w:space="0" w:num="1"/>
          <w:titlePg/>
          <w:docGrid w:type="lines" w:linePitch="312" w:charSpace="0"/>
        </w:sectPr>
      </w:pPr>
    </w:p>
    <w:p>
      <w:pPr>
        <w:pStyle w:val="34"/>
        <w:spacing w:before="0" w:after="0"/>
        <w:rPr>
          <w:rFonts w:ascii="宋体" w:hAnsi="宋体"/>
          <w:color w:val="auto"/>
          <w:highlight w:val="none"/>
          <w:lang w:val="zh-CN"/>
        </w:rPr>
      </w:pPr>
      <w:r>
        <w:rPr>
          <w:rFonts w:hint="eastAsia" w:ascii="宋体" w:hAnsi="宋体"/>
          <w:color w:val="auto"/>
          <w:highlight w:val="none"/>
          <w:lang w:val="zh-CN"/>
        </w:rPr>
        <w:t>第三章 响应文件附件</w:t>
      </w:r>
    </w:p>
    <w:p>
      <w:pPr>
        <w:pStyle w:val="2"/>
        <w:spacing w:line="360" w:lineRule="auto"/>
        <w:jc w:val="center"/>
        <w:rPr>
          <w:rFonts w:ascii="宋体" w:hAnsi="宋体" w:eastAsia="宋体"/>
          <w:color w:val="auto"/>
          <w:highlight w:val="none"/>
        </w:rPr>
      </w:pPr>
      <w:bookmarkStart w:id="4" w:name="_Toc435514852"/>
      <w:bookmarkStart w:id="5" w:name="_Toc435515292"/>
      <w:r>
        <w:rPr>
          <w:rFonts w:hint="eastAsia" w:ascii="宋体" w:hAnsi="宋体" w:eastAsia="宋体"/>
          <w:color w:val="auto"/>
          <w:highlight w:val="none"/>
        </w:rPr>
        <w:t>响应文件封面参考</w:t>
      </w:r>
      <w:bookmarkEnd w:id="4"/>
      <w:bookmarkEnd w:id="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8188" w:type="dxa"/>
          </w:tcPr>
          <w:p>
            <w:pPr>
              <w:pStyle w:val="15"/>
              <w:spacing w:line="360" w:lineRule="auto"/>
              <w:ind w:firstLine="482" w:firstLineChars="150"/>
              <w:rPr>
                <w:rFonts w:ascii="宋体" w:hAnsi="宋体"/>
                <w:b/>
                <w:color w:val="auto"/>
                <w:sz w:val="32"/>
                <w:highlight w:val="none"/>
              </w:rPr>
            </w:pPr>
          </w:p>
          <w:p>
            <w:pPr>
              <w:pStyle w:val="15"/>
              <w:spacing w:line="360" w:lineRule="auto"/>
              <w:ind w:firstLine="482" w:firstLineChars="150"/>
              <w:rPr>
                <w:rFonts w:ascii="宋体" w:hAnsi="宋体"/>
                <w:b/>
                <w:color w:val="auto"/>
                <w:sz w:val="32"/>
                <w:highlight w:val="none"/>
              </w:rPr>
            </w:pPr>
          </w:p>
          <w:p>
            <w:pPr>
              <w:pStyle w:val="15"/>
              <w:spacing w:line="360" w:lineRule="auto"/>
              <w:ind w:firstLine="482" w:firstLineChars="150"/>
              <w:rPr>
                <w:rFonts w:ascii="宋体" w:hAnsi="宋体"/>
                <w:b/>
                <w:color w:val="auto"/>
                <w:sz w:val="32"/>
                <w:highlight w:val="none"/>
              </w:rPr>
            </w:pPr>
          </w:p>
          <w:p>
            <w:pPr>
              <w:pStyle w:val="15"/>
              <w:spacing w:line="360" w:lineRule="auto"/>
              <w:ind w:firstLine="31"/>
              <w:jc w:val="center"/>
              <w:rPr>
                <w:rFonts w:ascii="宋体" w:hAnsi="宋体"/>
                <w:b/>
                <w:color w:val="auto"/>
                <w:sz w:val="72"/>
                <w:szCs w:val="72"/>
                <w:highlight w:val="none"/>
              </w:rPr>
            </w:pPr>
          </w:p>
          <w:p>
            <w:pPr>
              <w:pStyle w:val="15"/>
              <w:spacing w:line="360" w:lineRule="auto"/>
              <w:ind w:firstLine="31"/>
              <w:jc w:val="center"/>
              <w:rPr>
                <w:rFonts w:ascii="宋体" w:hAnsi="宋体"/>
                <w:b/>
                <w:color w:val="auto"/>
                <w:sz w:val="72"/>
                <w:szCs w:val="72"/>
                <w:highlight w:val="none"/>
              </w:rPr>
            </w:pPr>
          </w:p>
          <w:p>
            <w:pPr>
              <w:pStyle w:val="15"/>
              <w:spacing w:line="360" w:lineRule="auto"/>
              <w:ind w:firstLine="31"/>
              <w:jc w:val="center"/>
              <w:rPr>
                <w:rFonts w:ascii="宋体" w:hAnsi="宋体"/>
                <w:b/>
                <w:color w:val="auto"/>
                <w:sz w:val="72"/>
                <w:szCs w:val="72"/>
                <w:highlight w:val="none"/>
              </w:rPr>
            </w:pPr>
            <w:r>
              <w:rPr>
                <w:rFonts w:hint="eastAsia" w:ascii="宋体" w:hAnsi="宋体"/>
                <w:b/>
                <w:color w:val="auto"/>
                <w:sz w:val="72"/>
                <w:szCs w:val="72"/>
                <w:highlight w:val="none"/>
              </w:rPr>
              <w:t>响 应 文 件</w:t>
            </w:r>
          </w:p>
          <w:p>
            <w:pPr>
              <w:pStyle w:val="15"/>
              <w:spacing w:line="360" w:lineRule="auto"/>
              <w:ind w:firstLine="2091" w:firstLineChars="651"/>
              <w:rPr>
                <w:rFonts w:ascii="宋体" w:hAnsi="宋体"/>
                <w:b/>
                <w:color w:val="auto"/>
                <w:sz w:val="32"/>
                <w:highlight w:val="none"/>
              </w:rPr>
            </w:pPr>
          </w:p>
          <w:p>
            <w:pPr>
              <w:pStyle w:val="15"/>
              <w:spacing w:line="360" w:lineRule="auto"/>
              <w:ind w:firstLine="643"/>
              <w:rPr>
                <w:rFonts w:ascii="宋体" w:hAnsi="宋体"/>
                <w:b/>
                <w:color w:val="auto"/>
                <w:sz w:val="32"/>
                <w:highlight w:val="none"/>
              </w:rPr>
            </w:pPr>
          </w:p>
          <w:p>
            <w:pPr>
              <w:pStyle w:val="15"/>
              <w:spacing w:line="400" w:lineRule="exact"/>
              <w:ind w:firstLine="900" w:firstLineChars="320"/>
              <w:rPr>
                <w:rFonts w:ascii="宋体" w:hAnsi="宋体"/>
                <w:b/>
                <w:color w:val="auto"/>
                <w:sz w:val="28"/>
                <w:szCs w:val="28"/>
                <w:highlight w:val="none"/>
              </w:rPr>
            </w:pPr>
            <w:r>
              <w:rPr>
                <w:rFonts w:hint="eastAsia" w:ascii="宋体" w:hAnsi="宋体"/>
                <w:b/>
                <w:color w:val="auto"/>
                <w:sz w:val="28"/>
                <w:szCs w:val="28"/>
                <w:highlight w:val="none"/>
              </w:rPr>
              <w:t>项目编号：</w:t>
            </w:r>
          </w:p>
          <w:p>
            <w:pPr>
              <w:pStyle w:val="15"/>
              <w:spacing w:line="400" w:lineRule="exact"/>
              <w:ind w:left="2287" w:leftChars="420" w:hanging="1405" w:hangingChars="500"/>
              <w:rPr>
                <w:rFonts w:ascii="宋体" w:hAnsi="宋体"/>
                <w:b/>
                <w:color w:val="auto"/>
                <w:sz w:val="28"/>
                <w:szCs w:val="28"/>
                <w:highlight w:val="none"/>
              </w:rPr>
            </w:pPr>
            <w:r>
              <w:rPr>
                <w:rFonts w:hint="eastAsia" w:ascii="宋体" w:hAnsi="宋体"/>
                <w:b/>
                <w:color w:val="auto"/>
                <w:sz w:val="28"/>
                <w:szCs w:val="28"/>
                <w:highlight w:val="none"/>
              </w:rPr>
              <w:t>项目名称：</w:t>
            </w:r>
            <w:r>
              <w:rPr>
                <w:rFonts w:hint="eastAsia" w:ascii="宋体" w:hAnsi="宋体" w:eastAsia="宋体"/>
                <w:b/>
                <w:bCs/>
                <w:color w:val="auto"/>
                <w:sz w:val="28"/>
                <w:szCs w:val="32"/>
                <w:highlight w:val="none"/>
                <w:lang w:val="en-US" w:eastAsia="zh-CN"/>
              </w:rPr>
              <w:t>海口海洋地质调查中心</w:t>
            </w:r>
            <w:r>
              <w:rPr>
                <w:rFonts w:hint="eastAsia" w:ascii="宋体" w:hAnsi="宋体"/>
                <w:b/>
                <w:color w:val="auto"/>
                <w:sz w:val="28"/>
                <w:szCs w:val="28"/>
                <w:highlight w:val="none"/>
              </w:rPr>
              <w:t>海南岛东南海域海洋能数据分析及资源量评估</w:t>
            </w:r>
          </w:p>
          <w:p>
            <w:pPr>
              <w:pStyle w:val="15"/>
              <w:spacing w:line="400" w:lineRule="exact"/>
              <w:ind w:firstLine="900" w:firstLineChars="320"/>
              <w:rPr>
                <w:rFonts w:ascii="宋体" w:hAnsi="宋体"/>
                <w:b/>
                <w:color w:val="auto"/>
                <w:sz w:val="28"/>
                <w:szCs w:val="28"/>
                <w:highlight w:val="none"/>
              </w:rPr>
            </w:pPr>
            <w:r>
              <w:rPr>
                <w:rFonts w:hint="eastAsia" w:ascii="宋体" w:hAnsi="宋体"/>
                <w:b/>
                <w:color w:val="auto"/>
                <w:sz w:val="28"/>
                <w:szCs w:val="28"/>
                <w:highlight w:val="none"/>
              </w:rPr>
              <w:t>供应商名称：</w:t>
            </w:r>
          </w:p>
          <w:p>
            <w:pPr>
              <w:pStyle w:val="15"/>
              <w:spacing w:line="400" w:lineRule="exact"/>
              <w:ind w:firstLine="900" w:firstLineChars="320"/>
              <w:rPr>
                <w:rFonts w:ascii="宋体" w:hAnsi="宋体"/>
                <w:b/>
                <w:color w:val="auto"/>
                <w:sz w:val="28"/>
                <w:szCs w:val="28"/>
                <w:highlight w:val="none"/>
              </w:rPr>
            </w:pPr>
            <w:r>
              <w:rPr>
                <w:rFonts w:hint="eastAsia" w:ascii="宋体" w:hAnsi="宋体"/>
                <w:b/>
                <w:color w:val="auto"/>
                <w:sz w:val="28"/>
                <w:szCs w:val="28"/>
                <w:highlight w:val="none"/>
              </w:rPr>
              <w:t>供应商地址：</w:t>
            </w:r>
          </w:p>
          <w:p>
            <w:pPr>
              <w:pStyle w:val="15"/>
              <w:spacing w:line="400" w:lineRule="exact"/>
              <w:ind w:firstLine="1028" w:firstLineChars="320"/>
              <w:rPr>
                <w:rFonts w:ascii="宋体" w:hAnsi="宋体"/>
                <w:b/>
                <w:color w:val="auto"/>
                <w:sz w:val="32"/>
                <w:highlight w:val="none"/>
              </w:rPr>
            </w:pPr>
          </w:p>
        </w:tc>
      </w:tr>
    </w:tbl>
    <w:p>
      <w:pPr>
        <w:pStyle w:val="19"/>
        <w:rPr>
          <w:rStyle w:val="43"/>
          <w:rFonts w:hAnsi="宋体"/>
          <w:color w:val="auto"/>
          <w:highlight w:val="none"/>
        </w:rPr>
      </w:pPr>
    </w:p>
    <w:p>
      <w:pPr>
        <w:pStyle w:val="2"/>
        <w:spacing w:line="360" w:lineRule="auto"/>
        <w:jc w:val="center"/>
        <w:rPr>
          <w:rFonts w:ascii="宋体" w:hAnsi="宋体" w:eastAsia="宋体"/>
          <w:color w:val="auto"/>
          <w:highlight w:val="none"/>
        </w:rPr>
      </w:pPr>
      <w:r>
        <w:rPr>
          <w:rFonts w:hint="eastAsia" w:ascii="宋体" w:hAnsi="宋体" w:eastAsia="宋体"/>
          <w:color w:val="auto"/>
          <w:highlight w:val="none"/>
        </w:rPr>
        <w:t>报名报价响应文件目录</w:t>
      </w:r>
    </w:p>
    <w:p>
      <w:pPr>
        <w:rPr>
          <w:color w:val="auto"/>
          <w:highlight w:val="none"/>
        </w:rPr>
      </w:pPr>
    </w:p>
    <w:tbl>
      <w:tblPr>
        <w:tblStyle w:val="36"/>
        <w:tblW w:w="500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15"/>
        <w:gridCol w:w="3760"/>
        <w:gridCol w:w="1361"/>
        <w:gridCol w:w="427"/>
        <w:gridCol w:w="2255"/>
        <w:gridCol w:w="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85" w:hRule="atLeast"/>
          <w:jc w:val="center"/>
        </w:trPr>
        <w:tc>
          <w:tcPr>
            <w:tcW w:w="419" w:type="pct"/>
            <w:shd w:val="clear" w:color="auto" w:fill="EEECE1"/>
            <w:vAlign w:val="center"/>
          </w:tcPr>
          <w:p>
            <w:pPr>
              <w:snapToGrid w:val="0"/>
              <w:spacing w:line="264" w:lineRule="auto"/>
              <w:jc w:val="center"/>
              <w:rPr>
                <w:rFonts w:ascii="宋体" w:hAnsi="宋体" w:eastAsia="宋体"/>
                <w:b/>
                <w:color w:val="auto"/>
                <w:szCs w:val="20"/>
                <w:highlight w:val="none"/>
              </w:rPr>
            </w:pPr>
            <w:r>
              <w:rPr>
                <w:rFonts w:hint="eastAsia" w:ascii="宋体" w:hAnsi="宋体" w:eastAsia="宋体"/>
                <w:b/>
                <w:color w:val="auto"/>
                <w:szCs w:val="20"/>
                <w:highlight w:val="none"/>
              </w:rPr>
              <w:t>序号</w:t>
            </w:r>
          </w:p>
        </w:tc>
        <w:tc>
          <w:tcPr>
            <w:tcW w:w="2204" w:type="pct"/>
            <w:shd w:val="clear" w:color="auto" w:fill="EEECE1"/>
            <w:vAlign w:val="center"/>
          </w:tcPr>
          <w:p>
            <w:pPr>
              <w:snapToGrid w:val="0"/>
              <w:spacing w:line="264" w:lineRule="auto"/>
              <w:jc w:val="center"/>
              <w:rPr>
                <w:rFonts w:ascii="宋体" w:hAnsi="宋体" w:eastAsia="宋体"/>
                <w:b/>
                <w:color w:val="auto"/>
                <w:szCs w:val="20"/>
                <w:highlight w:val="none"/>
              </w:rPr>
            </w:pPr>
            <w:r>
              <w:rPr>
                <w:rFonts w:hint="eastAsia" w:ascii="宋体" w:hAnsi="宋体" w:eastAsia="宋体" w:cs="宋体"/>
                <w:b/>
                <w:color w:val="auto"/>
                <w:szCs w:val="20"/>
                <w:highlight w:val="none"/>
              </w:rPr>
              <w:t>评审因素</w:t>
            </w:r>
          </w:p>
        </w:tc>
        <w:tc>
          <w:tcPr>
            <w:tcW w:w="1048" w:type="pct"/>
            <w:gridSpan w:val="2"/>
            <w:shd w:val="clear" w:color="auto" w:fill="EEECE1"/>
            <w:vAlign w:val="center"/>
          </w:tcPr>
          <w:p>
            <w:pPr>
              <w:snapToGrid w:val="0"/>
              <w:spacing w:line="264" w:lineRule="auto"/>
              <w:jc w:val="center"/>
              <w:rPr>
                <w:rFonts w:ascii="宋体" w:hAnsi="宋体" w:eastAsia="宋体"/>
                <w:b/>
                <w:color w:val="auto"/>
                <w:szCs w:val="20"/>
                <w:highlight w:val="none"/>
              </w:rPr>
            </w:pPr>
            <w:r>
              <w:rPr>
                <w:rFonts w:hint="eastAsia" w:ascii="宋体" w:hAnsi="宋体" w:eastAsia="宋体"/>
                <w:b/>
                <w:color w:val="auto"/>
                <w:szCs w:val="20"/>
                <w:highlight w:val="none"/>
              </w:rPr>
              <w:t>提交内容</w:t>
            </w:r>
          </w:p>
        </w:tc>
        <w:tc>
          <w:tcPr>
            <w:tcW w:w="1328" w:type="pct"/>
            <w:gridSpan w:val="2"/>
            <w:shd w:val="clear" w:color="auto" w:fill="EEECE1"/>
            <w:vAlign w:val="center"/>
          </w:tcPr>
          <w:p>
            <w:pPr>
              <w:snapToGrid w:val="0"/>
              <w:spacing w:line="264" w:lineRule="auto"/>
              <w:jc w:val="center"/>
              <w:rPr>
                <w:rFonts w:ascii="宋体" w:hAnsi="宋体" w:eastAsia="宋体"/>
                <w:b/>
                <w:color w:val="auto"/>
                <w:szCs w:val="20"/>
                <w:highlight w:val="none"/>
              </w:rPr>
            </w:pPr>
            <w:r>
              <w:rPr>
                <w:rFonts w:hint="eastAsia" w:ascii="宋体" w:hAnsi="宋体" w:eastAsia="宋体"/>
                <w:b/>
                <w:color w:val="auto"/>
                <w:szCs w:val="20"/>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6"/>
            <w:vAlign w:val="center"/>
          </w:tcPr>
          <w:p>
            <w:pPr>
              <w:snapToGrid w:val="0"/>
              <w:spacing w:line="264" w:lineRule="auto"/>
              <w:jc w:val="center"/>
              <w:rPr>
                <w:rFonts w:ascii="宋体" w:hAnsi="宋体" w:eastAsia="宋体"/>
                <w:b/>
                <w:bCs/>
                <w:color w:val="auto"/>
                <w:sz w:val="24"/>
                <w:highlight w:val="none"/>
              </w:rPr>
            </w:pPr>
            <w:r>
              <w:rPr>
                <w:rFonts w:hint="eastAsia" w:ascii="宋体" w:hAnsi="宋体" w:eastAsia="宋体"/>
                <w:b/>
                <w:bCs/>
                <w:color w:val="auto"/>
                <w:szCs w:val="20"/>
                <w:highlight w:val="none"/>
              </w:rPr>
              <w:t>报名条件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419" w:type="pct"/>
            <w:vAlign w:val="center"/>
          </w:tcPr>
          <w:p>
            <w:pPr>
              <w:numPr>
                <w:ilvl w:val="0"/>
                <w:numId w:val="15"/>
              </w:numPr>
              <w:adjustRightInd w:val="0"/>
              <w:snapToGrid w:val="0"/>
              <w:spacing w:line="264" w:lineRule="auto"/>
              <w:textAlignment w:val="baseline"/>
              <w:rPr>
                <w:rFonts w:ascii="宋体" w:hAnsi="宋体" w:eastAsia="宋体"/>
                <w:color w:val="auto"/>
                <w:sz w:val="24"/>
                <w:highlight w:val="none"/>
              </w:rPr>
            </w:pPr>
          </w:p>
        </w:tc>
        <w:tc>
          <w:tcPr>
            <w:tcW w:w="2204" w:type="pct"/>
            <w:vAlign w:val="center"/>
          </w:tcPr>
          <w:p>
            <w:pPr>
              <w:rPr>
                <w:rFonts w:ascii="宋体" w:hAnsi="宋体" w:eastAsia="宋体"/>
                <w:color w:val="auto"/>
                <w:highlight w:val="none"/>
              </w:rPr>
            </w:pPr>
            <w:r>
              <w:rPr>
                <w:rFonts w:hint="eastAsia" w:ascii="宋体" w:hAnsi="宋体" w:eastAsia="宋体"/>
                <w:color w:val="auto"/>
                <w:highlight w:val="none"/>
              </w:rPr>
              <w:t>供应商提供在中华人民共和国境内注册的法人或其他组织的营业执照或事业单位法</w:t>
            </w:r>
          </w:p>
          <w:p>
            <w:pPr>
              <w:rPr>
                <w:rFonts w:ascii="宋体" w:hAnsi="宋体" w:eastAsia="宋体"/>
                <w:color w:val="auto"/>
                <w:sz w:val="24"/>
                <w:highlight w:val="none"/>
              </w:rPr>
            </w:pPr>
            <w:r>
              <w:rPr>
                <w:rFonts w:hint="eastAsia" w:ascii="宋体" w:hAnsi="宋体" w:eastAsia="宋体"/>
                <w:color w:val="auto"/>
                <w:highlight w:val="none"/>
              </w:rPr>
              <w:t>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048" w:type="pct"/>
            <w:gridSpan w:val="2"/>
            <w:vAlign w:val="center"/>
          </w:tcPr>
          <w:p>
            <w:pPr>
              <w:rPr>
                <w:rFonts w:ascii="宋体" w:hAnsi="宋体" w:eastAsia="宋体"/>
                <w:color w:val="auto"/>
                <w:highlight w:val="none"/>
              </w:rPr>
            </w:pPr>
            <w:r>
              <w:rPr>
                <w:rFonts w:hint="eastAsia" w:ascii="宋体" w:hAnsi="宋体" w:eastAsia="宋体"/>
                <w:color w:val="auto"/>
                <w:highlight w:val="none"/>
              </w:rPr>
              <w:t>提供在中华人民共和国境内注册的法人或其他组织的营业执照或事业单位法人证书或社会团体法人登记证书复印件（如供应商为分公司，须取得具有法人资格的总公司（总所）出具给分公司的授权书，并提供总公司（总所）和分公司的营业执照（执业许可证）复印件</w:t>
            </w:r>
          </w:p>
        </w:tc>
        <w:tc>
          <w:tcPr>
            <w:tcW w:w="1328" w:type="pct"/>
            <w:gridSpan w:val="2"/>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419" w:type="pct"/>
            <w:vAlign w:val="center"/>
          </w:tcPr>
          <w:p>
            <w:pPr>
              <w:numPr>
                <w:ilvl w:val="0"/>
                <w:numId w:val="15"/>
              </w:numPr>
              <w:adjustRightInd w:val="0"/>
              <w:snapToGrid w:val="0"/>
              <w:spacing w:line="264" w:lineRule="auto"/>
              <w:textAlignment w:val="baseline"/>
              <w:rPr>
                <w:rFonts w:ascii="宋体" w:hAnsi="宋体" w:eastAsia="宋体"/>
                <w:color w:val="auto"/>
                <w:sz w:val="24"/>
                <w:highlight w:val="none"/>
              </w:rPr>
            </w:pPr>
          </w:p>
        </w:tc>
        <w:tc>
          <w:tcPr>
            <w:tcW w:w="2204" w:type="pct"/>
            <w:vAlign w:val="center"/>
          </w:tcPr>
          <w:p>
            <w:pPr>
              <w:rPr>
                <w:rFonts w:ascii="宋体" w:hAnsi="宋体" w:eastAsia="宋体"/>
                <w:color w:val="auto"/>
                <w:highlight w:val="none"/>
              </w:rPr>
            </w:pPr>
            <w:r>
              <w:rPr>
                <w:rFonts w:ascii="宋体" w:hAnsi="宋体" w:eastAsia="宋体"/>
                <w:color w:val="auto"/>
                <w:kern w:val="0"/>
                <w:szCs w:val="21"/>
                <w:highlight w:val="none"/>
                <w:lang w:eastAsia="zh-TW"/>
              </w:rPr>
              <w:t>供应商符合《中华人民共和国政府采购法》的第二十二条规定，本项目不允许分包，不接受联合竞价</w:t>
            </w:r>
          </w:p>
        </w:tc>
        <w:tc>
          <w:tcPr>
            <w:tcW w:w="1048" w:type="pct"/>
            <w:gridSpan w:val="2"/>
            <w:vAlign w:val="center"/>
          </w:tcPr>
          <w:p>
            <w:pPr>
              <w:snapToGrid w:val="0"/>
              <w:spacing w:line="264" w:lineRule="auto"/>
              <w:jc w:val="center"/>
              <w:rPr>
                <w:rFonts w:ascii="宋体" w:hAnsi="宋体" w:eastAsia="宋体" w:cs="宋体"/>
                <w:color w:val="auto"/>
                <w:kern w:val="0"/>
                <w:szCs w:val="20"/>
                <w:highlight w:val="none"/>
              </w:rPr>
            </w:pPr>
            <w:r>
              <w:rPr>
                <w:rFonts w:ascii="宋体" w:hAnsi="宋体" w:eastAsia="宋体"/>
                <w:color w:val="auto"/>
                <w:kern w:val="0"/>
                <w:szCs w:val="21"/>
                <w:highlight w:val="none"/>
                <w:lang w:eastAsia="zh-TW"/>
              </w:rPr>
              <w:t>提供供应商资格声明函，格式详见附件</w:t>
            </w:r>
          </w:p>
        </w:tc>
        <w:tc>
          <w:tcPr>
            <w:tcW w:w="1328" w:type="pct"/>
            <w:gridSpan w:val="2"/>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pct"/>
          <w:cantSplit/>
          <w:trHeight w:val="558" w:hRule="atLeast"/>
          <w:jc w:val="center"/>
        </w:trPr>
        <w:tc>
          <w:tcPr>
            <w:tcW w:w="4993" w:type="pct"/>
            <w:gridSpan w:val="5"/>
            <w:tcBorders>
              <w:top w:val="single" w:color="auto" w:sz="12" w:space="0"/>
              <w:left w:val="single" w:color="auto" w:sz="12" w:space="0"/>
              <w:bottom w:val="single" w:color="auto" w:sz="6" w:space="0"/>
              <w:right w:val="single" w:color="auto" w:sz="12" w:space="0"/>
            </w:tcBorders>
            <w:shd w:val="clear" w:color="auto" w:fill="auto"/>
            <w:vAlign w:val="center"/>
          </w:tcPr>
          <w:p>
            <w:pPr>
              <w:adjustRightInd w:val="0"/>
              <w:snapToGrid w:val="0"/>
              <w:spacing w:line="360" w:lineRule="auto"/>
              <w:jc w:val="center"/>
              <w:textAlignment w:val="baseline"/>
              <w:rPr>
                <w:rFonts w:ascii="宋体" w:hAnsi="宋体" w:eastAsia="宋体"/>
                <w:b/>
                <w:color w:val="auto"/>
                <w:szCs w:val="21"/>
                <w:highlight w:val="none"/>
              </w:rPr>
            </w:pPr>
            <w:r>
              <w:rPr>
                <w:rFonts w:hint="eastAsia" w:ascii="宋体" w:hAnsi="宋体" w:eastAsia="宋体"/>
                <w:b/>
                <w:color w:val="auto"/>
                <w:szCs w:val="21"/>
                <w:highlight w:val="none"/>
              </w:rPr>
              <w:t>价格评审自查表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pct"/>
          <w:cantSplit/>
          <w:trHeight w:val="540" w:hRule="atLeast"/>
          <w:jc w:val="center"/>
        </w:trPr>
        <w:tc>
          <w:tcPr>
            <w:tcW w:w="419" w:type="pct"/>
            <w:tcBorders>
              <w:top w:val="single" w:color="auto" w:sz="6" w:space="0"/>
              <w:left w:val="single" w:color="auto" w:sz="12" w:space="0"/>
              <w:bottom w:val="single" w:color="auto" w:sz="6" w:space="0"/>
              <w:right w:val="single" w:color="auto" w:sz="6" w:space="0"/>
            </w:tcBorders>
            <w:shd w:val="clear" w:color="auto" w:fill="auto"/>
            <w:vAlign w:val="center"/>
          </w:tcPr>
          <w:p>
            <w:pPr>
              <w:snapToGrid w:val="0"/>
              <w:spacing w:line="264" w:lineRule="auto"/>
              <w:ind w:left="-88" w:leftChars="-42" w:right="-82" w:rightChars="-39"/>
              <w:jc w:val="center"/>
              <w:rPr>
                <w:rFonts w:ascii="宋体" w:hAnsi="宋体" w:eastAsia="宋体" w:cs="Times New Roman"/>
                <w:b/>
                <w:color w:val="auto"/>
                <w:sz w:val="24"/>
                <w:szCs w:val="21"/>
                <w:highlight w:val="none"/>
              </w:rPr>
            </w:pPr>
            <w:r>
              <w:rPr>
                <w:rFonts w:hint="eastAsia" w:ascii="宋体" w:hAnsi="宋体" w:eastAsia="宋体" w:cs="Times New Roman"/>
                <w:b/>
                <w:color w:val="auto"/>
                <w:szCs w:val="21"/>
                <w:highlight w:val="none"/>
              </w:rPr>
              <w:t>序号</w:t>
            </w:r>
          </w:p>
        </w:tc>
        <w:tc>
          <w:tcPr>
            <w:tcW w:w="300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文件要求</w:t>
            </w:r>
          </w:p>
        </w:tc>
        <w:tc>
          <w:tcPr>
            <w:tcW w:w="1572" w:type="pct"/>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spacing w:line="264" w:lineRule="auto"/>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6" w:type="pct"/>
          <w:cantSplit/>
          <w:trHeight w:val="443" w:hRule="atLeast"/>
          <w:jc w:val="center"/>
        </w:trPr>
        <w:tc>
          <w:tcPr>
            <w:tcW w:w="419" w:type="pct"/>
            <w:tcBorders>
              <w:top w:val="single" w:color="auto" w:sz="6" w:space="0"/>
              <w:left w:val="single" w:color="auto" w:sz="12" w:space="0"/>
              <w:bottom w:val="single" w:color="auto" w:sz="6" w:space="0"/>
              <w:right w:val="single" w:color="auto" w:sz="6" w:space="0"/>
            </w:tcBorders>
            <w:shd w:val="clear" w:color="auto" w:fill="auto"/>
            <w:vAlign w:val="center"/>
          </w:tcPr>
          <w:p>
            <w:pPr>
              <w:numPr>
                <w:ilvl w:val="0"/>
                <w:numId w:val="16"/>
              </w:numPr>
              <w:adjustRightInd w:val="0"/>
              <w:snapToGrid w:val="0"/>
              <w:spacing w:line="264" w:lineRule="auto"/>
              <w:textAlignment w:val="baseline"/>
              <w:rPr>
                <w:rFonts w:ascii="宋体" w:hAnsi="宋体" w:eastAsia="宋体" w:cs="Times New Roman"/>
                <w:color w:val="auto"/>
                <w:sz w:val="24"/>
                <w:szCs w:val="24"/>
                <w:highlight w:val="none"/>
              </w:rPr>
            </w:pPr>
          </w:p>
        </w:tc>
        <w:tc>
          <w:tcPr>
            <w:tcW w:w="3002" w:type="pct"/>
            <w:gridSpan w:val="2"/>
            <w:tcBorders>
              <w:top w:val="single" w:color="auto" w:sz="6" w:space="0"/>
              <w:left w:val="single" w:color="auto" w:sz="6" w:space="0"/>
              <w:bottom w:val="single" w:color="auto" w:sz="6" w:space="0"/>
              <w:right w:val="single" w:color="auto" w:sz="6" w:space="0"/>
            </w:tcBorders>
            <w:shd w:val="clear" w:color="auto" w:fill="auto"/>
            <w:vAlign w:val="center"/>
          </w:tcPr>
          <w:p>
            <w:pPr>
              <w:snapToGrid w:val="0"/>
              <w:spacing w:line="264"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报价表</w:t>
            </w:r>
          </w:p>
        </w:tc>
        <w:tc>
          <w:tcPr>
            <w:tcW w:w="1572" w:type="pct"/>
            <w:gridSpan w:val="2"/>
            <w:tcBorders>
              <w:top w:val="single" w:color="auto" w:sz="6" w:space="0"/>
              <w:left w:val="single" w:color="auto" w:sz="6" w:space="0"/>
              <w:bottom w:val="single" w:color="auto" w:sz="6" w:space="0"/>
              <w:right w:val="single" w:color="auto" w:sz="12" w:space="0"/>
            </w:tcBorders>
            <w:shd w:val="clear" w:color="auto" w:fill="auto"/>
            <w:vAlign w:val="center"/>
          </w:tcPr>
          <w:p>
            <w:pPr>
              <w:snapToGrid w:val="0"/>
              <w:jc w:val="center"/>
              <w:rPr>
                <w:rFonts w:ascii="宋体" w:hAnsi="宋体" w:eastAsia="宋体" w:cs="Times New Roman"/>
                <w:color w:val="auto"/>
                <w:sz w:val="24"/>
                <w:szCs w:val="21"/>
                <w:highlight w:val="none"/>
              </w:rPr>
            </w:pPr>
            <w:r>
              <w:rPr>
                <w:rFonts w:hint="eastAsia" w:ascii="宋体" w:hAnsi="宋体" w:eastAsia="宋体" w:cs="Times New Roman"/>
                <w:color w:val="auto"/>
                <w:szCs w:val="21"/>
                <w:highlight w:val="none"/>
              </w:rPr>
              <w:t>第（）页</w:t>
            </w:r>
          </w:p>
        </w:tc>
      </w:tr>
    </w:tbl>
    <w:p>
      <w:pPr>
        <w:adjustRightInd w:val="0"/>
        <w:snapToGrid w:val="0"/>
        <w:spacing w:line="360" w:lineRule="auto"/>
        <w:jc w:val="center"/>
        <w:textAlignment w:val="baseline"/>
        <w:rPr>
          <w:rFonts w:ascii="宋体" w:hAnsi="宋体" w:eastAsia="宋体"/>
          <w:b/>
          <w:color w:val="auto"/>
          <w:sz w:val="28"/>
          <w:szCs w:val="28"/>
          <w:highlight w:val="none"/>
        </w:rPr>
      </w:pPr>
      <w:r>
        <w:rPr>
          <w:rFonts w:ascii="宋体" w:hAnsi="宋体" w:eastAsia="宋体"/>
          <w:b/>
          <w:color w:val="auto"/>
          <w:sz w:val="28"/>
          <w:szCs w:val="28"/>
          <w:highlight w:val="none"/>
        </w:rPr>
        <w:br w:type="page"/>
      </w:r>
    </w:p>
    <w:p>
      <w:pPr>
        <w:pStyle w:val="2"/>
        <w:spacing w:line="360" w:lineRule="auto"/>
        <w:jc w:val="center"/>
        <w:rPr>
          <w:rFonts w:ascii="宋体" w:hAnsi="宋体" w:eastAsia="宋体"/>
          <w:color w:val="auto"/>
          <w:highlight w:val="none"/>
        </w:rPr>
      </w:pPr>
      <w:r>
        <w:rPr>
          <w:rFonts w:hint="eastAsia" w:ascii="宋体" w:hAnsi="宋体" w:eastAsia="宋体"/>
          <w:color w:val="auto"/>
          <w:highlight w:val="none"/>
        </w:rPr>
        <w:t>技术、商务评审目录</w:t>
      </w:r>
    </w:p>
    <w:tbl>
      <w:tblPr>
        <w:tblStyle w:val="3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0"/>
        <w:gridCol w:w="2199"/>
        <w:gridCol w:w="2777"/>
        <w:gridCol w:w="28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shd w:val="clear" w:color="auto" w:fill="EEECE1"/>
            <w:vAlign w:val="center"/>
          </w:tcPr>
          <w:p>
            <w:pPr>
              <w:snapToGrid w:val="0"/>
              <w:spacing w:line="264"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289" w:type="pct"/>
            <w:shd w:val="clear" w:color="auto" w:fill="EEECE1"/>
            <w:vAlign w:val="center"/>
          </w:tcPr>
          <w:p>
            <w:pPr>
              <w:snapToGrid w:val="0"/>
              <w:spacing w:line="264" w:lineRule="auto"/>
              <w:jc w:val="center"/>
              <w:rPr>
                <w:rFonts w:ascii="宋体" w:hAnsi="宋体" w:eastAsia="宋体"/>
                <w:b/>
                <w:color w:val="auto"/>
                <w:szCs w:val="21"/>
                <w:highlight w:val="none"/>
              </w:rPr>
            </w:pPr>
            <w:r>
              <w:rPr>
                <w:rFonts w:hint="eastAsia" w:ascii="宋体" w:hAnsi="宋体" w:eastAsia="宋体" w:cs="宋体"/>
                <w:b/>
                <w:color w:val="auto"/>
                <w:szCs w:val="21"/>
                <w:highlight w:val="none"/>
              </w:rPr>
              <w:t>评审因素</w:t>
            </w:r>
          </w:p>
        </w:tc>
        <w:tc>
          <w:tcPr>
            <w:tcW w:w="1628" w:type="pct"/>
            <w:shd w:val="clear" w:color="auto" w:fill="EEECE1"/>
            <w:vAlign w:val="center"/>
          </w:tcPr>
          <w:p>
            <w:pPr>
              <w:snapToGrid w:val="0"/>
              <w:spacing w:line="264" w:lineRule="auto"/>
              <w:jc w:val="center"/>
              <w:rPr>
                <w:rFonts w:ascii="宋体" w:hAnsi="宋体" w:eastAsia="宋体"/>
                <w:b/>
                <w:color w:val="auto"/>
                <w:szCs w:val="21"/>
                <w:highlight w:val="none"/>
              </w:rPr>
            </w:pPr>
            <w:r>
              <w:rPr>
                <w:rFonts w:hint="eastAsia" w:ascii="宋体" w:hAnsi="宋体" w:eastAsia="宋体"/>
                <w:b/>
                <w:color w:val="auto"/>
                <w:szCs w:val="21"/>
                <w:highlight w:val="none"/>
              </w:rPr>
              <w:t>提交内容</w:t>
            </w:r>
          </w:p>
        </w:tc>
        <w:tc>
          <w:tcPr>
            <w:tcW w:w="1683" w:type="pct"/>
            <w:shd w:val="clear" w:color="auto" w:fill="EEECE1"/>
            <w:vAlign w:val="center"/>
          </w:tcPr>
          <w:p>
            <w:pPr>
              <w:snapToGrid w:val="0"/>
              <w:spacing w:line="264"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5000" w:type="pct"/>
            <w:gridSpan w:val="4"/>
            <w:vAlign w:val="center"/>
          </w:tcPr>
          <w:p>
            <w:pPr>
              <w:snapToGrid w:val="0"/>
              <w:spacing w:line="264" w:lineRule="auto"/>
              <w:jc w:val="left"/>
              <w:rPr>
                <w:rFonts w:ascii="宋体" w:hAnsi="宋体" w:eastAsia="宋体"/>
                <w:b/>
                <w:bCs/>
                <w:color w:val="auto"/>
                <w:sz w:val="24"/>
                <w:highlight w:val="none"/>
              </w:rPr>
            </w:pPr>
            <w:r>
              <w:rPr>
                <w:rFonts w:hint="eastAsia" w:ascii="宋体" w:hAnsi="宋体" w:eastAsia="宋体" w:cs="Times New Roman"/>
                <w:b/>
                <w:color w:val="auto"/>
                <w:szCs w:val="21"/>
                <w:highlight w:val="none"/>
              </w:rPr>
              <w:t>商务评审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adjustRightInd w:val="0"/>
              <w:snapToGrid w:val="0"/>
              <w:rPr>
                <w:rFonts w:hint="eastAsia" w:ascii="宋体" w:hAnsi="宋体" w:eastAsia="宋体" w:cs="宋体"/>
                <w:color w:val="auto"/>
                <w:highlight w:val="none"/>
                <w:lang w:eastAsia="zh-CN"/>
              </w:rPr>
            </w:pPr>
            <w:r>
              <w:rPr>
                <w:rFonts w:hint="eastAsia" w:ascii="宋体" w:hAnsi="宋体" w:eastAsia="宋体"/>
                <w:color w:val="auto"/>
                <w:szCs w:val="21"/>
                <w:highlight w:val="none"/>
              </w:rPr>
              <w:t>供应商具有海洋能数据分析及资源量评估能力，拟承担的队伍近十年(2014年1月1日至今)作为项目负责人承担过相关调查研究项目，调查质量及成果报告在合格及以上</w:t>
            </w:r>
          </w:p>
        </w:tc>
        <w:tc>
          <w:tcPr>
            <w:tcW w:w="1628" w:type="pct"/>
            <w:vAlign w:val="center"/>
          </w:tcPr>
          <w:p>
            <w:pPr>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adjustRightInd w:val="0"/>
              <w:snapToGrid w:val="0"/>
              <w:rPr>
                <w:rFonts w:ascii="宋体" w:hAnsi="宋体" w:eastAsia="宋体" w:cs="宋体"/>
                <w:color w:val="auto"/>
                <w:highlight w:val="none"/>
              </w:rPr>
            </w:pPr>
            <w:r>
              <w:rPr>
                <w:rFonts w:hint="eastAsia" w:ascii="宋体" w:hAnsi="宋体" w:eastAsia="宋体"/>
                <w:color w:val="auto"/>
                <w:szCs w:val="21"/>
                <w:highlight w:val="none"/>
              </w:rPr>
              <w:t>拟承担的队伍近十年（2014年1月1日至今）是否在</w:t>
            </w:r>
            <w:r>
              <w:rPr>
                <w:rFonts w:hint="eastAsia" w:ascii="宋体" w:hAnsi="宋体" w:eastAsia="宋体"/>
                <w:b/>
                <w:bCs/>
                <w:color w:val="auto"/>
                <w:szCs w:val="21"/>
                <w:highlight w:val="none"/>
              </w:rPr>
              <w:t>工作区或邻区</w:t>
            </w:r>
            <w:r>
              <w:rPr>
                <w:rFonts w:hint="eastAsia" w:ascii="宋体" w:hAnsi="宋体" w:eastAsia="宋体"/>
                <w:color w:val="auto"/>
                <w:szCs w:val="21"/>
                <w:highlight w:val="none"/>
              </w:rPr>
              <w:t>承担过海洋环境数据分析及资源量评估相关项目，调查质量及成果报告在合格及以上</w:t>
            </w:r>
          </w:p>
        </w:tc>
        <w:tc>
          <w:tcPr>
            <w:tcW w:w="1628" w:type="pct"/>
            <w:vAlign w:val="center"/>
          </w:tcPr>
          <w:p>
            <w:pPr>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widowControl/>
              <w:adjustRightInd w:val="0"/>
              <w:snapToGrid w:val="0"/>
              <w:jc w:val="left"/>
              <w:rPr>
                <w:rFonts w:ascii="宋体" w:hAnsi="宋体" w:eastAsia="宋体" w:cs="宋体"/>
                <w:color w:val="auto"/>
                <w:highlight w:val="none"/>
              </w:rPr>
            </w:pPr>
            <w:r>
              <w:rPr>
                <w:rFonts w:hint="eastAsia" w:ascii="宋体" w:hAnsi="宋体" w:eastAsia="宋体" w:cs="宋体"/>
                <w:color w:val="auto"/>
                <w:kern w:val="0"/>
                <w:szCs w:val="21"/>
                <w:highlight w:val="none"/>
              </w:rPr>
              <w:t>项目负责人是否主持过同类项目或具有同类项目工作经历，必须具备相关专业</w:t>
            </w:r>
            <w:r>
              <w:rPr>
                <w:rFonts w:hint="eastAsia" w:ascii="宋体" w:hAnsi="宋体" w:eastAsia="宋体" w:cs="宋体"/>
                <w:color w:val="auto"/>
                <w:kern w:val="0"/>
                <w:szCs w:val="21"/>
                <w:highlight w:val="none"/>
                <w:lang w:eastAsia="zh-CN"/>
              </w:rPr>
              <w:t>高级</w:t>
            </w:r>
            <w:r>
              <w:rPr>
                <w:rFonts w:hint="eastAsia" w:ascii="宋体" w:hAnsi="宋体" w:eastAsia="宋体" w:cs="宋体"/>
                <w:color w:val="auto"/>
                <w:kern w:val="0"/>
                <w:szCs w:val="21"/>
                <w:highlight w:val="none"/>
              </w:rPr>
              <w:t>或以上职称</w:t>
            </w:r>
            <w:r>
              <w:rPr>
                <w:rFonts w:hint="eastAsia" w:ascii="宋体" w:hAnsi="宋体" w:eastAsia="宋体" w:cs="宋体"/>
                <w:color w:val="auto"/>
                <w:kern w:val="0"/>
                <w:szCs w:val="21"/>
                <w:highlight w:val="none"/>
                <w:lang w:eastAsia="zh-CN"/>
              </w:rPr>
              <w:t>。</w:t>
            </w:r>
          </w:p>
        </w:tc>
        <w:tc>
          <w:tcPr>
            <w:tcW w:w="1628" w:type="pct"/>
            <w:vAlign w:val="center"/>
          </w:tcPr>
          <w:p>
            <w:pPr>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widowControl/>
              <w:adjustRightInd w:val="0"/>
              <w:snapToGrid w:val="0"/>
              <w:jc w:val="left"/>
              <w:rPr>
                <w:rFonts w:ascii="Times New Roman" w:hAnsi="Times New Roman" w:eastAsia="宋体" w:cs="宋体"/>
                <w:color w:val="auto"/>
                <w:kern w:val="0"/>
                <w:sz w:val="20"/>
                <w:szCs w:val="20"/>
                <w:highlight w:val="none"/>
              </w:rPr>
            </w:pPr>
            <w:r>
              <w:rPr>
                <w:rFonts w:hint="eastAsia" w:ascii="宋体" w:hAnsi="宋体" w:eastAsia="宋体" w:cs="宋体"/>
                <w:color w:val="auto"/>
                <w:kern w:val="0"/>
                <w:szCs w:val="21"/>
                <w:highlight w:val="none"/>
              </w:rPr>
              <w:t>项目组人员专业配置合理，能满足项目实施。</w:t>
            </w:r>
          </w:p>
        </w:tc>
        <w:tc>
          <w:tcPr>
            <w:tcW w:w="1628" w:type="pct"/>
            <w:vAlign w:val="center"/>
          </w:tcPr>
          <w:p>
            <w:pPr>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5000" w:type="pct"/>
            <w:gridSpan w:val="4"/>
            <w:vAlign w:val="center"/>
          </w:tcPr>
          <w:p>
            <w:pPr>
              <w:snapToGrid w:val="0"/>
              <w:spacing w:line="264" w:lineRule="auto"/>
              <w:jc w:val="left"/>
              <w:rPr>
                <w:rFonts w:ascii="宋体" w:hAnsi="宋体" w:eastAsia="宋体"/>
                <w:color w:val="auto"/>
                <w:szCs w:val="20"/>
                <w:highlight w:val="none"/>
              </w:rPr>
            </w:pPr>
            <w:r>
              <w:rPr>
                <w:rFonts w:hint="eastAsia" w:ascii="宋体" w:hAnsi="宋体" w:eastAsia="宋体"/>
                <w:b/>
                <w:bCs/>
                <w:color w:val="auto"/>
                <w:szCs w:val="20"/>
                <w:highlight w:val="none"/>
              </w:rPr>
              <w:t>技术评审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widowControl/>
              <w:adjustRightInd w:val="0"/>
              <w:snapToGrid w:val="0"/>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rPr>
              <w:t>工作区区域地质、基础地质、相关专题调查内容地质情况等了解程度，专题调查内容国内外研究现状，已有成果资料收集情况</w:t>
            </w:r>
            <w:r>
              <w:rPr>
                <w:rFonts w:hint="eastAsia" w:ascii="宋体" w:hAnsi="宋体" w:eastAsia="宋体" w:cs="宋体"/>
                <w:color w:val="auto"/>
                <w:kern w:val="0"/>
                <w:szCs w:val="21"/>
                <w:highlight w:val="none"/>
                <w:lang w:eastAsia="zh-CN"/>
              </w:rPr>
              <w:t>。</w:t>
            </w:r>
          </w:p>
        </w:tc>
        <w:tc>
          <w:tcPr>
            <w:tcW w:w="1628" w:type="pct"/>
            <w:vAlign w:val="center"/>
          </w:tcPr>
          <w:p>
            <w:pPr>
              <w:snapToGrid w:val="0"/>
              <w:spacing w:line="264" w:lineRule="auto"/>
              <w:jc w:val="left"/>
              <w:rPr>
                <w:rFonts w:ascii="宋体" w:hAnsi="宋体" w:eastAsia="宋体" w:cs="Times New Roman"/>
                <w:color w:val="auto"/>
                <w:szCs w:val="21"/>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widowControl/>
              <w:adjustRightInd w:val="0"/>
              <w:snapToGrid w:val="0"/>
              <w:jc w:val="left"/>
              <w:rPr>
                <w:rFonts w:ascii="宋体" w:hAnsi="宋体" w:eastAsia="宋体" w:cs="宋体"/>
                <w:color w:val="auto"/>
                <w:highlight w:val="none"/>
              </w:rPr>
            </w:pPr>
            <w:r>
              <w:rPr>
                <w:rFonts w:hint="eastAsia" w:ascii="宋体" w:hAnsi="宋体" w:eastAsia="宋体" w:cs="宋体"/>
                <w:color w:val="auto"/>
                <w:kern w:val="0"/>
                <w:szCs w:val="21"/>
                <w:highlight w:val="none"/>
              </w:rPr>
              <w:t>技术路线是否合理，技术要求符合规范</w:t>
            </w:r>
            <w:r>
              <w:rPr>
                <w:rFonts w:hint="eastAsia" w:ascii="宋体" w:hAnsi="宋体" w:eastAsia="宋体" w:cs="宋体"/>
                <w:color w:val="auto"/>
                <w:kern w:val="0"/>
                <w:szCs w:val="21"/>
                <w:highlight w:val="none"/>
                <w:lang w:eastAsia="zh-CN"/>
              </w:rPr>
              <w:t>。</w:t>
            </w:r>
          </w:p>
        </w:tc>
        <w:tc>
          <w:tcPr>
            <w:tcW w:w="1628" w:type="pct"/>
            <w:vAlign w:val="center"/>
          </w:tcPr>
          <w:p>
            <w:pPr>
              <w:snapToGrid w:val="0"/>
              <w:spacing w:line="264" w:lineRule="auto"/>
              <w:jc w:val="left"/>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jc w:val="left"/>
              <w:rPr>
                <w:rFonts w:hint="eastAsia" w:ascii="宋体" w:hAnsi="宋体" w:eastAsia="宋体" w:cs="Times New Roman"/>
                <w:color w:val="auto"/>
                <w:highlight w:val="none"/>
                <w:lang w:eastAsia="zh-CN"/>
              </w:rPr>
            </w:pPr>
            <w:r>
              <w:rPr>
                <w:rFonts w:hint="eastAsia" w:ascii="宋体" w:hAnsi="宋体" w:eastAsia="宋体" w:cs="Times New Roman"/>
                <w:color w:val="auto"/>
                <w:highlight w:val="none"/>
              </w:rPr>
              <w:t>工作方法是否满足调查需要</w:t>
            </w:r>
            <w:r>
              <w:rPr>
                <w:rFonts w:hint="eastAsia" w:ascii="宋体" w:hAnsi="宋体" w:eastAsia="宋体" w:cs="Times New Roman"/>
                <w:color w:val="auto"/>
                <w:highlight w:val="none"/>
                <w:lang w:eastAsia="zh-CN"/>
              </w:rPr>
              <w:t>。</w:t>
            </w:r>
          </w:p>
        </w:tc>
        <w:tc>
          <w:tcPr>
            <w:tcW w:w="1628" w:type="pct"/>
            <w:vAlign w:val="center"/>
          </w:tcPr>
          <w:p>
            <w:pPr>
              <w:snapToGrid w:val="0"/>
              <w:spacing w:line="264" w:lineRule="auto"/>
              <w:jc w:val="left"/>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jc w:val="left"/>
              <w:rPr>
                <w:rFonts w:hint="eastAsia" w:ascii="宋体" w:hAnsi="宋体" w:eastAsia="宋体" w:cs="Times New Roman"/>
                <w:color w:val="auto"/>
                <w:highlight w:val="none"/>
                <w:lang w:eastAsia="zh-CN"/>
              </w:rPr>
            </w:pPr>
            <w:r>
              <w:rPr>
                <w:rFonts w:hint="eastAsia" w:ascii="宋体" w:hAnsi="宋体" w:eastAsia="宋体" w:cs="宋体"/>
                <w:color w:val="auto"/>
                <w:kern w:val="0"/>
                <w:szCs w:val="21"/>
                <w:highlight w:val="none"/>
              </w:rPr>
              <w:t>工作部署是否合理且具有针对性，是否满足完成目标需要</w:t>
            </w:r>
            <w:r>
              <w:rPr>
                <w:rFonts w:hint="eastAsia" w:ascii="宋体" w:hAnsi="宋体" w:eastAsia="宋体" w:cs="宋体"/>
                <w:color w:val="auto"/>
                <w:kern w:val="0"/>
                <w:szCs w:val="21"/>
                <w:highlight w:val="none"/>
                <w:lang w:eastAsia="zh-CN"/>
              </w:rPr>
              <w:t>。</w:t>
            </w:r>
          </w:p>
        </w:tc>
        <w:tc>
          <w:tcPr>
            <w:tcW w:w="1628" w:type="pct"/>
            <w:vAlign w:val="center"/>
          </w:tcPr>
          <w:p>
            <w:pPr>
              <w:snapToGrid w:val="0"/>
              <w:spacing w:line="264" w:lineRule="auto"/>
              <w:jc w:val="left"/>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399" w:type="pct"/>
            <w:vAlign w:val="center"/>
          </w:tcPr>
          <w:p>
            <w:pPr>
              <w:numPr>
                <w:ilvl w:val="0"/>
                <w:numId w:val="17"/>
              </w:numPr>
              <w:adjustRightInd w:val="0"/>
              <w:snapToGrid w:val="0"/>
              <w:spacing w:line="264" w:lineRule="auto"/>
              <w:textAlignment w:val="baseline"/>
              <w:rPr>
                <w:rFonts w:ascii="宋体" w:hAnsi="宋体" w:eastAsia="宋体"/>
                <w:color w:val="auto"/>
                <w:sz w:val="24"/>
                <w:highlight w:val="none"/>
              </w:rPr>
            </w:pPr>
          </w:p>
        </w:tc>
        <w:tc>
          <w:tcPr>
            <w:tcW w:w="1289" w:type="pct"/>
            <w:vAlign w:val="center"/>
          </w:tcPr>
          <w:p>
            <w:pPr>
              <w:widowControl/>
              <w:adjustRightInd w:val="0"/>
              <w:snapToGrid w:val="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预期成果是否明确，并具有可考核性</w:t>
            </w:r>
            <w:r>
              <w:rPr>
                <w:rFonts w:hint="eastAsia" w:ascii="宋体" w:hAnsi="宋体" w:eastAsia="宋体" w:cs="宋体"/>
                <w:color w:val="auto"/>
                <w:kern w:val="0"/>
                <w:szCs w:val="21"/>
                <w:highlight w:val="none"/>
                <w:lang w:eastAsia="zh-CN"/>
              </w:rPr>
              <w:t>。</w:t>
            </w:r>
          </w:p>
        </w:tc>
        <w:tc>
          <w:tcPr>
            <w:tcW w:w="1628" w:type="pct"/>
            <w:vAlign w:val="center"/>
          </w:tcPr>
          <w:p>
            <w:pPr>
              <w:snapToGrid w:val="0"/>
              <w:spacing w:line="264" w:lineRule="auto"/>
              <w:jc w:val="left"/>
              <w:rPr>
                <w:rFonts w:ascii="宋体" w:hAnsi="宋体" w:eastAsia="宋体"/>
                <w:color w:val="auto"/>
                <w:highlight w:val="none"/>
              </w:rPr>
            </w:pPr>
            <w:r>
              <w:rPr>
                <w:rFonts w:hint="eastAsia" w:ascii="宋体" w:hAnsi="宋体" w:eastAsia="宋体"/>
                <w:color w:val="auto"/>
                <w:highlight w:val="none"/>
              </w:rPr>
              <w:t>详见“综合评分标准”</w:t>
            </w:r>
          </w:p>
        </w:tc>
        <w:tc>
          <w:tcPr>
            <w:tcW w:w="1683" w:type="pct"/>
            <w:vAlign w:val="center"/>
          </w:tcPr>
          <w:p>
            <w:pPr>
              <w:snapToGrid w:val="0"/>
              <w:spacing w:line="264" w:lineRule="auto"/>
              <w:jc w:val="center"/>
              <w:rPr>
                <w:rFonts w:ascii="宋体" w:hAnsi="宋体" w:eastAsia="宋体"/>
                <w:color w:val="auto"/>
                <w:szCs w:val="20"/>
                <w:highlight w:val="none"/>
              </w:rPr>
            </w:pPr>
            <w:r>
              <w:rPr>
                <w:rFonts w:hint="eastAsia" w:ascii="宋体" w:hAnsi="宋体" w:eastAsia="宋体"/>
                <w:color w:val="auto"/>
                <w:szCs w:val="20"/>
                <w:highlight w:val="none"/>
              </w:rPr>
              <w:t>第（ ）页-（ ）页</w:t>
            </w:r>
          </w:p>
        </w:tc>
      </w:tr>
    </w:tbl>
    <w:p>
      <w:pPr>
        <w:pStyle w:val="14"/>
        <w:rPr>
          <w:rFonts w:ascii="宋体" w:hAnsi="宋体" w:eastAsia="宋体"/>
          <w:color w:val="auto"/>
          <w:highlight w:val="none"/>
          <w:lang w:val="zh-CN"/>
        </w:rPr>
      </w:pPr>
      <w:r>
        <w:rPr>
          <w:rFonts w:hint="eastAsia" w:ascii="宋体" w:hAnsi="宋体" w:eastAsia="宋体"/>
          <w:color w:val="auto"/>
          <w:highlight w:val="none"/>
          <w:lang w:val="zh-CN"/>
        </w:rPr>
        <w:t>以上内容与用户需求的综合评分表内容不一致的，以用户需求内容为准。</w:t>
      </w:r>
    </w:p>
    <w:p>
      <w:pPr>
        <w:pStyle w:val="2"/>
        <w:spacing w:line="360" w:lineRule="auto"/>
        <w:jc w:val="center"/>
        <w:rPr>
          <w:rFonts w:ascii="宋体" w:hAnsi="宋体" w:eastAsia="宋体"/>
          <w:color w:val="auto"/>
          <w:highlight w:val="none"/>
        </w:rPr>
        <w:sectPr>
          <w:head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425" w:num="1"/>
          <w:titlePg/>
          <w:docGrid w:type="lines" w:linePitch="312" w:charSpace="0"/>
        </w:sectPr>
      </w:pPr>
      <w:r>
        <w:rPr>
          <w:rFonts w:ascii="宋体" w:hAnsi="宋体" w:eastAsia="宋体"/>
          <w:color w:val="auto"/>
          <w:highlight w:val="none"/>
        </w:rPr>
        <w:br w:type="page"/>
      </w:r>
    </w:p>
    <w:p>
      <w:pPr>
        <w:pStyle w:val="2"/>
        <w:spacing w:line="360" w:lineRule="auto"/>
        <w:jc w:val="center"/>
        <w:rPr>
          <w:rFonts w:ascii="宋体" w:hAnsi="宋体" w:eastAsia="宋体"/>
          <w:color w:val="auto"/>
          <w:highlight w:val="none"/>
        </w:rPr>
      </w:pPr>
      <w:r>
        <w:rPr>
          <w:rFonts w:hint="eastAsia" w:ascii="宋体" w:hAnsi="宋体" w:eastAsia="宋体"/>
          <w:color w:val="auto"/>
          <w:highlight w:val="none"/>
        </w:rPr>
        <w:t>报价表</w:t>
      </w:r>
    </w:p>
    <w:tbl>
      <w:tblPr>
        <w:tblStyle w:val="36"/>
        <w:tblW w:w="47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81"/>
        <w:gridCol w:w="2015"/>
        <w:gridCol w:w="188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2282" w:type="dxa"/>
            <w:shd w:val="clear" w:color="auto" w:fill="EEECE1"/>
            <w:noWrap/>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采购内容</w:t>
            </w:r>
          </w:p>
        </w:tc>
        <w:tc>
          <w:tcPr>
            <w:tcW w:w="785" w:type="dxa"/>
            <w:shd w:val="clear" w:color="auto" w:fill="EEECE1"/>
            <w:vAlign w:val="center"/>
          </w:tcPr>
          <w:p>
            <w:pPr>
              <w:jc w:val="center"/>
              <w:rPr>
                <w:rFonts w:ascii="宋体" w:hAnsi="宋体" w:eastAsia="宋体"/>
                <w:b/>
                <w:color w:val="auto"/>
                <w:szCs w:val="21"/>
                <w:highlight w:val="none"/>
              </w:rPr>
            </w:pPr>
            <w:r>
              <w:rPr>
                <w:rFonts w:hint="eastAsia" w:ascii="宋体" w:hAnsi="宋体" w:eastAsia="宋体"/>
                <w:b/>
                <w:color w:val="auto"/>
                <w:szCs w:val="21"/>
                <w:highlight w:val="none"/>
              </w:rPr>
              <w:t>数量</w:t>
            </w:r>
          </w:p>
        </w:tc>
        <w:tc>
          <w:tcPr>
            <w:tcW w:w="2026" w:type="dxa"/>
            <w:shd w:val="clear" w:color="auto" w:fill="EEECE1"/>
            <w:noWrap/>
            <w:vAlign w:val="center"/>
          </w:tcPr>
          <w:p>
            <w:pPr>
              <w:jc w:val="center"/>
              <w:rPr>
                <w:rFonts w:hint="eastAsia" w:ascii="宋体" w:hAnsi="宋体" w:eastAsia="宋体"/>
                <w:b/>
                <w:color w:val="auto"/>
                <w:szCs w:val="21"/>
                <w:highlight w:val="none"/>
              </w:rPr>
            </w:pPr>
            <w:r>
              <w:rPr>
                <w:rFonts w:hint="eastAsia" w:ascii="宋体" w:hAnsi="宋体" w:eastAsia="宋体"/>
                <w:b/>
                <w:color w:val="auto"/>
                <w:szCs w:val="21"/>
                <w:highlight w:val="none"/>
              </w:rPr>
              <w:t>服务期</w:t>
            </w:r>
          </w:p>
        </w:tc>
        <w:tc>
          <w:tcPr>
            <w:tcW w:w="1892" w:type="dxa"/>
            <w:shd w:val="clear" w:color="auto" w:fill="EEECE1"/>
            <w:noWrap/>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报价</w:t>
            </w:r>
          </w:p>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（人民币 元）</w:t>
            </w:r>
          </w:p>
        </w:tc>
        <w:tc>
          <w:tcPr>
            <w:tcW w:w="1143" w:type="dxa"/>
            <w:shd w:val="clear" w:color="auto" w:fill="EEECE1"/>
            <w:noWrap/>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2282" w:type="dxa"/>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海口海洋地质调查中心</w:t>
            </w:r>
            <w:r>
              <w:rPr>
                <w:rFonts w:hint="eastAsia" w:ascii="宋体" w:hAnsi="宋体" w:eastAsia="宋体"/>
                <w:color w:val="auto"/>
                <w:szCs w:val="21"/>
                <w:highlight w:val="none"/>
              </w:rPr>
              <w:t>海南岛东南海域海洋能数据分析及资源量评估</w:t>
            </w:r>
          </w:p>
        </w:tc>
        <w:tc>
          <w:tcPr>
            <w:tcW w:w="785" w:type="dxa"/>
            <w:vAlign w:val="center"/>
          </w:tcPr>
          <w:p>
            <w:pPr>
              <w:jc w:val="center"/>
              <w:rPr>
                <w:rFonts w:ascii="宋体" w:hAnsi="宋体" w:eastAsia="宋体"/>
                <w:color w:val="auto"/>
                <w:szCs w:val="21"/>
                <w:highlight w:val="none"/>
              </w:rPr>
            </w:pPr>
            <w:r>
              <w:rPr>
                <w:rFonts w:hint="eastAsia" w:ascii="宋体" w:hAnsi="宋体" w:eastAsia="宋体"/>
                <w:color w:val="auto"/>
                <w:szCs w:val="21"/>
                <w:highlight w:val="none"/>
              </w:rPr>
              <w:t>1项</w:t>
            </w:r>
          </w:p>
        </w:tc>
        <w:tc>
          <w:tcPr>
            <w:tcW w:w="2026" w:type="dxa"/>
            <w:vAlign w:val="center"/>
          </w:tcPr>
          <w:p>
            <w:pPr>
              <w:jc w:val="center"/>
              <w:rPr>
                <w:rFonts w:hint="eastAsia" w:ascii="宋体" w:hAnsi="宋体" w:eastAsia="宋体"/>
                <w:color w:val="auto"/>
                <w:szCs w:val="21"/>
                <w:highlight w:val="none"/>
              </w:rPr>
            </w:pPr>
            <w:r>
              <w:rPr>
                <w:rFonts w:hint="eastAsia" w:ascii="宋体" w:hAnsi="宋体" w:eastAsia="宋体"/>
                <w:bCs/>
                <w:color w:val="auto"/>
                <w:szCs w:val="21"/>
                <w:highlight w:val="none"/>
              </w:rPr>
              <w:t>从签订合同之日起，到2</w:t>
            </w:r>
            <w:r>
              <w:rPr>
                <w:rFonts w:ascii="宋体" w:hAnsi="宋体" w:eastAsia="宋体"/>
                <w:bCs/>
                <w:color w:val="auto"/>
                <w:szCs w:val="21"/>
                <w:highlight w:val="none"/>
              </w:rPr>
              <w:t>024</w:t>
            </w:r>
            <w:r>
              <w:rPr>
                <w:rFonts w:hint="eastAsia" w:ascii="宋体" w:hAnsi="宋体" w:eastAsia="宋体"/>
                <w:bCs/>
                <w:color w:val="auto"/>
                <w:szCs w:val="21"/>
                <w:highlight w:val="none"/>
              </w:rPr>
              <w:t>年</w:t>
            </w:r>
            <w:r>
              <w:rPr>
                <w:rFonts w:ascii="宋体" w:hAnsi="宋体" w:eastAsia="宋体"/>
                <w:bCs/>
                <w:color w:val="auto"/>
                <w:szCs w:val="21"/>
                <w:highlight w:val="none"/>
              </w:rPr>
              <w:t>1</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rPr>
              <w:t>月</w:t>
            </w:r>
            <w:r>
              <w:rPr>
                <w:rFonts w:ascii="宋体" w:hAnsi="宋体" w:eastAsia="宋体"/>
                <w:bCs/>
                <w:color w:val="auto"/>
                <w:szCs w:val="21"/>
                <w:highlight w:val="none"/>
              </w:rPr>
              <w:t>20</w:t>
            </w:r>
            <w:r>
              <w:rPr>
                <w:rFonts w:hint="eastAsia" w:ascii="宋体" w:hAnsi="宋体" w:eastAsia="宋体"/>
                <w:bCs/>
                <w:color w:val="auto"/>
                <w:szCs w:val="21"/>
                <w:highlight w:val="none"/>
              </w:rPr>
              <w:t>日完成</w:t>
            </w:r>
            <w:r>
              <w:rPr>
                <w:rFonts w:hint="eastAsia" w:ascii="宋体" w:hAnsi="宋体" w:eastAsia="宋体"/>
                <w:color w:val="auto"/>
                <w:szCs w:val="21"/>
                <w:highlight w:val="none"/>
              </w:rPr>
              <w:t xml:space="preserve">    </w:t>
            </w:r>
          </w:p>
        </w:tc>
        <w:tc>
          <w:tcPr>
            <w:tcW w:w="1892" w:type="dxa"/>
            <w:vAlign w:val="center"/>
          </w:tcPr>
          <w:p>
            <w:pPr>
              <w:widowControl/>
              <w:jc w:val="center"/>
              <w:rPr>
                <w:rFonts w:ascii="宋体" w:hAnsi="宋体" w:eastAsia="宋体" w:cs="宋体"/>
                <w:color w:val="auto"/>
                <w:kern w:val="0"/>
                <w:szCs w:val="21"/>
                <w:highlight w:val="none"/>
              </w:rPr>
            </w:pPr>
          </w:p>
        </w:tc>
        <w:tc>
          <w:tcPr>
            <w:tcW w:w="1143" w:type="dxa"/>
            <w:vAlign w:val="center"/>
          </w:tcPr>
          <w:p>
            <w:pPr>
              <w:widowControl/>
              <w:jc w:val="center"/>
              <w:rPr>
                <w:rFonts w:ascii="宋体" w:hAnsi="宋体" w:eastAsia="宋体" w:cs="宋体"/>
                <w:color w:val="auto"/>
                <w:kern w:val="0"/>
                <w:szCs w:val="21"/>
                <w:highlight w:val="none"/>
              </w:rPr>
            </w:pPr>
          </w:p>
        </w:tc>
      </w:tr>
    </w:tbl>
    <w:p>
      <w:pPr>
        <w:spacing w:line="500" w:lineRule="exact"/>
        <w:rPr>
          <w:rFonts w:ascii="宋体" w:hAnsi="宋体" w:eastAsia="宋体"/>
          <w:b/>
          <w:color w:val="auto"/>
          <w:spacing w:val="4"/>
          <w:szCs w:val="21"/>
          <w:highlight w:val="none"/>
        </w:rPr>
      </w:pPr>
      <w:r>
        <w:rPr>
          <w:rFonts w:hint="eastAsia" w:ascii="宋体" w:hAnsi="宋体" w:eastAsia="宋体"/>
          <w:b/>
          <w:color w:val="auto"/>
          <w:spacing w:val="4"/>
          <w:szCs w:val="21"/>
          <w:highlight w:val="none"/>
        </w:rPr>
        <w:t>注：</w:t>
      </w:r>
    </w:p>
    <w:p>
      <w:pPr>
        <w:widowControl/>
        <w:numPr>
          <w:ilvl w:val="0"/>
          <w:numId w:val="18"/>
        </w:numPr>
        <w:spacing w:line="340" w:lineRule="exact"/>
        <w:jc w:val="left"/>
        <w:rPr>
          <w:rFonts w:ascii="宋体" w:hAnsi="宋体" w:eastAsia="宋体"/>
          <w:b/>
          <w:bCs/>
          <w:color w:val="auto"/>
          <w:kern w:val="0"/>
          <w:szCs w:val="21"/>
          <w:highlight w:val="none"/>
          <w:u w:val="single"/>
        </w:rPr>
      </w:pPr>
      <w:r>
        <w:rPr>
          <w:rFonts w:ascii="宋体" w:hAnsi="宋体" w:eastAsia="宋体"/>
          <w:b/>
          <w:bCs/>
          <w:color w:val="auto"/>
          <w:kern w:val="0"/>
          <w:szCs w:val="21"/>
          <w:highlight w:val="none"/>
          <w:u w:val="single"/>
        </w:rPr>
        <w:t>供应商必须按报价表的格式填写，不得增加或删除表格内容。除金额或项目要求填写的内容外，不得擅自改动报价表内容，</w:t>
      </w:r>
      <w:r>
        <w:rPr>
          <w:rFonts w:ascii="宋体" w:hAnsi="宋体" w:eastAsia="宋体"/>
          <w:b/>
          <w:bCs/>
          <w:color w:val="auto"/>
          <w:kern w:val="0"/>
          <w:szCs w:val="21"/>
          <w:highlight w:val="none"/>
        </w:rPr>
        <w:t>否则将有可能影响成交结果，不推荐为成交候选人；</w:t>
      </w:r>
    </w:p>
    <w:p>
      <w:pPr>
        <w:widowControl/>
        <w:numPr>
          <w:ilvl w:val="0"/>
          <w:numId w:val="18"/>
        </w:numPr>
        <w:spacing w:line="340" w:lineRule="exact"/>
        <w:jc w:val="left"/>
        <w:rPr>
          <w:rFonts w:ascii="宋体" w:hAnsi="宋体" w:eastAsia="宋体"/>
          <w:b/>
          <w:color w:val="auto"/>
          <w:kern w:val="0"/>
          <w:szCs w:val="21"/>
          <w:highlight w:val="none"/>
        </w:rPr>
      </w:pPr>
      <w:r>
        <w:rPr>
          <w:rFonts w:ascii="宋体" w:hAnsi="宋体" w:eastAsia="宋体"/>
          <w:b/>
          <w:color w:val="auto"/>
          <w:kern w:val="0"/>
          <w:szCs w:val="21"/>
          <w:highlight w:val="none"/>
        </w:rPr>
        <w:t>所有价格均系用人民币表示，单位为元，</w:t>
      </w:r>
      <w:r>
        <w:rPr>
          <w:rFonts w:ascii="宋体" w:hAnsi="宋体" w:eastAsia="宋体"/>
          <w:b/>
          <w:bCs/>
          <w:color w:val="auto"/>
          <w:kern w:val="0"/>
          <w:szCs w:val="21"/>
          <w:highlight w:val="none"/>
        </w:rPr>
        <w:t>均为含税价</w:t>
      </w:r>
      <w:r>
        <w:rPr>
          <w:rFonts w:ascii="宋体" w:hAnsi="宋体" w:eastAsia="宋体"/>
          <w:b/>
          <w:color w:val="auto"/>
          <w:kern w:val="0"/>
          <w:szCs w:val="21"/>
          <w:highlight w:val="none"/>
        </w:rPr>
        <w:t>；</w:t>
      </w:r>
    </w:p>
    <w:p>
      <w:pPr>
        <w:widowControl/>
        <w:numPr>
          <w:ilvl w:val="0"/>
          <w:numId w:val="18"/>
        </w:numPr>
        <w:spacing w:line="340" w:lineRule="exact"/>
        <w:jc w:val="left"/>
        <w:rPr>
          <w:rFonts w:ascii="宋体" w:hAnsi="宋体" w:eastAsia="宋体"/>
          <w:b/>
          <w:color w:val="auto"/>
          <w:kern w:val="0"/>
          <w:szCs w:val="21"/>
          <w:highlight w:val="none"/>
        </w:rPr>
      </w:pPr>
      <w:r>
        <w:rPr>
          <w:rFonts w:ascii="宋体" w:hAnsi="宋体" w:eastAsia="宋体"/>
          <w:b/>
          <w:color w:val="auto"/>
          <w:kern w:val="0"/>
          <w:szCs w:val="21"/>
          <w:highlight w:val="none"/>
        </w:rPr>
        <w:t>平台报价与报价表不一致的，以报价表（经价格核准后的价格）为准；</w:t>
      </w:r>
    </w:p>
    <w:p>
      <w:pPr>
        <w:widowControl/>
        <w:numPr>
          <w:ilvl w:val="0"/>
          <w:numId w:val="18"/>
        </w:numPr>
        <w:spacing w:line="340" w:lineRule="exact"/>
        <w:jc w:val="left"/>
        <w:rPr>
          <w:rFonts w:ascii="宋体" w:hAnsi="宋体" w:eastAsia="宋体"/>
          <w:b/>
          <w:color w:val="auto"/>
          <w:kern w:val="0"/>
          <w:szCs w:val="21"/>
          <w:highlight w:val="none"/>
        </w:rPr>
      </w:pPr>
      <w:r>
        <w:rPr>
          <w:rFonts w:ascii="宋体" w:hAnsi="宋体" w:eastAsia="宋体"/>
          <w:b/>
          <w:color w:val="auto"/>
          <w:kern w:val="0"/>
          <w:szCs w:val="21"/>
          <w:highlight w:val="none"/>
        </w:rPr>
        <w:t>报价表必须加盖单位公章，否则视为无效报价。</w:t>
      </w:r>
    </w:p>
    <w:p>
      <w:pPr>
        <w:wordWrap w:val="0"/>
        <w:spacing w:line="360" w:lineRule="auto"/>
        <w:jc w:val="right"/>
        <w:rPr>
          <w:rFonts w:ascii="宋体" w:hAnsi="宋体" w:eastAsia="宋体"/>
          <w:color w:val="auto"/>
          <w:spacing w:val="4"/>
          <w:szCs w:val="21"/>
          <w:highlight w:val="none"/>
        </w:rPr>
      </w:pPr>
    </w:p>
    <w:p>
      <w:pPr>
        <w:wordWrap w:val="0"/>
        <w:spacing w:line="360" w:lineRule="auto"/>
        <w:ind w:right="872"/>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r>
        <w:rPr>
          <w:rFonts w:hint="eastAsia" w:ascii="宋体" w:hAnsi="宋体" w:eastAsia="宋体"/>
          <w:color w:val="auto"/>
          <w:spacing w:val="4"/>
          <w:szCs w:val="21"/>
          <w:highlight w:val="none"/>
          <w:u w:val="single"/>
        </w:rPr>
        <w:t xml:space="preserve">          </w:t>
      </w:r>
    </w:p>
    <w:p>
      <w:pPr>
        <w:wordWrap w:val="0"/>
        <w:spacing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 xml:space="preserve">   日期：</w:t>
      </w:r>
      <w:r>
        <w:rPr>
          <w:rFonts w:hint="eastAsia" w:ascii="宋体" w:hAnsi="宋体" w:eastAsia="宋体"/>
          <w:color w:val="auto"/>
          <w:spacing w:val="4"/>
          <w:szCs w:val="21"/>
          <w:highlight w:val="none"/>
          <w:u w:val="single"/>
        </w:rPr>
        <w:t xml:space="preserve">          </w:t>
      </w:r>
      <w:r>
        <w:rPr>
          <w:rFonts w:ascii="宋体" w:hAnsi="宋体" w:eastAsia="宋体"/>
          <w:color w:val="auto"/>
          <w:highlight w:val="none"/>
        </w:rPr>
        <w:br w:type="page"/>
      </w:r>
    </w:p>
    <w:p>
      <w:pPr>
        <w:pStyle w:val="2"/>
        <w:spacing w:line="360" w:lineRule="auto"/>
        <w:ind w:left="720"/>
        <w:jc w:val="center"/>
        <w:rPr>
          <w:rFonts w:ascii="宋体" w:hAnsi="宋体" w:eastAsia="宋体"/>
          <w:color w:val="auto"/>
          <w:highlight w:val="none"/>
        </w:rPr>
        <w:sectPr>
          <w:pgSz w:w="11906" w:h="16838"/>
          <w:pgMar w:top="1440" w:right="1843" w:bottom="1440" w:left="1797" w:header="851" w:footer="992" w:gutter="0"/>
          <w:cols w:space="0" w:num="1"/>
          <w:titlePg/>
          <w:docGrid w:type="lines" w:linePitch="312" w:charSpace="0"/>
        </w:sectPr>
      </w:pPr>
    </w:p>
    <w:p>
      <w:pPr>
        <w:pStyle w:val="2"/>
        <w:spacing w:line="360" w:lineRule="auto"/>
        <w:ind w:left="720"/>
        <w:jc w:val="center"/>
        <w:rPr>
          <w:rFonts w:ascii="宋体" w:hAnsi="宋体" w:eastAsia="宋体"/>
          <w:color w:val="auto"/>
          <w:highlight w:val="none"/>
        </w:rPr>
      </w:pPr>
      <w:r>
        <w:rPr>
          <w:rFonts w:hint="eastAsia" w:ascii="宋体" w:hAnsi="宋体" w:eastAsia="宋体"/>
          <w:color w:val="auto"/>
          <w:highlight w:val="none"/>
        </w:rPr>
        <w:t>供应商资格声明函</w:t>
      </w:r>
    </w:p>
    <w:p>
      <w:pPr>
        <w:rPr>
          <w:rFonts w:ascii="宋体" w:hAnsi="宋体" w:eastAsia="宋体"/>
          <w:b/>
          <w:color w:val="auto"/>
          <w:szCs w:val="24"/>
          <w:highlight w:val="none"/>
        </w:rPr>
      </w:pPr>
    </w:p>
    <w:p>
      <w:pPr>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致：中国地质调查局海口海洋地质调查中心、</w:t>
      </w:r>
      <w:r>
        <w:rPr>
          <w:rFonts w:ascii="宋体" w:hAnsi="宋体" w:eastAsia="宋体"/>
          <w:b/>
          <w:color w:val="auto"/>
          <w:highlight w:val="none"/>
        </w:rPr>
        <w:t>云采链（广州）信息科技有限公司</w:t>
      </w:r>
    </w:p>
    <w:p>
      <w:pPr>
        <w:rPr>
          <w:rFonts w:ascii="宋体" w:hAnsi="宋体" w:eastAsia="宋体"/>
          <w:b/>
          <w:color w:val="auto"/>
          <w:szCs w:val="24"/>
          <w:highlight w:val="none"/>
        </w:rPr>
      </w:pPr>
    </w:p>
    <w:p>
      <w:pPr>
        <w:snapToGrid w:val="0"/>
        <w:spacing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关于贵单位、贵公司发布</w:t>
      </w:r>
      <w:r>
        <w:rPr>
          <w:rFonts w:hint="eastAsia" w:ascii="宋体" w:hAnsi="宋体" w:eastAsia="宋体"/>
          <w:b/>
          <w:bCs/>
          <w:color w:val="auto"/>
          <w:szCs w:val="32"/>
          <w:highlight w:val="none"/>
          <w:u w:val="single"/>
          <w:lang w:val="en-US" w:eastAsia="zh-CN"/>
        </w:rPr>
        <w:t>海口海洋地质调查中心</w:t>
      </w:r>
      <w:r>
        <w:rPr>
          <w:rFonts w:hint="eastAsia" w:ascii="宋体" w:hAnsi="宋体" w:eastAsia="宋体"/>
          <w:b/>
          <w:bCs/>
          <w:color w:val="auto"/>
          <w:szCs w:val="32"/>
          <w:highlight w:val="none"/>
          <w:u w:val="single"/>
        </w:rPr>
        <w:t>海南岛东南海域海洋能数据分析及资源量评估</w:t>
      </w:r>
      <w:r>
        <w:rPr>
          <w:rFonts w:hint="eastAsia" w:ascii="宋体" w:hAnsi="宋体" w:eastAsia="宋体"/>
          <w:color w:val="auto"/>
          <w:szCs w:val="24"/>
          <w:highlight w:val="none"/>
        </w:rPr>
        <w:t>的采购公告，本公司（企业）愿意参加</w:t>
      </w:r>
      <w:r>
        <w:rPr>
          <w:rFonts w:hint="eastAsia" w:ascii="宋体" w:hAnsi="宋体" w:eastAsia="宋体"/>
          <w:color w:val="auto"/>
          <w:szCs w:val="21"/>
          <w:highlight w:val="none"/>
        </w:rPr>
        <w:t>综合评审</w:t>
      </w:r>
      <w:r>
        <w:rPr>
          <w:rFonts w:hint="eastAsia" w:ascii="宋体" w:hAnsi="宋体" w:eastAsia="宋体"/>
          <w:color w:val="auto"/>
          <w:szCs w:val="24"/>
          <w:highlight w:val="none"/>
        </w:rPr>
        <w:t>，并声明：</w:t>
      </w:r>
    </w:p>
    <w:p>
      <w:pPr>
        <w:snapToGrid w:val="0"/>
        <w:spacing w:line="360" w:lineRule="auto"/>
        <w:ind w:firstLine="420" w:firstLineChars="200"/>
        <w:rPr>
          <w:rFonts w:ascii="宋体" w:hAnsi="宋体" w:eastAsia="宋体"/>
          <w:bCs/>
          <w:color w:val="auto"/>
          <w:szCs w:val="20"/>
          <w:highlight w:val="none"/>
        </w:rPr>
      </w:pPr>
      <w:r>
        <w:rPr>
          <w:rFonts w:hint="eastAsia" w:ascii="宋体" w:hAnsi="宋体" w:eastAsia="宋体"/>
          <w:color w:val="auto"/>
          <w:szCs w:val="24"/>
          <w:highlight w:val="none"/>
        </w:rPr>
        <w:t>一、本公司（企业）</w:t>
      </w:r>
      <w:r>
        <w:rPr>
          <w:rFonts w:hint="eastAsia" w:ascii="宋体" w:hAnsi="宋体" w:eastAsia="宋体"/>
          <w:bCs/>
          <w:color w:val="auto"/>
          <w:szCs w:val="20"/>
          <w:highlight w:val="none"/>
        </w:rPr>
        <w:t>具备《中华人民共和国政府采购法》第二十二条规定的条件：</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（一）具有独立承担民事责任的能力；</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（二）具有良好的商业信誉和健全的财务会计制度；</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（三）具有履行合同所必需的设备和专业技术能力；</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（四）有依法缴纳税收和社会保障资金的良好记录；</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（五）参加政府采购活动前三年内，在经营活动中没有重大违法记录；</w:t>
      </w:r>
    </w:p>
    <w:p>
      <w:pPr>
        <w:widowControl/>
        <w:spacing w:line="360" w:lineRule="auto"/>
        <w:ind w:firstLine="36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（六）法律、行政法规规定的其他条件。</w:t>
      </w:r>
    </w:p>
    <w:p>
      <w:pPr>
        <w:snapToGrid w:val="0"/>
        <w:spacing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二、本公司</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lang w:val="en-US" w:eastAsia="zh-CN"/>
        </w:rPr>
        <w:t>企业）</w:t>
      </w:r>
      <w:r>
        <w:rPr>
          <w:rFonts w:hint="eastAsia" w:ascii="宋体" w:hAnsi="宋体" w:eastAsia="宋体"/>
          <w:color w:val="auto"/>
          <w:szCs w:val="24"/>
          <w:highlight w:val="none"/>
        </w:rPr>
        <w:t>具有本次采购项目服务能力。</w:t>
      </w:r>
    </w:p>
    <w:p>
      <w:pPr>
        <w:snapToGrid w:val="0"/>
        <w:spacing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三、本公司</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lang w:val="en-US" w:eastAsia="zh-CN"/>
        </w:rPr>
        <w:t>企业）</w:t>
      </w:r>
      <w:r>
        <w:rPr>
          <w:rFonts w:hint="eastAsia" w:ascii="宋体" w:hAnsi="宋体" w:eastAsia="宋体"/>
          <w:color w:val="auto"/>
          <w:szCs w:val="24"/>
          <w:highlight w:val="none"/>
        </w:rPr>
        <w:t>有固定的经营场所，信誉良好、售后维护服务好，并且在经营活动中无严重违法记录。</w:t>
      </w:r>
    </w:p>
    <w:p>
      <w:pPr>
        <w:snapToGrid w:val="0"/>
        <w:spacing w:line="360" w:lineRule="auto"/>
        <w:ind w:firstLine="424" w:firstLineChars="202"/>
        <w:rPr>
          <w:rFonts w:ascii="宋体" w:hAnsi="宋体" w:eastAsia="宋体"/>
          <w:color w:val="auto"/>
          <w:highlight w:val="none"/>
        </w:rPr>
      </w:pPr>
      <w:r>
        <w:rPr>
          <w:rFonts w:hint="eastAsia" w:ascii="宋体" w:hAnsi="宋体" w:eastAsia="宋体"/>
          <w:color w:val="auto"/>
          <w:highlight w:val="none"/>
        </w:rPr>
        <w:t>四、本公司</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企业）</w:t>
      </w:r>
      <w:r>
        <w:rPr>
          <w:rFonts w:hint="eastAsia" w:ascii="宋体" w:hAnsi="宋体" w:eastAsia="宋体"/>
          <w:color w:val="auto"/>
          <w:highlight w:val="none"/>
        </w:rPr>
        <w:t>在本项目中不转包、不分包且不联合竞价。</w:t>
      </w:r>
    </w:p>
    <w:p>
      <w:pPr>
        <w:snapToGrid w:val="0"/>
        <w:spacing w:line="360" w:lineRule="auto"/>
        <w:ind w:firstLine="424" w:firstLineChars="202"/>
        <w:rPr>
          <w:rFonts w:ascii="宋体" w:hAnsi="宋体" w:eastAsia="宋体"/>
          <w:color w:val="auto"/>
          <w:szCs w:val="24"/>
          <w:highlight w:val="none"/>
        </w:rPr>
      </w:pPr>
      <w:r>
        <w:rPr>
          <w:rFonts w:hint="eastAsia" w:ascii="宋体" w:hAnsi="宋体" w:eastAsia="宋体"/>
          <w:color w:val="auto"/>
          <w:szCs w:val="24"/>
          <w:highlight w:val="none"/>
        </w:rPr>
        <w:t>本公司（企业）承诺在本次采购活动中，如有违法、违规</w:t>
      </w:r>
      <w:r>
        <w:rPr>
          <w:rFonts w:hint="eastAsia" w:ascii="宋体" w:hAnsi="宋体" w:eastAsia="宋体"/>
          <w:color w:val="auto"/>
          <w:szCs w:val="21"/>
          <w:highlight w:val="none"/>
        </w:rPr>
        <w:t>、</w:t>
      </w:r>
      <w:r>
        <w:rPr>
          <w:rFonts w:hint="eastAsia" w:ascii="宋体" w:hAnsi="宋体" w:eastAsia="宋体"/>
          <w:color w:val="auto"/>
          <w:szCs w:val="24"/>
          <w:highlight w:val="none"/>
        </w:rPr>
        <w:t>弄虚作假行为，所造成的损失、不良后果及法律责任，一律由本公司（企业）承担。</w:t>
      </w:r>
    </w:p>
    <w:p>
      <w:pPr>
        <w:spacing w:line="360" w:lineRule="auto"/>
        <w:ind w:firstLine="420"/>
        <w:rPr>
          <w:rFonts w:ascii="宋体" w:hAnsi="宋体" w:eastAsia="宋体"/>
          <w:color w:val="auto"/>
          <w:szCs w:val="24"/>
          <w:highlight w:val="none"/>
        </w:rPr>
      </w:pPr>
      <w:r>
        <w:rPr>
          <w:rFonts w:hint="eastAsia" w:ascii="宋体" w:hAnsi="宋体" w:eastAsia="宋体"/>
          <w:color w:val="auto"/>
          <w:szCs w:val="24"/>
          <w:highlight w:val="none"/>
        </w:rPr>
        <w:t>特此声明！</w:t>
      </w:r>
    </w:p>
    <w:p>
      <w:pPr>
        <w:autoSpaceDE w:val="0"/>
        <w:autoSpaceDN w:val="0"/>
        <w:adjustRightInd w:val="0"/>
        <w:spacing w:line="360" w:lineRule="auto"/>
        <w:ind w:firstLine="413" w:firstLineChars="196"/>
        <w:rPr>
          <w:rFonts w:ascii="宋体" w:hAnsi="宋体" w:eastAsia="宋体"/>
          <w:b/>
          <w:color w:val="auto"/>
          <w:highlight w:val="none"/>
        </w:rPr>
      </w:pPr>
      <w:r>
        <w:rPr>
          <w:rFonts w:hint="eastAsia" w:ascii="宋体" w:hAnsi="宋体" w:eastAsia="宋体"/>
          <w:b/>
          <w:color w:val="auto"/>
          <w:highlight w:val="none"/>
        </w:rPr>
        <w:t>备注：</w:t>
      </w:r>
    </w:p>
    <w:p>
      <w:pPr>
        <w:pStyle w:val="55"/>
        <w:numPr>
          <w:ilvl w:val="0"/>
          <w:numId w:val="19"/>
        </w:numPr>
        <w:autoSpaceDE w:val="0"/>
        <w:autoSpaceDN w:val="0"/>
        <w:adjustRightInd w:val="0"/>
        <w:spacing w:line="360" w:lineRule="auto"/>
        <w:ind w:firstLineChars="0"/>
        <w:rPr>
          <w:rFonts w:ascii="宋体" w:hAnsi="宋体" w:eastAsia="宋体"/>
          <w:color w:val="auto"/>
          <w:highlight w:val="none"/>
        </w:rPr>
      </w:pPr>
      <w:r>
        <w:rPr>
          <w:rFonts w:hint="eastAsia" w:ascii="宋体" w:hAnsi="宋体" w:eastAsia="宋体"/>
          <w:color w:val="auto"/>
          <w:highlight w:val="none"/>
        </w:rPr>
        <w:t>本声明函必须提供且内容不得擅自删改，否则视为响应无效。</w:t>
      </w:r>
    </w:p>
    <w:p>
      <w:pPr>
        <w:pStyle w:val="55"/>
        <w:numPr>
          <w:ilvl w:val="0"/>
          <w:numId w:val="19"/>
        </w:numPr>
        <w:snapToGrid w:val="0"/>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本声明函如有虚假或与事实不符的，作无效参评处理。</w:t>
      </w:r>
    </w:p>
    <w:p>
      <w:pPr>
        <w:wordWrap w:val="0"/>
        <w:spacing w:line="360" w:lineRule="auto"/>
        <w:ind w:left="840"/>
        <w:jc w:val="right"/>
        <w:rPr>
          <w:rFonts w:ascii="宋体" w:hAnsi="宋体" w:eastAsia="宋体"/>
          <w:color w:val="auto"/>
          <w:spacing w:val="4"/>
          <w:szCs w:val="21"/>
          <w:highlight w:val="none"/>
        </w:rPr>
      </w:pPr>
    </w:p>
    <w:p>
      <w:pPr>
        <w:wordWrap w:val="0"/>
        <w:spacing w:line="360" w:lineRule="auto"/>
        <w:ind w:left="840"/>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r>
        <w:rPr>
          <w:rFonts w:hint="eastAsia" w:ascii="宋体" w:hAnsi="宋体" w:eastAsia="宋体"/>
          <w:color w:val="auto"/>
          <w:spacing w:val="4"/>
          <w:szCs w:val="21"/>
          <w:highlight w:val="none"/>
          <w:u w:val="single"/>
        </w:rPr>
        <w:t xml:space="preserve">          </w:t>
      </w:r>
    </w:p>
    <w:p>
      <w:pPr>
        <w:spacing w:line="360" w:lineRule="auto"/>
        <w:ind w:left="840"/>
        <w:jc w:val="right"/>
        <w:rPr>
          <w:rFonts w:ascii="宋体" w:hAnsi="宋体" w:eastAsia="宋体"/>
          <w:color w:val="auto"/>
          <w:szCs w:val="21"/>
          <w:highlight w:val="none"/>
          <w:u w:val="single"/>
        </w:rPr>
      </w:pPr>
    </w:p>
    <w:p>
      <w:pPr>
        <w:wordWrap w:val="0"/>
        <w:spacing w:line="360" w:lineRule="auto"/>
        <w:ind w:left="840"/>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日期：</w:t>
      </w:r>
      <w:r>
        <w:rPr>
          <w:rFonts w:hint="eastAsia" w:ascii="宋体" w:hAnsi="宋体" w:eastAsia="宋体"/>
          <w:color w:val="auto"/>
          <w:spacing w:val="4"/>
          <w:szCs w:val="21"/>
          <w:highlight w:val="none"/>
          <w:u w:val="single"/>
        </w:rPr>
        <w:t xml:space="preserve">          </w:t>
      </w:r>
    </w:p>
    <w:p>
      <w:pPr>
        <w:spacing w:line="360" w:lineRule="auto"/>
        <w:rPr>
          <w:rFonts w:ascii="宋体" w:hAnsi="宋体" w:eastAsia="宋体"/>
          <w:color w:val="auto"/>
          <w:highlight w:val="none"/>
        </w:rPr>
      </w:pPr>
      <w:r>
        <w:rPr>
          <w:rFonts w:ascii="宋体" w:hAnsi="宋体" w:eastAsia="宋体"/>
          <w:color w:val="auto"/>
          <w:highlight w:val="none"/>
        </w:rPr>
        <w:br w:type="page"/>
      </w:r>
    </w:p>
    <w:p>
      <w:pPr>
        <w:pStyle w:val="2"/>
        <w:spacing w:line="360" w:lineRule="auto"/>
        <w:ind w:left="720"/>
        <w:jc w:val="center"/>
        <w:rPr>
          <w:rFonts w:hint="eastAsia" w:ascii="宋体" w:hAnsi="宋体" w:eastAsia="宋体"/>
          <w:color w:val="auto"/>
          <w:highlight w:val="none"/>
        </w:rPr>
      </w:pPr>
      <w:r>
        <w:rPr>
          <w:rFonts w:ascii="宋体" w:hAnsi="宋体" w:eastAsia="宋体"/>
          <w:color w:val="auto"/>
          <w:highlight w:val="none"/>
        </w:rPr>
        <w:t>201</w:t>
      </w:r>
      <w:r>
        <w:rPr>
          <w:rFonts w:hint="eastAsia" w:ascii="宋体" w:hAnsi="宋体" w:eastAsia="宋体"/>
          <w:color w:val="auto"/>
          <w:highlight w:val="none"/>
        </w:rPr>
        <w:t>4</w:t>
      </w:r>
      <w:r>
        <w:rPr>
          <w:rFonts w:ascii="宋体" w:hAnsi="宋体" w:eastAsia="宋体"/>
          <w:color w:val="auto"/>
          <w:highlight w:val="none"/>
        </w:rPr>
        <w:t>年1月1日至今</w:t>
      </w:r>
      <w:r>
        <w:rPr>
          <w:rFonts w:hint="eastAsia" w:ascii="宋体" w:hAnsi="宋体" w:eastAsia="宋体"/>
          <w:color w:val="auto"/>
          <w:highlight w:val="none"/>
        </w:rPr>
        <w:t>项目业绩一览表</w:t>
      </w:r>
    </w:p>
    <w:tbl>
      <w:tblPr>
        <w:tblStyle w:val="36"/>
        <w:tblW w:w="85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72"/>
        <w:gridCol w:w="1178"/>
        <w:gridCol w:w="1279"/>
        <w:gridCol w:w="1134"/>
        <w:gridCol w:w="1134"/>
        <w:gridCol w:w="113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44" w:type="dxa"/>
            <w:tcBorders>
              <w:tl2br w:val="nil"/>
              <w:tr2bl w:val="nil"/>
            </w:tcBorders>
            <w:shd w:val="clear" w:color="auto" w:fill="EEECE1"/>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072" w:type="dxa"/>
            <w:tcBorders>
              <w:tl2br w:val="nil"/>
              <w:tr2bl w:val="nil"/>
            </w:tcBorders>
            <w:shd w:val="clear" w:color="auto" w:fill="EEECE1"/>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用户/业主名称</w:t>
            </w:r>
          </w:p>
        </w:tc>
        <w:tc>
          <w:tcPr>
            <w:tcW w:w="1178" w:type="dxa"/>
            <w:tcBorders>
              <w:tl2br w:val="nil"/>
              <w:tr2bl w:val="nil"/>
            </w:tcBorders>
            <w:shd w:val="clear" w:color="auto" w:fill="EEECE1"/>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项目名称</w:t>
            </w:r>
          </w:p>
        </w:tc>
        <w:tc>
          <w:tcPr>
            <w:tcW w:w="1279" w:type="dxa"/>
            <w:tcBorders>
              <w:tl2br w:val="nil"/>
              <w:tr2bl w:val="nil"/>
            </w:tcBorders>
            <w:shd w:val="clear" w:color="auto" w:fill="EEECE1"/>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项目内容</w:t>
            </w:r>
          </w:p>
        </w:tc>
        <w:tc>
          <w:tcPr>
            <w:tcW w:w="1134" w:type="dxa"/>
            <w:tcBorders>
              <w:tl2br w:val="nil"/>
              <w:tr2bl w:val="nil"/>
            </w:tcBorders>
            <w:shd w:val="clear" w:color="auto" w:fill="EEECE1"/>
            <w:vAlign w:val="center"/>
          </w:tcPr>
          <w:p>
            <w:pPr>
              <w:adjustRightInd w:val="0"/>
              <w:snapToGrid w:val="0"/>
              <w:ind w:left="-84" w:leftChars="-40" w:right="-107" w:rightChars="-51"/>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val="en-US" w:eastAsia="zh-CN"/>
              </w:rPr>
              <w:t>项目所在地</w:t>
            </w:r>
          </w:p>
        </w:tc>
        <w:tc>
          <w:tcPr>
            <w:tcW w:w="1134" w:type="dxa"/>
            <w:tcBorders>
              <w:tl2br w:val="nil"/>
              <w:tr2bl w:val="nil"/>
            </w:tcBorders>
            <w:shd w:val="clear" w:color="auto" w:fill="EEECE1"/>
            <w:vAlign w:val="center"/>
          </w:tcPr>
          <w:p>
            <w:pPr>
              <w:adjustRightInd w:val="0"/>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签订时间</w:t>
            </w:r>
          </w:p>
        </w:tc>
        <w:tc>
          <w:tcPr>
            <w:tcW w:w="1134" w:type="dxa"/>
            <w:tcBorders>
              <w:tl2br w:val="nil"/>
              <w:tr2bl w:val="nil"/>
            </w:tcBorders>
            <w:shd w:val="clear" w:color="auto" w:fill="EEECE1"/>
            <w:vAlign w:val="center"/>
          </w:tcPr>
          <w:p>
            <w:pPr>
              <w:adjustRightInd w:val="0"/>
              <w:snapToGrid w:val="0"/>
              <w:ind w:left="-84" w:leftChars="-40" w:right="-107" w:rightChars="-51"/>
              <w:jc w:val="center"/>
              <w:rPr>
                <w:rFonts w:hint="default" w:ascii="宋体" w:hAnsi="宋体" w:eastAsia="宋体"/>
                <w:b/>
                <w:color w:val="auto"/>
                <w:szCs w:val="21"/>
                <w:highlight w:val="none"/>
                <w:lang w:val="en-US" w:eastAsia="zh-CN"/>
              </w:rPr>
            </w:pPr>
            <w:r>
              <w:rPr>
                <w:rFonts w:hint="eastAsia" w:ascii="宋体" w:hAnsi="宋体" w:eastAsia="宋体"/>
                <w:b/>
                <w:color w:val="auto"/>
                <w:szCs w:val="21"/>
                <w:highlight w:val="none"/>
                <w:lang w:eastAsia="zh-CN"/>
              </w:rPr>
              <w:t>调查质量及成果报告</w:t>
            </w:r>
            <w:r>
              <w:rPr>
                <w:rFonts w:hint="eastAsia" w:ascii="宋体" w:hAnsi="宋体" w:eastAsia="宋体"/>
                <w:b/>
                <w:color w:val="auto"/>
                <w:szCs w:val="21"/>
                <w:highlight w:val="none"/>
                <w:lang w:val="en-US" w:eastAsia="zh-CN"/>
              </w:rPr>
              <w:t>是否优秀</w:t>
            </w:r>
          </w:p>
        </w:tc>
        <w:tc>
          <w:tcPr>
            <w:tcW w:w="993" w:type="dxa"/>
            <w:tcBorders>
              <w:tl2br w:val="nil"/>
              <w:tr2bl w:val="nil"/>
            </w:tcBorders>
            <w:shd w:val="clear" w:color="auto" w:fill="EEECE1"/>
            <w:vAlign w:val="center"/>
          </w:tcPr>
          <w:p>
            <w:pPr>
              <w:snapToGrid w:val="0"/>
              <w:ind w:left="-84" w:leftChars="-40" w:right="-107" w:rightChars="-51"/>
              <w:jc w:val="center"/>
              <w:rPr>
                <w:rFonts w:ascii="宋体" w:hAnsi="宋体" w:eastAsia="宋体"/>
                <w:b/>
                <w:color w:val="auto"/>
                <w:szCs w:val="21"/>
                <w:highlight w:val="none"/>
              </w:rPr>
            </w:pPr>
            <w:r>
              <w:rPr>
                <w:rFonts w:hint="eastAsia" w:ascii="宋体" w:hAnsi="宋体" w:eastAsia="宋体"/>
                <w:b/>
                <w:color w:val="auto"/>
                <w:szCs w:val="21"/>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4" w:type="dxa"/>
            <w:tcBorders>
              <w:tl2br w:val="nil"/>
              <w:tr2bl w:val="nil"/>
            </w:tcBorders>
            <w:shd w:val="clear" w:color="auto" w:fill="FFFFFF" w:themeFill="background1"/>
            <w:vAlign w:val="center"/>
          </w:tcPr>
          <w:p>
            <w:pPr>
              <w:pStyle w:val="55"/>
              <w:numPr>
                <w:ilvl w:val="0"/>
                <w:numId w:val="20"/>
              </w:numPr>
              <w:spacing w:line="400" w:lineRule="exact"/>
              <w:ind w:firstLineChars="0"/>
              <w:jc w:val="center"/>
              <w:rPr>
                <w:rFonts w:ascii="宋体" w:hAnsi="宋体" w:eastAsia="宋体"/>
                <w:color w:val="auto"/>
                <w:szCs w:val="21"/>
                <w:highlight w:val="none"/>
              </w:rPr>
            </w:pPr>
          </w:p>
        </w:tc>
        <w:tc>
          <w:tcPr>
            <w:tcW w:w="1072"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1178"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1279"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shd w:val="clear" w:color="auto" w:fill="FFFFFF" w:themeFill="background1"/>
            <w:vAlign w:val="center"/>
          </w:tcPr>
          <w:p>
            <w:pPr>
              <w:spacing w:line="400" w:lineRule="exact"/>
              <w:jc w:val="center"/>
              <w:rPr>
                <w:rFonts w:ascii="宋体" w:hAnsi="宋体" w:eastAsia="宋体"/>
                <w:color w:val="auto"/>
                <w:szCs w:val="21"/>
                <w:highlight w:val="none"/>
              </w:rPr>
            </w:pPr>
          </w:p>
        </w:tc>
        <w:tc>
          <w:tcPr>
            <w:tcW w:w="993" w:type="dxa"/>
            <w:tcBorders>
              <w:tl2br w:val="nil"/>
              <w:tr2bl w:val="nil"/>
            </w:tcBorders>
            <w:shd w:val="clear" w:color="auto" w:fill="FFFFFF" w:themeFill="background1"/>
            <w:vAlign w:val="center"/>
          </w:tcPr>
          <w:p>
            <w:pPr>
              <w:snapToGrid w:val="0"/>
              <w:jc w:val="center"/>
              <w:rPr>
                <w:rFonts w:ascii="宋体" w:hAnsi="宋体" w:eastAsia="宋体"/>
                <w:b/>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4" w:type="dxa"/>
            <w:tcBorders>
              <w:tl2br w:val="nil"/>
              <w:tr2bl w:val="nil"/>
            </w:tcBorders>
            <w:vAlign w:val="center"/>
          </w:tcPr>
          <w:p>
            <w:pPr>
              <w:pStyle w:val="55"/>
              <w:numPr>
                <w:ilvl w:val="0"/>
                <w:numId w:val="20"/>
              </w:numPr>
              <w:spacing w:line="400" w:lineRule="exact"/>
              <w:ind w:firstLineChars="0"/>
              <w:jc w:val="center"/>
              <w:rPr>
                <w:rFonts w:ascii="宋体" w:hAnsi="宋体" w:eastAsia="宋体"/>
                <w:color w:val="auto"/>
                <w:szCs w:val="21"/>
                <w:highlight w:val="none"/>
              </w:rPr>
            </w:pPr>
          </w:p>
        </w:tc>
        <w:tc>
          <w:tcPr>
            <w:tcW w:w="1072"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78"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279"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993" w:type="dxa"/>
            <w:tcBorders>
              <w:tl2br w:val="nil"/>
              <w:tr2bl w:val="nil"/>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tcBorders>
              <w:tl2br w:val="nil"/>
              <w:tr2bl w:val="nil"/>
            </w:tcBorders>
            <w:vAlign w:val="center"/>
          </w:tcPr>
          <w:p>
            <w:pPr>
              <w:pStyle w:val="55"/>
              <w:numPr>
                <w:ilvl w:val="0"/>
                <w:numId w:val="20"/>
              </w:numPr>
              <w:spacing w:line="400" w:lineRule="exact"/>
              <w:ind w:firstLineChars="0"/>
              <w:jc w:val="center"/>
              <w:rPr>
                <w:rFonts w:ascii="宋体" w:hAnsi="宋体" w:eastAsia="宋体"/>
                <w:color w:val="auto"/>
                <w:szCs w:val="21"/>
                <w:highlight w:val="none"/>
              </w:rPr>
            </w:pPr>
          </w:p>
        </w:tc>
        <w:tc>
          <w:tcPr>
            <w:tcW w:w="1072"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78"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279"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993" w:type="dxa"/>
            <w:tcBorders>
              <w:tl2br w:val="nil"/>
              <w:tr2bl w:val="nil"/>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4" w:type="dxa"/>
            <w:tcBorders>
              <w:tl2br w:val="nil"/>
              <w:tr2bl w:val="nil"/>
            </w:tcBorders>
            <w:vAlign w:val="center"/>
          </w:tcPr>
          <w:p>
            <w:pPr>
              <w:pStyle w:val="55"/>
              <w:numPr>
                <w:ilvl w:val="0"/>
                <w:numId w:val="20"/>
              </w:numPr>
              <w:spacing w:line="400" w:lineRule="exact"/>
              <w:ind w:firstLineChars="0"/>
              <w:jc w:val="center"/>
              <w:rPr>
                <w:rFonts w:ascii="宋体" w:hAnsi="宋体" w:eastAsia="宋体"/>
                <w:color w:val="auto"/>
                <w:szCs w:val="21"/>
                <w:highlight w:val="none"/>
              </w:rPr>
            </w:pPr>
          </w:p>
        </w:tc>
        <w:tc>
          <w:tcPr>
            <w:tcW w:w="1072"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78"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279"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993" w:type="dxa"/>
            <w:tcBorders>
              <w:tl2br w:val="nil"/>
              <w:tr2bl w:val="nil"/>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44" w:type="dxa"/>
            <w:tcBorders>
              <w:tl2br w:val="nil"/>
              <w:tr2bl w:val="nil"/>
            </w:tcBorders>
            <w:vAlign w:val="center"/>
          </w:tcPr>
          <w:p>
            <w:pPr>
              <w:pStyle w:val="55"/>
              <w:numPr>
                <w:ilvl w:val="0"/>
                <w:numId w:val="0"/>
              </w:numPr>
              <w:spacing w:line="400" w:lineRule="exact"/>
              <w:ind w:leftChars="0"/>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w:t>
            </w:r>
          </w:p>
        </w:tc>
        <w:tc>
          <w:tcPr>
            <w:tcW w:w="1072"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78"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279"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1134" w:type="dxa"/>
            <w:tcBorders>
              <w:tl2br w:val="nil"/>
              <w:tr2bl w:val="nil"/>
            </w:tcBorders>
            <w:vAlign w:val="center"/>
          </w:tcPr>
          <w:p>
            <w:pPr>
              <w:spacing w:line="400" w:lineRule="exact"/>
              <w:jc w:val="center"/>
              <w:rPr>
                <w:rFonts w:ascii="宋体" w:hAnsi="宋体" w:eastAsia="宋体"/>
                <w:color w:val="auto"/>
                <w:szCs w:val="21"/>
                <w:highlight w:val="none"/>
              </w:rPr>
            </w:pPr>
          </w:p>
        </w:tc>
        <w:tc>
          <w:tcPr>
            <w:tcW w:w="993" w:type="dxa"/>
            <w:tcBorders>
              <w:tl2br w:val="nil"/>
              <w:tr2bl w:val="nil"/>
            </w:tcBorders>
            <w:vAlign w:val="center"/>
          </w:tcPr>
          <w:p>
            <w:pPr>
              <w:spacing w:line="400" w:lineRule="exact"/>
              <w:jc w:val="center"/>
              <w:rPr>
                <w:rFonts w:ascii="宋体" w:hAnsi="宋体" w:eastAsia="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pPr>
        <w:spacing w:line="440" w:lineRule="exact"/>
        <w:rPr>
          <w:rFonts w:ascii="宋体" w:hAnsi="宋体" w:eastAsia="宋体"/>
          <w:color w:val="auto"/>
          <w:szCs w:val="21"/>
          <w:highlight w:val="none"/>
        </w:rPr>
      </w:pPr>
      <w:r>
        <w:rPr>
          <w:rFonts w:hint="eastAsia" w:ascii="宋体" w:hAnsi="宋体" w:eastAsia="宋体"/>
          <w:bCs/>
          <w:color w:val="auto"/>
          <w:highlight w:val="none"/>
        </w:rPr>
        <w:t>备注：</w:t>
      </w:r>
      <w:r>
        <w:rPr>
          <w:rFonts w:hint="eastAsia" w:ascii="宋体" w:hAnsi="宋体" w:eastAsia="宋体"/>
          <w:color w:val="auto"/>
          <w:szCs w:val="21"/>
          <w:highlight w:val="none"/>
        </w:rPr>
        <w:t>根据综合评审文件的要求提交相应的资料。</w:t>
      </w:r>
    </w:p>
    <w:p>
      <w:pPr>
        <w:spacing w:line="500" w:lineRule="exact"/>
        <w:ind w:firstLine="109" w:firstLineChars="50"/>
        <w:rPr>
          <w:rFonts w:ascii="宋体" w:hAnsi="宋体" w:eastAsia="宋体"/>
          <w:color w:val="auto"/>
          <w:spacing w:val="4"/>
          <w:highlight w:val="none"/>
        </w:rPr>
      </w:pPr>
    </w:p>
    <w:p>
      <w:pPr>
        <w:wordWrap w:val="0"/>
        <w:spacing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r>
        <w:rPr>
          <w:rFonts w:hint="eastAsia" w:ascii="宋体" w:hAnsi="宋体" w:eastAsia="宋体"/>
          <w:color w:val="auto"/>
          <w:spacing w:val="4"/>
          <w:szCs w:val="21"/>
          <w:highlight w:val="none"/>
          <w:u w:val="single"/>
        </w:rPr>
        <w:t xml:space="preserve">          </w:t>
      </w:r>
    </w:p>
    <w:p>
      <w:pPr>
        <w:spacing w:line="360" w:lineRule="auto"/>
        <w:ind w:firstLine="105" w:firstLineChars="50"/>
        <w:jc w:val="right"/>
        <w:rPr>
          <w:rFonts w:ascii="宋体" w:hAnsi="宋体" w:eastAsia="宋体"/>
          <w:color w:val="auto"/>
          <w:szCs w:val="21"/>
          <w:highlight w:val="none"/>
          <w:u w:val="single"/>
        </w:rPr>
      </w:pPr>
    </w:p>
    <w:p>
      <w:pPr>
        <w:wordWrap w:val="0"/>
        <w:spacing w:line="360" w:lineRule="auto"/>
        <w:jc w:val="right"/>
        <w:rPr>
          <w:rFonts w:ascii="宋体" w:hAnsi="宋体" w:eastAsia="宋体"/>
          <w:color w:val="auto"/>
          <w:spacing w:val="4"/>
          <w:szCs w:val="21"/>
          <w:highlight w:val="none"/>
          <w:u w:val="single"/>
        </w:rPr>
      </w:pPr>
      <w:r>
        <w:rPr>
          <w:rFonts w:hint="eastAsia" w:ascii="宋体" w:hAnsi="宋体" w:eastAsia="宋体"/>
          <w:color w:val="auto"/>
          <w:spacing w:val="4"/>
          <w:szCs w:val="21"/>
          <w:highlight w:val="none"/>
        </w:rPr>
        <w:t>日期：</w:t>
      </w:r>
      <w:r>
        <w:rPr>
          <w:rFonts w:hint="eastAsia" w:ascii="宋体" w:hAnsi="宋体" w:eastAsia="宋体"/>
          <w:color w:val="auto"/>
          <w:spacing w:val="4"/>
          <w:szCs w:val="21"/>
          <w:highlight w:val="none"/>
          <w:u w:val="single"/>
        </w:rPr>
        <w:t xml:space="preserve">          </w:t>
      </w:r>
    </w:p>
    <w:p>
      <w:pPr>
        <w:rPr>
          <w:rFonts w:ascii="宋体" w:hAnsi="宋体" w:eastAsia="宋体"/>
          <w:color w:val="auto"/>
          <w:highlight w:val="none"/>
        </w:rPr>
      </w:pPr>
      <w:r>
        <w:rPr>
          <w:rFonts w:ascii="宋体" w:hAnsi="宋体" w:eastAsia="宋体"/>
          <w:color w:val="auto"/>
          <w:highlight w:val="none"/>
        </w:rPr>
        <w:br w:type="page"/>
      </w:r>
    </w:p>
    <w:p>
      <w:pPr>
        <w:pStyle w:val="2"/>
        <w:spacing w:line="360" w:lineRule="auto"/>
        <w:ind w:left="720"/>
        <w:jc w:val="center"/>
        <w:rPr>
          <w:rFonts w:hint="eastAsia" w:ascii="宋体" w:hAnsi="宋体" w:eastAsia="宋体"/>
          <w:color w:val="auto"/>
          <w:highlight w:val="none"/>
        </w:rPr>
      </w:pPr>
      <w:r>
        <w:rPr>
          <w:rFonts w:hint="eastAsia" w:ascii="宋体" w:hAnsi="宋体" w:eastAsia="宋体"/>
          <w:color w:val="auto"/>
          <w:highlight w:val="none"/>
        </w:rPr>
        <w:t>项目组人员专业配置一览表</w:t>
      </w:r>
    </w:p>
    <w:tbl>
      <w:tblPr>
        <w:tblStyle w:val="36"/>
        <w:tblW w:w="93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1054"/>
        <w:gridCol w:w="961"/>
        <w:gridCol w:w="862"/>
        <w:gridCol w:w="1264"/>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37" w:type="dxa"/>
            <w:tcBorders>
              <w:top w:val="single" w:color="auto" w:sz="12" w:space="0"/>
              <w:bottom w:val="double" w:color="auto" w:sz="4" w:space="0"/>
            </w:tcBorders>
            <w:shd w:val="clear" w:color="auto" w:fill="EEECE1"/>
            <w:vAlign w:val="center"/>
          </w:tcPr>
          <w:p>
            <w:pPr>
              <w:pStyle w:val="62"/>
              <w:keepNext w:val="0"/>
              <w:snapToGrid w:val="0"/>
              <w:spacing w:before="0" w:after="0" w:line="240" w:lineRule="auto"/>
              <w:textAlignment w:val="auto"/>
              <w:rPr>
                <w:rFonts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姓名</w:t>
            </w:r>
          </w:p>
        </w:tc>
        <w:tc>
          <w:tcPr>
            <w:tcW w:w="826"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性别</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825"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054"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961"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862"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经验年限</w:t>
            </w:r>
          </w:p>
        </w:tc>
        <w:tc>
          <w:tcPr>
            <w:tcW w:w="1264" w:type="dxa"/>
            <w:tcBorders>
              <w:top w:val="single" w:color="auto" w:sz="12" w:space="0"/>
              <w:bottom w:val="double" w:color="auto" w:sz="4" w:space="0"/>
            </w:tcBorders>
            <w:shd w:val="clear" w:color="auto" w:fill="EEECE1"/>
            <w:vAlign w:val="center"/>
          </w:tcPr>
          <w:p>
            <w:pPr>
              <w:snapToGrid w:val="0"/>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拟担任职务或承担工作内容</w:t>
            </w:r>
          </w:p>
        </w:tc>
        <w:tc>
          <w:tcPr>
            <w:tcW w:w="993" w:type="dxa"/>
            <w:tcBorders>
              <w:top w:val="single" w:color="auto" w:sz="12" w:space="0"/>
              <w:bottom w:val="double" w:color="auto" w:sz="4" w:space="0"/>
            </w:tcBorders>
            <w:shd w:val="clear" w:color="auto" w:fill="EEECE1"/>
            <w:vAlign w:val="center"/>
          </w:tcPr>
          <w:p>
            <w:pPr>
              <w:snapToGrid w:val="0"/>
              <w:ind w:left="-84" w:leftChars="-40" w:right="-107" w:rightChars="-51"/>
              <w:jc w:val="center"/>
              <w:rPr>
                <w:rFonts w:hint="eastAsia" w:ascii="宋体" w:hAnsi="宋体" w:eastAsia="宋体" w:cstheme="minorBidi"/>
                <w:b/>
                <w:bCs/>
                <w:color w:val="auto"/>
                <w:kern w:val="2"/>
                <w:sz w:val="21"/>
                <w:szCs w:val="21"/>
                <w:highlight w:val="none"/>
                <w:lang w:val="en-US" w:eastAsia="zh-CN" w:bidi="ar-SA"/>
              </w:rPr>
            </w:pPr>
            <w:r>
              <w:rPr>
                <w:rFonts w:hint="eastAsia" w:ascii="宋体" w:hAnsi="宋体" w:eastAsia="宋体"/>
                <w:b/>
                <w:bCs/>
                <w:color w:val="auto"/>
                <w:szCs w:val="21"/>
                <w:highlight w:val="none"/>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tcBorders>
              <w:top w:val="double" w:color="auto" w:sz="4" w:space="0"/>
            </w:tcBorders>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tcBorders>
              <w:top w:val="double" w:color="auto" w:sz="4" w:space="0"/>
            </w:tcBorders>
            <w:vAlign w:val="center"/>
          </w:tcPr>
          <w:p>
            <w:pPr>
              <w:spacing w:line="400" w:lineRule="exact"/>
              <w:jc w:val="center"/>
              <w:rPr>
                <w:rFonts w:ascii="宋体" w:hAnsi="宋体"/>
                <w:color w:val="auto"/>
                <w:szCs w:val="21"/>
                <w:highlight w:val="none"/>
              </w:rPr>
            </w:pPr>
          </w:p>
        </w:tc>
        <w:tc>
          <w:tcPr>
            <w:tcW w:w="826" w:type="dxa"/>
            <w:tcBorders>
              <w:top w:val="double" w:color="auto" w:sz="4" w:space="0"/>
            </w:tcBorders>
            <w:vAlign w:val="center"/>
          </w:tcPr>
          <w:p>
            <w:pPr>
              <w:spacing w:line="400" w:lineRule="exact"/>
              <w:jc w:val="center"/>
              <w:rPr>
                <w:rFonts w:ascii="宋体" w:hAnsi="宋体"/>
                <w:color w:val="auto"/>
                <w:szCs w:val="21"/>
                <w:highlight w:val="none"/>
              </w:rPr>
            </w:pPr>
          </w:p>
        </w:tc>
        <w:tc>
          <w:tcPr>
            <w:tcW w:w="825" w:type="dxa"/>
            <w:tcBorders>
              <w:top w:val="double" w:color="auto" w:sz="4" w:space="0"/>
            </w:tcBorders>
            <w:vAlign w:val="center"/>
          </w:tcPr>
          <w:p>
            <w:pPr>
              <w:spacing w:line="400" w:lineRule="exact"/>
              <w:jc w:val="center"/>
              <w:rPr>
                <w:rFonts w:ascii="宋体" w:hAnsi="宋体"/>
                <w:color w:val="auto"/>
                <w:szCs w:val="21"/>
                <w:highlight w:val="none"/>
              </w:rPr>
            </w:pPr>
          </w:p>
        </w:tc>
        <w:tc>
          <w:tcPr>
            <w:tcW w:w="825" w:type="dxa"/>
            <w:tcBorders>
              <w:top w:val="double" w:color="auto" w:sz="4" w:space="0"/>
            </w:tcBorders>
            <w:vAlign w:val="center"/>
          </w:tcPr>
          <w:p>
            <w:pPr>
              <w:spacing w:line="400" w:lineRule="exact"/>
              <w:jc w:val="center"/>
              <w:rPr>
                <w:rFonts w:ascii="宋体" w:hAnsi="宋体"/>
                <w:color w:val="auto"/>
                <w:szCs w:val="21"/>
                <w:highlight w:val="none"/>
              </w:rPr>
            </w:pPr>
          </w:p>
        </w:tc>
        <w:tc>
          <w:tcPr>
            <w:tcW w:w="1054" w:type="dxa"/>
            <w:tcBorders>
              <w:top w:val="double" w:color="auto" w:sz="4" w:space="0"/>
            </w:tcBorders>
            <w:vAlign w:val="center"/>
          </w:tcPr>
          <w:p>
            <w:pPr>
              <w:spacing w:line="400" w:lineRule="exact"/>
              <w:jc w:val="center"/>
              <w:rPr>
                <w:rFonts w:ascii="宋体" w:hAnsi="宋体"/>
                <w:color w:val="auto"/>
                <w:szCs w:val="21"/>
                <w:highlight w:val="none"/>
              </w:rPr>
            </w:pPr>
          </w:p>
        </w:tc>
        <w:tc>
          <w:tcPr>
            <w:tcW w:w="961" w:type="dxa"/>
            <w:tcBorders>
              <w:top w:val="double" w:color="auto" w:sz="4" w:space="0"/>
            </w:tcBorders>
            <w:vAlign w:val="center"/>
          </w:tcPr>
          <w:p>
            <w:pPr>
              <w:spacing w:line="400" w:lineRule="exact"/>
              <w:jc w:val="center"/>
              <w:rPr>
                <w:rFonts w:ascii="宋体" w:hAnsi="宋体"/>
                <w:color w:val="auto"/>
                <w:szCs w:val="21"/>
                <w:highlight w:val="none"/>
              </w:rPr>
            </w:pPr>
          </w:p>
        </w:tc>
        <w:tc>
          <w:tcPr>
            <w:tcW w:w="862" w:type="dxa"/>
            <w:tcBorders>
              <w:top w:val="double" w:color="auto" w:sz="4" w:space="0"/>
            </w:tcBorders>
            <w:vAlign w:val="center"/>
          </w:tcPr>
          <w:p>
            <w:pPr>
              <w:spacing w:line="400" w:lineRule="exact"/>
              <w:jc w:val="center"/>
              <w:rPr>
                <w:rFonts w:ascii="宋体" w:hAnsi="宋体"/>
                <w:color w:val="auto"/>
                <w:szCs w:val="21"/>
                <w:highlight w:val="none"/>
              </w:rPr>
            </w:pPr>
          </w:p>
        </w:tc>
        <w:tc>
          <w:tcPr>
            <w:tcW w:w="1264" w:type="dxa"/>
            <w:tcBorders>
              <w:top w:val="double" w:color="auto" w:sz="4" w:space="0"/>
            </w:tcBorders>
            <w:vAlign w:val="center"/>
          </w:tcPr>
          <w:p>
            <w:pPr>
              <w:spacing w:line="400" w:lineRule="exact"/>
              <w:jc w:val="center"/>
              <w:rPr>
                <w:rFonts w:ascii="宋体" w:hAnsi="宋体"/>
                <w:color w:val="auto"/>
                <w:szCs w:val="21"/>
                <w:highlight w:val="none"/>
              </w:rPr>
            </w:pPr>
          </w:p>
        </w:tc>
        <w:tc>
          <w:tcPr>
            <w:tcW w:w="993" w:type="dxa"/>
            <w:tcBorders>
              <w:top w:val="double" w:color="auto" w:sz="4" w:space="0"/>
            </w:tcBorders>
            <w:vAlign w:val="center"/>
          </w:tcPr>
          <w:p>
            <w:pPr>
              <w:snapToGrid w:val="0"/>
              <w:jc w:val="center"/>
              <w:rPr>
                <w:rFonts w:ascii="宋体" w:hAnsi="宋体" w:eastAsia="宋体" w:cstheme="minorBidi"/>
                <w:b/>
                <w:color w:val="auto"/>
                <w:kern w:val="2"/>
                <w:sz w:val="21"/>
                <w:szCs w:val="21"/>
                <w:highlight w:val="none"/>
                <w:lang w:val="en-US" w:eastAsia="zh-CN" w:bidi="ar-SA"/>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eastAsia="宋体" w:cstheme="minorBidi"/>
                <w:color w:val="auto"/>
                <w:kern w:val="2"/>
                <w:sz w:val="21"/>
                <w:szCs w:val="21"/>
                <w:highlight w:val="none"/>
                <w:lang w:val="en-US" w:eastAsia="zh-CN" w:bidi="ar-SA"/>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21"/>
              </w:numPr>
              <w:spacing w:line="400" w:lineRule="exact"/>
              <w:ind w:left="425" w:leftChars="0" w:hanging="425" w:firstLineChars="0"/>
              <w:jc w:val="center"/>
              <w:rPr>
                <w:rFonts w:ascii="宋体" w:hAnsi="宋体"/>
                <w:color w:val="auto"/>
                <w:szCs w:val="21"/>
                <w:highlight w:val="none"/>
              </w:rPr>
            </w:pP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vAlign w:val="center"/>
          </w:tcPr>
          <w:p>
            <w:pPr>
              <w:numPr>
                <w:ilvl w:val="0"/>
                <w:numId w:val="0"/>
              </w:numPr>
              <w:spacing w:line="400" w:lineRule="exact"/>
              <w:ind w:leftChars="0"/>
              <w:jc w:val="both"/>
              <w:rPr>
                <w:rFonts w:hint="default"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w:t>
            </w:r>
          </w:p>
        </w:tc>
        <w:tc>
          <w:tcPr>
            <w:tcW w:w="1037" w:type="dxa"/>
            <w:vAlign w:val="center"/>
          </w:tcPr>
          <w:p>
            <w:pPr>
              <w:spacing w:line="400" w:lineRule="exact"/>
              <w:jc w:val="center"/>
              <w:rPr>
                <w:rFonts w:ascii="宋体" w:hAnsi="宋体"/>
                <w:color w:val="auto"/>
                <w:szCs w:val="21"/>
                <w:highlight w:val="none"/>
              </w:rPr>
            </w:pPr>
          </w:p>
        </w:tc>
        <w:tc>
          <w:tcPr>
            <w:tcW w:w="826"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825" w:type="dxa"/>
            <w:vAlign w:val="center"/>
          </w:tcPr>
          <w:p>
            <w:pPr>
              <w:spacing w:line="400" w:lineRule="exact"/>
              <w:jc w:val="center"/>
              <w:rPr>
                <w:rFonts w:ascii="宋体" w:hAnsi="宋体"/>
                <w:color w:val="auto"/>
                <w:szCs w:val="21"/>
                <w:highlight w:val="none"/>
              </w:rPr>
            </w:pPr>
          </w:p>
        </w:tc>
        <w:tc>
          <w:tcPr>
            <w:tcW w:w="1054" w:type="dxa"/>
            <w:vAlign w:val="center"/>
          </w:tcPr>
          <w:p>
            <w:pPr>
              <w:spacing w:line="400" w:lineRule="exact"/>
              <w:jc w:val="center"/>
              <w:rPr>
                <w:rFonts w:ascii="宋体" w:hAnsi="宋体"/>
                <w:color w:val="auto"/>
                <w:szCs w:val="21"/>
                <w:highlight w:val="none"/>
              </w:rPr>
            </w:pPr>
          </w:p>
        </w:tc>
        <w:tc>
          <w:tcPr>
            <w:tcW w:w="961" w:type="dxa"/>
            <w:vAlign w:val="center"/>
          </w:tcPr>
          <w:p>
            <w:pPr>
              <w:spacing w:line="400" w:lineRule="exact"/>
              <w:jc w:val="center"/>
              <w:rPr>
                <w:rFonts w:ascii="宋体" w:hAnsi="宋体"/>
                <w:color w:val="auto"/>
                <w:szCs w:val="21"/>
                <w:highlight w:val="none"/>
              </w:rPr>
            </w:pPr>
          </w:p>
        </w:tc>
        <w:tc>
          <w:tcPr>
            <w:tcW w:w="862" w:type="dxa"/>
            <w:vAlign w:val="center"/>
          </w:tcPr>
          <w:p>
            <w:pPr>
              <w:spacing w:line="400" w:lineRule="exact"/>
              <w:jc w:val="center"/>
              <w:rPr>
                <w:rFonts w:ascii="宋体" w:hAnsi="宋体"/>
                <w:color w:val="auto"/>
                <w:szCs w:val="21"/>
                <w:highlight w:val="none"/>
              </w:rPr>
            </w:pPr>
          </w:p>
        </w:tc>
        <w:tc>
          <w:tcPr>
            <w:tcW w:w="1264" w:type="dxa"/>
            <w:vAlign w:val="center"/>
          </w:tcPr>
          <w:p>
            <w:pPr>
              <w:spacing w:line="400" w:lineRule="exact"/>
              <w:jc w:val="center"/>
              <w:rPr>
                <w:rFonts w:ascii="宋体" w:hAnsi="宋体"/>
                <w:color w:val="auto"/>
                <w:szCs w:val="21"/>
                <w:highlight w:val="none"/>
              </w:rPr>
            </w:pPr>
          </w:p>
        </w:tc>
        <w:tc>
          <w:tcPr>
            <w:tcW w:w="993" w:type="dxa"/>
            <w:vAlign w:val="center"/>
          </w:tcPr>
          <w:p>
            <w:pPr>
              <w:spacing w:line="400" w:lineRule="exact"/>
              <w:jc w:val="center"/>
              <w:rPr>
                <w:rFonts w:ascii="宋体" w:hAnsi="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页</w:t>
            </w:r>
          </w:p>
        </w:tc>
      </w:tr>
    </w:tbl>
    <w:p>
      <w:pPr>
        <w:spacing w:line="440" w:lineRule="exact"/>
        <w:rPr>
          <w:rFonts w:ascii="宋体" w:hAnsi="宋体" w:eastAsia="宋体"/>
          <w:color w:val="auto"/>
          <w:szCs w:val="21"/>
          <w:highlight w:val="none"/>
        </w:rPr>
      </w:pPr>
      <w:r>
        <w:rPr>
          <w:rFonts w:hint="eastAsia" w:ascii="宋体" w:hAnsi="宋体" w:eastAsia="宋体"/>
          <w:bCs/>
          <w:color w:val="auto"/>
          <w:highlight w:val="none"/>
        </w:rPr>
        <w:t>备注：</w:t>
      </w:r>
      <w:r>
        <w:rPr>
          <w:rFonts w:hint="eastAsia" w:ascii="宋体" w:hAnsi="宋体" w:eastAsia="宋体"/>
          <w:color w:val="auto"/>
          <w:szCs w:val="21"/>
          <w:highlight w:val="none"/>
        </w:rPr>
        <w:t>根据综合评审文件的要求提交相应的资料。</w:t>
      </w:r>
    </w:p>
    <w:p>
      <w:pPr>
        <w:spacing w:line="500" w:lineRule="exact"/>
        <w:ind w:firstLine="109" w:firstLineChars="50"/>
        <w:rPr>
          <w:rFonts w:ascii="宋体" w:hAnsi="宋体" w:eastAsia="宋体"/>
          <w:color w:val="auto"/>
          <w:spacing w:val="4"/>
          <w:highlight w:val="none"/>
        </w:rPr>
      </w:pPr>
    </w:p>
    <w:p>
      <w:pPr>
        <w:wordWrap w:val="0"/>
        <w:spacing w:line="360" w:lineRule="auto"/>
        <w:jc w:val="right"/>
        <w:rPr>
          <w:rFonts w:ascii="宋体" w:hAnsi="宋体" w:eastAsia="宋体"/>
          <w:color w:val="auto"/>
          <w:szCs w:val="21"/>
          <w:highlight w:val="none"/>
          <w:u w:val="single"/>
        </w:rPr>
      </w:pPr>
      <w:r>
        <w:rPr>
          <w:rFonts w:hint="eastAsia" w:ascii="宋体" w:hAnsi="宋体" w:eastAsia="宋体"/>
          <w:color w:val="auto"/>
          <w:spacing w:val="4"/>
          <w:szCs w:val="21"/>
          <w:highlight w:val="none"/>
        </w:rPr>
        <w:t>供应商名称（</w:t>
      </w:r>
      <w:r>
        <w:rPr>
          <w:rFonts w:hint="eastAsia" w:ascii="宋体" w:hAnsi="宋体" w:eastAsia="宋体"/>
          <w:color w:val="auto"/>
          <w:szCs w:val="21"/>
          <w:highlight w:val="none"/>
        </w:rPr>
        <w:t>单位盖</w:t>
      </w:r>
      <w:r>
        <w:rPr>
          <w:rFonts w:hint="eastAsia" w:ascii="宋体" w:hAnsi="宋体" w:eastAsia="宋体"/>
          <w:color w:val="auto"/>
          <w:spacing w:val="4"/>
          <w:szCs w:val="21"/>
          <w:highlight w:val="none"/>
        </w:rPr>
        <w:t>公章）：</w:t>
      </w:r>
      <w:r>
        <w:rPr>
          <w:rFonts w:hint="eastAsia" w:ascii="宋体" w:hAnsi="宋体" w:eastAsia="宋体"/>
          <w:color w:val="auto"/>
          <w:spacing w:val="4"/>
          <w:szCs w:val="21"/>
          <w:highlight w:val="none"/>
          <w:u w:val="single"/>
        </w:rPr>
        <w:t xml:space="preserve">          </w:t>
      </w:r>
    </w:p>
    <w:p>
      <w:pPr>
        <w:spacing w:line="360" w:lineRule="auto"/>
        <w:ind w:firstLine="105" w:firstLineChars="50"/>
        <w:jc w:val="right"/>
        <w:rPr>
          <w:rFonts w:ascii="宋体" w:hAnsi="宋体" w:eastAsia="宋体"/>
          <w:color w:val="auto"/>
          <w:szCs w:val="21"/>
          <w:highlight w:val="none"/>
          <w:u w:val="single"/>
        </w:rPr>
      </w:pPr>
    </w:p>
    <w:p>
      <w:pPr>
        <w:wordWrap w:val="0"/>
        <w:spacing w:line="360" w:lineRule="auto"/>
        <w:jc w:val="right"/>
        <w:rPr>
          <w:rFonts w:ascii="宋体" w:hAnsi="宋体" w:eastAsia="宋体"/>
          <w:color w:val="auto"/>
          <w:spacing w:val="4"/>
          <w:szCs w:val="21"/>
          <w:highlight w:val="none"/>
          <w:u w:val="single"/>
        </w:rPr>
      </w:pPr>
      <w:r>
        <w:rPr>
          <w:rFonts w:hint="eastAsia" w:ascii="宋体" w:hAnsi="宋体" w:eastAsia="宋体"/>
          <w:color w:val="auto"/>
          <w:spacing w:val="4"/>
          <w:szCs w:val="21"/>
          <w:highlight w:val="none"/>
        </w:rPr>
        <w:t>日期：</w:t>
      </w:r>
      <w:r>
        <w:rPr>
          <w:rFonts w:hint="eastAsia" w:ascii="宋体" w:hAnsi="宋体" w:eastAsia="宋体"/>
          <w:color w:val="auto"/>
          <w:spacing w:val="4"/>
          <w:szCs w:val="21"/>
          <w:highlight w:val="none"/>
          <w:u w:val="single"/>
        </w:rPr>
        <w:t xml:space="preserve">          </w:t>
      </w:r>
    </w:p>
    <w:p>
      <w:pPr>
        <w:wordWrap w:val="0"/>
        <w:spacing w:line="360" w:lineRule="auto"/>
        <w:jc w:val="right"/>
        <w:rPr>
          <w:rFonts w:ascii="宋体" w:hAnsi="宋体" w:eastAsia="宋体"/>
          <w:color w:val="auto"/>
          <w:szCs w:val="21"/>
          <w:highlight w:val="none"/>
          <w:u w:val="single"/>
        </w:rPr>
      </w:pPr>
    </w:p>
    <w:sectPr>
      <w:pgSz w:w="11906" w:h="16838"/>
      <w:pgMar w:top="1440" w:right="1843" w:bottom="1440" w:left="1797"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Gulim">
    <w:altName w:val="Times New Roman"/>
    <w:panose1 w:val="020B0600000101010101"/>
    <w:charset w:val="81"/>
    <w:family w:val="swiss"/>
    <w:pitch w:val="default"/>
    <w:sig w:usb0="00000000" w:usb1="00000000" w:usb2="00000030" w:usb3="00000000" w:csb0="0008009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w:t>
                    </w:r>
                    <w:r>
                      <w:fldChar w:fldCharType="end"/>
                    </w:r>
                  </w:p>
                </w:txbxContent>
              </v:textbox>
            </v:shape>
          </w:pict>
        </mc:Fallback>
      </mc:AlternateContent>
    </w: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posOffset>2587625</wp:posOffset>
              </wp:positionH>
              <wp:positionV relativeFrom="paragraph">
                <wp:posOffset>3810</wp:posOffset>
              </wp:positionV>
              <wp:extent cx="230505" cy="182880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230588"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3.75pt;margin-top:0.3pt;height:144pt;width:18.15pt;mso-position-horizontal-relative:margin;z-index:251660288;mso-width-relative:page;mso-height-relative:page;" filled="f" stroked="f" coordsize="21600,21600" o:gfxdata="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R5tzNcAAAAIAQAADwAAAAAAAAABACAAAAAiAAAAZHJzL2Rvd25yZXYueG1s&#10;UEsBAhQAFAAAAAgAh07iQO7PWvsyAgAAVgQAAA4AAAAAAAAAAQAgAAAAJgEAAGRycy9lMm9Eb2Mu&#10;eG1sUEsFBgAAAAAGAAYAWQEAAMoFA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18</w:t>
                    </w:r>
                    <w:r>
                      <w:fldChar w:fldCharType="end"/>
                    </w:r>
                  </w:p>
                </w:txbxContent>
              </v:textbox>
            </v:shape>
          </w:pict>
        </mc:Fallback>
      </mc:AlternateContent>
    </w:r>
  </w:p>
  <w:p>
    <w:pPr>
      <w:pStyle w:val="2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19</w:t>
                    </w:r>
                    <w:r>
                      <w:fldChar w:fldCharType="end"/>
                    </w:r>
                  </w:p>
                </w:txbxContent>
              </v:textbox>
            </v:shape>
          </w:pict>
        </mc:Fallback>
      </mc:AlternateContent>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9FAE9"/>
    <w:multiLevelType w:val="multilevel"/>
    <w:tmpl w:val="E859FAE9"/>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
    <w:nsid w:val="00000010"/>
    <w:multiLevelType w:val="multilevel"/>
    <w:tmpl w:val="00000010"/>
    <w:lvl w:ilvl="0" w:tentative="0">
      <w:start w:val="1"/>
      <w:numFmt w:val="decimal"/>
      <w:lvlText w:val="%1."/>
      <w:lvlJc w:val="left"/>
      <w:pPr>
        <w:tabs>
          <w:tab w:val="left" w:pos="431"/>
        </w:tabs>
        <w:ind w:left="431" w:hanging="425"/>
      </w:pPr>
      <w:rPr>
        <w:rFonts w:hint="eastAsia"/>
      </w:rPr>
    </w:lvl>
    <w:lvl w:ilvl="1" w:tentative="0">
      <w:start w:val="1"/>
      <w:numFmt w:val="decimal"/>
      <w:lvlText w:val="%1.%2"/>
      <w:lvlJc w:val="left"/>
      <w:pPr>
        <w:tabs>
          <w:tab w:val="left" w:pos="573"/>
        </w:tabs>
        <w:ind w:left="573" w:hanging="567"/>
      </w:pPr>
      <w:rPr>
        <w:rFonts w:hint="default" w:ascii="宋体" w:hAnsi="宋体" w:eastAsia="宋体" w:cs="Times New Roman"/>
        <w:b w:val="0"/>
        <w:dstrike w:val="0"/>
      </w:rPr>
    </w:lvl>
    <w:lvl w:ilvl="2" w:tentative="0">
      <w:start w:val="1"/>
      <w:numFmt w:val="decimal"/>
      <w:lvlText w:val="%1.%2.%3"/>
      <w:lvlJc w:val="left"/>
      <w:pPr>
        <w:tabs>
          <w:tab w:val="left" w:pos="1709"/>
        </w:tabs>
        <w:ind w:left="1709" w:hanging="851"/>
      </w:pPr>
      <w:rPr>
        <w:rFonts w:hint="default" w:ascii="宋体" w:hAnsi="宋体" w:eastAsia="宋体" w:cs="Times New Roman"/>
        <w:b w:val="0"/>
        <w:color w:val="auto"/>
        <w:sz w:val="21"/>
        <w:szCs w:val="21"/>
      </w:rPr>
    </w:lvl>
    <w:lvl w:ilvl="3" w:tentative="0">
      <w:start w:val="1"/>
      <w:numFmt w:val="decimal"/>
      <w:pStyle w:val="64"/>
      <w:lvlText w:val="%1.%2.%3.%4"/>
      <w:lvlJc w:val="left"/>
      <w:pPr>
        <w:tabs>
          <w:tab w:val="left" w:pos="857"/>
        </w:tabs>
        <w:ind w:left="857" w:hanging="851"/>
      </w:pPr>
      <w:rPr>
        <w:rFonts w:hint="eastAsia"/>
        <w:dstrike w:val="0"/>
      </w:rPr>
    </w:lvl>
    <w:lvl w:ilvl="4" w:tentative="0">
      <w:start w:val="1"/>
      <w:numFmt w:val="decimal"/>
      <w:lvlText w:val="%1.%2.%3.%4.%5."/>
      <w:lvlJc w:val="left"/>
      <w:pPr>
        <w:tabs>
          <w:tab w:val="left" w:pos="998"/>
        </w:tabs>
        <w:ind w:left="998" w:hanging="992"/>
      </w:pPr>
      <w:rPr>
        <w:rFonts w:hint="eastAsia"/>
      </w:rPr>
    </w:lvl>
    <w:lvl w:ilvl="5" w:tentative="0">
      <w:start w:val="1"/>
      <w:numFmt w:val="decimal"/>
      <w:lvlText w:val="%1.%2.%3.%4.%5.%6."/>
      <w:lvlJc w:val="left"/>
      <w:pPr>
        <w:tabs>
          <w:tab w:val="left" w:pos="1140"/>
        </w:tabs>
        <w:ind w:left="1140" w:hanging="1134"/>
      </w:pPr>
      <w:rPr>
        <w:rFonts w:hint="eastAsia"/>
      </w:rPr>
    </w:lvl>
    <w:lvl w:ilvl="6" w:tentative="0">
      <w:start w:val="1"/>
      <w:numFmt w:val="decimal"/>
      <w:lvlText w:val="%1.%2.%3.%4.%5.%6.%7."/>
      <w:lvlJc w:val="left"/>
      <w:pPr>
        <w:tabs>
          <w:tab w:val="left" w:pos="1282"/>
        </w:tabs>
        <w:ind w:left="1282" w:hanging="1276"/>
      </w:pPr>
      <w:rPr>
        <w:rFonts w:hint="eastAsia"/>
      </w:rPr>
    </w:lvl>
    <w:lvl w:ilvl="7" w:tentative="0">
      <w:start w:val="1"/>
      <w:numFmt w:val="decimal"/>
      <w:lvlText w:val="%1.%2.%3.%4.%5.%6.%7.%8."/>
      <w:lvlJc w:val="left"/>
      <w:pPr>
        <w:tabs>
          <w:tab w:val="left" w:pos="1424"/>
        </w:tabs>
        <w:ind w:left="1424" w:hanging="1418"/>
      </w:pPr>
      <w:rPr>
        <w:rFonts w:hint="eastAsia"/>
      </w:rPr>
    </w:lvl>
    <w:lvl w:ilvl="8" w:tentative="0">
      <w:start w:val="1"/>
      <w:numFmt w:val="decimal"/>
      <w:lvlText w:val="%1.%2.%3.%4.%5.%6.%7.%8.%9."/>
      <w:lvlJc w:val="left"/>
      <w:pPr>
        <w:tabs>
          <w:tab w:val="left" w:pos="1565"/>
        </w:tabs>
        <w:ind w:left="1565" w:hanging="1559"/>
      </w:pPr>
      <w:rPr>
        <w:rFonts w:hint="eastAsia"/>
      </w:rPr>
    </w:lvl>
  </w:abstractNum>
  <w:abstractNum w:abstractNumId="2">
    <w:nsid w:val="00000016"/>
    <w:multiLevelType w:val="multilevel"/>
    <w:tmpl w:val="00000016"/>
    <w:lvl w:ilvl="0" w:tentative="0">
      <w:start w:val="1"/>
      <w:numFmt w:val="chineseCountingThousand"/>
      <w:lvlText w:val="（%1）"/>
      <w:lvlJc w:val="left"/>
      <w:pPr>
        <w:tabs>
          <w:tab w:val="left" w:pos="1363"/>
        </w:tabs>
        <w:ind w:left="1363"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
      <w:lvlText w:val="%5)"/>
      <w:lvlJc w:val="left"/>
      <w:pPr>
        <w:tabs>
          <w:tab w:val="left" w:pos="2100"/>
        </w:tabs>
        <w:ind w:left="2100" w:hanging="420"/>
      </w:pPr>
    </w:lvl>
    <w:lvl w:ilvl="5" w:tentative="0">
      <w:start w:val="1"/>
      <w:numFmt w:val="lowerRoman"/>
      <w:pStyle w:val="7"/>
      <w:lvlText w:val="%6."/>
      <w:lvlJc w:val="right"/>
      <w:pPr>
        <w:tabs>
          <w:tab w:val="left" w:pos="2520"/>
        </w:tabs>
        <w:ind w:left="2520" w:hanging="420"/>
      </w:pPr>
    </w:lvl>
    <w:lvl w:ilvl="6" w:tentative="0">
      <w:start w:val="1"/>
      <w:numFmt w:val="decimal"/>
      <w:pStyle w:val="8"/>
      <w:lvlText w:val="%7."/>
      <w:lvlJc w:val="left"/>
      <w:pPr>
        <w:tabs>
          <w:tab w:val="left" w:pos="2940"/>
        </w:tabs>
        <w:ind w:left="2940" w:hanging="420"/>
      </w:pPr>
    </w:lvl>
    <w:lvl w:ilvl="7" w:tentative="0">
      <w:start w:val="1"/>
      <w:numFmt w:val="lowerLetter"/>
      <w:pStyle w:val="9"/>
      <w:lvlText w:val="%8)"/>
      <w:lvlJc w:val="left"/>
      <w:pPr>
        <w:tabs>
          <w:tab w:val="left" w:pos="3360"/>
        </w:tabs>
        <w:ind w:left="3360" w:hanging="420"/>
      </w:pPr>
    </w:lvl>
    <w:lvl w:ilvl="8" w:tentative="0">
      <w:start w:val="1"/>
      <w:numFmt w:val="lowerRoman"/>
      <w:pStyle w:val="10"/>
      <w:lvlText w:val="%9."/>
      <w:lvlJc w:val="right"/>
      <w:pPr>
        <w:tabs>
          <w:tab w:val="left" w:pos="3780"/>
        </w:tabs>
        <w:ind w:left="3780" w:hanging="420"/>
      </w:pPr>
    </w:lvl>
  </w:abstractNum>
  <w:abstractNum w:abstractNumId="3">
    <w:nsid w:val="12AB6DD7"/>
    <w:multiLevelType w:val="multilevel"/>
    <w:tmpl w:val="12AB6DD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140A6B21"/>
    <w:multiLevelType w:val="multilevel"/>
    <w:tmpl w:val="140A6B2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AD35848"/>
    <w:multiLevelType w:val="multilevel"/>
    <w:tmpl w:val="1AD3584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2CB96FCE"/>
    <w:multiLevelType w:val="multilevel"/>
    <w:tmpl w:val="2CB96FCE"/>
    <w:lvl w:ilvl="0" w:tentative="0">
      <w:start w:val="1"/>
      <w:numFmt w:val="chineseCountingThousand"/>
      <w:lvlText w:val="%1."/>
      <w:lvlJc w:val="center"/>
      <w:pPr>
        <w:ind w:left="450" w:hanging="450"/>
      </w:pPr>
      <w:rPr>
        <w:rFonts w:hint="eastAsia"/>
        <w:color w:val="auto"/>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0777A49"/>
    <w:multiLevelType w:val="multilevel"/>
    <w:tmpl w:val="30777A49"/>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9">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6D724EB"/>
    <w:multiLevelType w:val="multilevel"/>
    <w:tmpl w:val="36D724EB"/>
    <w:lvl w:ilvl="0" w:tentative="0">
      <w:start w:val="1"/>
      <w:numFmt w:val="decimal"/>
      <w:lvlText w:val="%1."/>
      <w:lvlJc w:val="left"/>
      <w:pPr>
        <w:ind w:left="420" w:hanging="420"/>
      </w:pPr>
      <w:rPr>
        <w:rFonts w:hint="eastAsia" w:ascii="宋体" w:hAnsi="宋体" w:eastAsia="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27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5FEB78A1"/>
    <w:multiLevelType w:val="multilevel"/>
    <w:tmpl w:val="5FEB78A1"/>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5791538"/>
    <w:multiLevelType w:val="multilevel"/>
    <w:tmpl w:val="65791538"/>
    <w:lvl w:ilvl="0" w:tentative="0">
      <w:start w:val="1"/>
      <w:numFmt w:val="decimal"/>
      <w:lvlText w:val="%1."/>
      <w:lvlJc w:val="left"/>
      <w:pPr>
        <w:ind w:left="420" w:hanging="420"/>
      </w:pPr>
      <w:rPr>
        <w:rFonts w:hint="eastAsia" w:ascii="宋体" w:hAnsi="宋体" w:eastAsia="宋体"/>
        <w:b w:val="0"/>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17">
    <w:nsid w:val="6B5A3C26"/>
    <w:multiLevelType w:val="multilevel"/>
    <w:tmpl w:val="6B5A3C26"/>
    <w:lvl w:ilvl="0" w:tentative="0">
      <w:start w:val="1"/>
      <w:numFmt w:val="decimal"/>
      <w:suff w:val="nothing"/>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9290D3"/>
    <w:multiLevelType w:val="singleLevel"/>
    <w:tmpl w:val="6E9290D3"/>
    <w:lvl w:ilvl="0" w:tentative="0">
      <w:start w:val="1"/>
      <w:numFmt w:val="decimal"/>
      <w:lvlText w:val="%1."/>
      <w:lvlJc w:val="left"/>
      <w:pPr>
        <w:ind w:left="425" w:hanging="425"/>
      </w:pPr>
      <w:rPr>
        <w:rFonts w:hint="default"/>
        <w:sz w:val="21"/>
        <w:szCs w:val="21"/>
      </w:rPr>
    </w:lvl>
  </w:abstractNum>
  <w:abstractNum w:abstractNumId="20">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
  </w:num>
  <w:num w:numId="2">
    <w:abstractNumId w:val="1"/>
  </w:num>
  <w:num w:numId="3">
    <w:abstractNumId w:val="15"/>
  </w:num>
  <w:num w:numId="4">
    <w:abstractNumId w:val="9"/>
  </w:num>
  <w:num w:numId="5">
    <w:abstractNumId w:val="17"/>
  </w:num>
  <w:num w:numId="6">
    <w:abstractNumId w:val="0"/>
  </w:num>
  <w:num w:numId="7">
    <w:abstractNumId w:val="20"/>
  </w:num>
  <w:num w:numId="8">
    <w:abstractNumId w:val="13"/>
  </w:num>
  <w:num w:numId="9">
    <w:abstractNumId w:val="3"/>
  </w:num>
  <w:num w:numId="10">
    <w:abstractNumId w:val="11"/>
  </w:num>
  <w:num w:numId="11">
    <w:abstractNumId w:val="4"/>
  </w:num>
  <w:num w:numId="12">
    <w:abstractNumId w:val="5"/>
  </w:num>
  <w:num w:numId="13">
    <w:abstractNumId w:val="6"/>
  </w:num>
  <w:num w:numId="14">
    <w:abstractNumId w:val="7"/>
  </w:num>
  <w:num w:numId="15">
    <w:abstractNumId w:val="10"/>
  </w:num>
  <w:num w:numId="16">
    <w:abstractNumId w:val="8"/>
  </w:num>
  <w:num w:numId="17">
    <w:abstractNumId w:val="16"/>
  </w:num>
  <w:num w:numId="18">
    <w:abstractNumId w:val="18"/>
  </w:num>
  <w:num w:numId="19">
    <w:abstractNumId w:val="12"/>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210"/>
  <w:drawingGridVerticalSpacing w:val="156"/>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ODUyMjhlYjJhNzc3YTI0ZTNmYjVmYmIzMzllMDMifQ=="/>
  </w:docVars>
  <w:rsids>
    <w:rsidRoot w:val="009908F4"/>
    <w:rsid w:val="00004A43"/>
    <w:rsid w:val="00011220"/>
    <w:rsid w:val="000221F2"/>
    <w:rsid w:val="000352F6"/>
    <w:rsid w:val="00041376"/>
    <w:rsid w:val="0005039D"/>
    <w:rsid w:val="00062BFB"/>
    <w:rsid w:val="00075AFF"/>
    <w:rsid w:val="0008355E"/>
    <w:rsid w:val="0009198E"/>
    <w:rsid w:val="00097365"/>
    <w:rsid w:val="000B538E"/>
    <w:rsid w:val="000D4F1A"/>
    <w:rsid w:val="000D696B"/>
    <w:rsid w:val="000F3FDB"/>
    <w:rsid w:val="001000DB"/>
    <w:rsid w:val="00105C34"/>
    <w:rsid w:val="001166A1"/>
    <w:rsid w:val="00117C93"/>
    <w:rsid w:val="00135135"/>
    <w:rsid w:val="00143529"/>
    <w:rsid w:val="0015268A"/>
    <w:rsid w:val="00157E05"/>
    <w:rsid w:val="001648A0"/>
    <w:rsid w:val="00182CBF"/>
    <w:rsid w:val="00183A49"/>
    <w:rsid w:val="001A5CB0"/>
    <w:rsid w:val="001A6679"/>
    <w:rsid w:val="001B1FD9"/>
    <w:rsid w:val="001B2B3D"/>
    <w:rsid w:val="001C50F0"/>
    <w:rsid w:val="001C566C"/>
    <w:rsid w:val="00222E99"/>
    <w:rsid w:val="00223FB8"/>
    <w:rsid w:val="0023608D"/>
    <w:rsid w:val="00242E9F"/>
    <w:rsid w:val="002430CE"/>
    <w:rsid w:val="00252FC0"/>
    <w:rsid w:val="00261871"/>
    <w:rsid w:val="00271696"/>
    <w:rsid w:val="00272B2C"/>
    <w:rsid w:val="002730CB"/>
    <w:rsid w:val="002A0F26"/>
    <w:rsid w:val="002B625B"/>
    <w:rsid w:val="002B743C"/>
    <w:rsid w:val="002C4C20"/>
    <w:rsid w:val="002D5324"/>
    <w:rsid w:val="00302F1B"/>
    <w:rsid w:val="003137B0"/>
    <w:rsid w:val="00343EE9"/>
    <w:rsid w:val="0034413F"/>
    <w:rsid w:val="00346C7E"/>
    <w:rsid w:val="0037107C"/>
    <w:rsid w:val="00382570"/>
    <w:rsid w:val="003A2983"/>
    <w:rsid w:val="003A2B3A"/>
    <w:rsid w:val="003A4F0A"/>
    <w:rsid w:val="003B3FB9"/>
    <w:rsid w:val="003C43E9"/>
    <w:rsid w:val="003C45D1"/>
    <w:rsid w:val="003C4BF6"/>
    <w:rsid w:val="003D2E49"/>
    <w:rsid w:val="003D4BB9"/>
    <w:rsid w:val="003D7BB0"/>
    <w:rsid w:val="003F661E"/>
    <w:rsid w:val="004146DB"/>
    <w:rsid w:val="00414C11"/>
    <w:rsid w:val="00430284"/>
    <w:rsid w:val="00432B33"/>
    <w:rsid w:val="00432EF2"/>
    <w:rsid w:val="00443E47"/>
    <w:rsid w:val="0044711F"/>
    <w:rsid w:val="00450DA2"/>
    <w:rsid w:val="00453372"/>
    <w:rsid w:val="004770DE"/>
    <w:rsid w:val="004B041C"/>
    <w:rsid w:val="004B5B47"/>
    <w:rsid w:val="004B64B4"/>
    <w:rsid w:val="004C4C84"/>
    <w:rsid w:val="004D72CD"/>
    <w:rsid w:val="004E1E0C"/>
    <w:rsid w:val="004E215A"/>
    <w:rsid w:val="004F3501"/>
    <w:rsid w:val="0051711F"/>
    <w:rsid w:val="00524616"/>
    <w:rsid w:val="00530DC1"/>
    <w:rsid w:val="005427DA"/>
    <w:rsid w:val="00554CC2"/>
    <w:rsid w:val="005666C1"/>
    <w:rsid w:val="00581257"/>
    <w:rsid w:val="005A2FA1"/>
    <w:rsid w:val="005B4CDB"/>
    <w:rsid w:val="005C1633"/>
    <w:rsid w:val="005D0E2A"/>
    <w:rsid w:val="005D15B5"/>
    <w:rsid w:val="005E1C99"/>
    <w:rsid w:val="005F0089"/>
    <w:rsid w:val="00600827"/>
    <w:rsid w:val="00610390"/>
    <w:rsid w:val="006170C8"/>
    <w:rsid w:val="00621734"/>
    <w:rsid w:val="00660E9D"/>
    <w:rsid w:val="00692DB7"/>
    <w:rsid w:val="006A56B2"/>
    <w:rsid w:val="006B6EF9"/>
    <w:rsid w:val="0071140C"/>
    <w:rsid w:val="00711462"/>
    <w:rsid w:val="00722F2E"/>
    <w:rsid w:val="00724C9E"/>
    <w:rsid w:val="0073317F"/>
    <w:rsid w:val="0075114C"/>
    <w:rsid w:val="00753D1D"/>
    <w:rsid w:val="00785A9D"/>
    <w:rsid w:val="00791BF0"/>
    <w:rsid w:val="00794722"/>
    <w:rsid w:val="007A0A0B"/>
    <w:rsid w:val="007A623B"/>
    <w:rsid w:val="007B15F4"/>
    <w:rsid w:val="007B201E"/>
    <w:rsid w:val="007C2339"/>
    <w:rsid w:val="007D22EF"/>
    <w:rsid w:val="007D44EF"/>
    <w:rsid w:val="007D4538"/>
    <w:rsid w:val="00817BDA"/>
    <w:rsid w:val="00820069"/>
    <w:rsid w:val="0082792D"/>
    <w:rsid w:val="00830FA6"/>
    <w:rsid w:val="008543EB"/>
    <w:rsid w:val="00871140"/>
    <w:rsid w:val="00876831"/>
    <w:rsid w:val="00881063"/>
    <w:rsid w:val="00886F61"/>
    <w:rsid w:val="00893BD1"/>
    <w:rsid w:val="00897E4D"/>
    <w:rsid w:val="008C2A6A"/>
    <w:rsid w:val="008D3286"/>
    <w:rsid w:val="008D553B"/>
    <w:rsid w:val="008E0E31"/>
    <w:rsid w:val="008E0E52"/>
    <w:rsid w:val="008E30CC"/>
    <w:rsid w:val="008E5F8F"/>
    <w:rsid w:val="008E6D3A"/>
    <w:rsid w:val="008F33B2"/>
    <w:rsid w:val="008F6976"/>
    <w:rsid w:val="008F7DB0"/>
    <w:rsid w:val="00915B1B"/>
    <w:rsid w:val="009370A3"/>
    <w:rsid w:val="00950CCA"/>
    <w:rsid w:val="00957AF2"/>
    <w:rsid w:val="009908F4"/>
    <w:rsid w:val="009A33C9"/>
    <w:rsid w:val="009A794A"/>
    <w:rsid w:val="009B012E"/>
    <w:rsid w:val="009C045A"/>
    <w:rsid w:val="009C2C77"/>
    <w:rsid w:val="009C6AD4"/>
    <w:rsid w:val="009E50F1"/>
    <w:rsid w:val="009E573B"/>
    <w:rsid w:val="009F0AC2"/>
    <w:rsid w:val="00A030FB"/>
    <w:rsid w:val="00A06572"/>
    <w:rsid w:val="00A13795"/>
    <w:rsid w:val="00A34D85"/>
    <w:rsid w:val="00A40E3E"/>
    <w:rsid w:val="00A526CC"/>
    <w:rsid w:val="00A62526"/>
    <w:rsid w:val="00A64BD5"/>
    <w:rsid w:val="00A67DC7"/>
    <w:rsid w:val="00A71DEF"/>
    <w:rsid w:val="00A77ADF"/>
    <w:rsid w:val="00A825A2"/>
    <w:rsid w:val="00A96CCE"/>
    <w:rsid w:val="00A97D70"/>
    <w:rsid w:val="00AA7BAD"/>
    <w:rsid w:val="00AC1158"/>
    <w:rsid w:val="00AC361D"/>
    <w:rsid w:val="00B04E8B"/>
    <w:rsid w:val="00B05322"/>
    <w:rsid w:val="00B1731F"/>
    <w:rsid w:val="00B42E5F"/>
    <w:rsid w:val="00B432B6"/>
    <w:rsid w:val="00B438D4"/>
    <w:rsid w:val="00B4771A"/>
    <w:rsid w:val="00B52602"/>
    <w:rsid w:val="00B52B91"/>
    <w:rsid w:val="00B6048D"/>
    <w:rsid w:val="00B645E4"/>
    <w:rsid w:val="00B700AD"/>
    <w:rsid w:val="00B73AE7"/>
    <w:rsid w:val="00B855ED"/>
    <w:rsid w:val="00BA7F1C"/>
    <w:rsid w:val="00BB4632"/>
    <w:rsid w:val="00BE4E0B"/>
    <w:rsid w:val="00BE73C8"/>
    <w:rsid w:val="00BF2D9F"/>
    <w:rsid w:val="00C06E23"/>
    <w:rsid w:val="00C07B63"/>
    <w:rsid w:val="00C1346B"/>
    <w:rsid w:val="00C15885"/>
    <w:rsid w:val="00C17152"/>
    <w:rsid w:val="00C179A8"/>
    <w:rsid w:val="00C2314F"/>
    <w:rsid w:val="00C3024F"/>
    <w:rsid w:val="00C311B3"/>
    <w:rsid w:val="00C6793A"/>
    <w:rsid w:val="00C749C0"/>
    <w:rsid w:val="00C80000"/>
    <w:rsid w:val="00C81D03"/>
    <w:rsid w:val="00C85FC9"/>
    <w:rsid w:val="00CA37B4"/>
    <w:rsid w:val="00D02408"/>
    <w:rsid w:val="00D12A07"/>
    <w:rsid w:val="00D21CF6"/>
    <w:rsid w:val="00D53AF3"/>
    <w:rsid w:val="00D675BC"/>
    <w:rsid w:val="00D6774D"/>
    <w:rsid w:val="00D82281"/>
    <w:rsid w:val="00D95293"/>
    <w:rsid w:val="00DA66D9"/>
    <w:rsid w:val="00DC39C6"/>
    <w:rsid w:val="00DC68EA"/>
    <w:rsid w:val="00DC729C"/>
    <w:rsid w:val="00DE06B5"/>
    <w:rsid w:val="00DE38E2"/>
    <w:rsid w:val="00DE4A64"/>
    <w:rsid w:val="00E13241"/>
    <w:rsid w:val="00E16A9C"/>
    <w:rsid w:val="00E20333"/>
    <w:rsid w:val="00E206E3"/>
    <w:rsid w:val="00E24A75"/>
    <w:rsid w:val="00E33DFE"/>
    <w:rsid w:val="00E440E6"/>
    <w:rsid w:val="00E53765"/>
    <w:rsid w:val="00E55087"/>
    <w:rsid w:val="00E65FDB"/>
    <w:rsid w:val="00E66C4F"/>
    <w:rsid w:val="00E71D95"/>
    <w:rsid w:val="00E87BAF"/>
    <w:rsid w:val="00E93FEB"/>
    <w:rsid w:val="00E97BC0"/>
    <w:rsid w:val="00EA3CB4"/>
    <w:rsid w:val="00EA4DBB"/>
    <w:rsid w:val="00EB671D"/>
    <w:rsid w:val="00EB7FFC"/>
    <w:rsid w:val="00EC351E"/>
    <w:rsid w:val="00EC3FB0"/>
    <w:rsid w:val="00ED2038"/>
    <w:rsid w:val="00EE1C46"/>
    <w:rsid w:val="00F16EA5"/>
    <w:rsid w:val="00F31119"/>
    <w:rsid w:val="00F35F46"/>
    <w:rsid w:val="00F40ECD"/>
    <w:rsid w:val="00F47DE4"/>
    <w:rsid w:val="00F71FC0"/>
    <w:rsid w:val="00F97E3E"/>
    <w:rsid w:val="00FA0964"/>
    <w:rsid w:val="00FB635A"/>
    <w:rsid w:val="00FD073A"/>
    <w:rsid w:val="00FD4D3A"/>
    <w:rsid w:val="00FF1D16"/>
    <w:rsid w:val="00FF5BFC"/>
    <w:rsid w:val="00FF76BF"/>
    <w:rsid w:val="02146ABD"/>
    <w:rsid w:val="028E3E1D"/>
    <w:rsid w:val="02C13975"/>
    <w:rsid w:val="02C646E1"/>
    <w:rsid w:val="031E62CB"/>
    <w:rsid w:val="048A0C82"/>
    <w:rsid w:val="049251C3"/>
    <w:rsid w:val="04FD4606"/>
    <w:rsid w:val="0580326D"/>
    <w:rsid w:val="06532730"/>
    <w:rsid w:val="06C8799A"/>
    <w:rsid w:val="0825374D"/>
    <w:rsid w:val="0A144298"/>
    <w:rsid w:val="0AF82E18"/>
    <w:rsid w:val="0D5C7CBE"/>
    <w:rsid w:val="0E4D215A"/>
    <w:rsid w:val="0F4B48EC"/>
    <w:rsid w:val="10943852"/>
    <w:rsid w:val="117B39D6"/>
    <w:rsid w:val="148B7538"/>
    <w:rsid w:val="151C4B1F"/>
    <w:rsid w:val="15397297"/>
    <w:rsid w:val="165A0FD0"/>
    <w:rsid w:val="178A3AD7"/>
    <w:rsid w:val="17D46287"/>
    <w:rsid w:val="18807C46"/>
    <w:rsid w:val="191D76D9"/>
    <w:rsid w:val="19B60A63"/>
    <w:rsid w:val="1A963D4C"/>
    <w:rsid w:val="1B1F0962"/>
    <w:rsid w:val="1C0D1768"/>
    <w:rsid w:val="1D95194F"/>
    <w:rsid w:val="1E7F7AF4"/>
    <w:rsid w:val="1F274302"/>
    <w:rsid w:val="1FFF340D"/>
    <w:rsid w:val="20A30E37"/>
    <w:rsid w:val="210E63DC"/>
    <w:rsid w:val="21336F8E"/>
    <w:rsid w:val="21542D25"/>
    <w:rsid w:val="224C154B"/>
    <w:rsid w:val="23E70ADE"/>
    <w:rsid w:val="2426629A"/>
    <w:rsid w:val="24C06D8A"/>
    <w:rsid w:val="254826D1"/>
    <w:rsid w:val="25684125"/>
    <w:rsid w:val="25AD64F9"/>
    <w:rsid w:val="260B69C2"/>
    <w:rsid w:val="28D956FA"/>
    <w:rsid w:val="2A3C5149"/>
    <w:rsid w:val="2A716ACD"/>
    <w:rsid w:val="309E35C5"/>
    <w:rsid w:val="30D75B88"/>
    <w:rsid w:val="344C7360"/>
    <w:rsid w:val="34C216C1"/>
    <w:rsid w:val="3589211B"/>
    <w:rsid w:val="360A4309"/>
    <w:rsid w:val="37781747"/>
    <w:rsid w:val="38465695"/>
    <w:rsid w:val="39366E30"/>
    <w:rsid w:val="39DF126B"/>
    <w:rsid w:val="3A025FDB"/>
    <w:rsid w:val="3A0313D4"/>
    <w:rsid w:val="3A3C39EE"/>
    <w:rsid w:val="3BE523F6"/>
    <w:rsid w:val="3C7C75C9"/>
    <w:rsid w:val="3CD967E3"/>
    <w:rsid w:val="3CFF625E"/>
    <w:rsid w:val="3D7A1C4F"/>
    <w:rsid w:val="3D820C29"/>
    <w:rsid w:val="3DD0408A"/>
    <w:rsid w:val="3EE6113C"/>
    <w:rsid w:val="3F52616C"/>
    <w:rsid w:val="3F582D33"/>
    <w:rsid w:val="40D90816"/>
    <w:rsid w:val="424654AB"/>
    <w:rsid w:val="42EE48FA"/>
    <w:rsid w:val="4459093B"/>
    <w:rsid w:val="44BD5AAE"/>
    <w:rsid w:val="45D177AC"/>
    <w:rsid w:val="47AD0FBB"/>
    <w:rsid w:val="4A11592D"/>
    <w:rsid w:val="4A730277"/>
    <w:rsid w:val="4BE62CCB"/>
    <w:rsid w:val="4DE1166D"/>
    <w:rsid w:val="4EBA2F55"/>
    <w:rsid w:val="4EC518D6"/>
    <w:rsid w:val="4ECF7939"/>
    <w:rsid w:val="50937738"/>
    <w:rsid w:val="50F009A7"/>
    <w:rsid w:val="51A8434B"/>
    <w:rsid w:val="521A744E"/>
    <w:rsid w:val="523F3331"/>
    <w:rsid w:val="52CF270B"/>
    <w:rsid w:val="53365F39"/>
    <w:rsid w:val="54905ECA"/>
    <w:rsid w:val="55F77450"/>
    <w:rsid w:val="56306DFD"/>
    <w:rsid w:val="572A43B4"/>
    <w:rsid w:val="57911D3D"/>
    <w:rsid w:val="58594DCC"/>
    <w:rsid w:val="58CE745B"/>
    <w:rsid w:val="592B7F6F"/>
    <w:rsid w:val="594F4A78"/>
    <w:rsid w:val="59973856"/>
    <w:rsid w:val="59C02DAD"/>
    <w:rsid w:val="5AD808A0"/>
    <w:rsid w:val="5B417F1E"/>
    <w:rsid w:val="5BB23ADC"/>
    <w:rsid w:val="5BEF3348"/>
    <w:rsid w:val="5D4B6E32"/>
    <w:rsid w:val="5FB40CBE"/>
    <w:rsid w:val="5FD83595"/>
    <w:rsid w:val="60086BBF"/>
    <w:rsid w:val="620731C7"/>
    <w:rsid w:val="63FF451E"/>
    <w:rsid w:val="64486C16"/>
    <w:rsid w:val="654C1999"/>
    <w:rsid w:val="662D7608"/>
    <w:rsid w:val="68120FE3"/>
    <w:rsid w:val="695544E4"/>
    <w:rsid w:val="698E058D"/>
    <w:rsid w:val="6AAD54E5"/>
    <w:rsid w:val="6AFC5C0F"/>
    <w:rsid w:val="6B9B0F84"/>
    <w:rsid w:val="6C475FE3"/>
    <w:rsid w:val="6D8C4630"/>
    <w:rsid w:val="6E470D4D"/>
    <w:rsid w:val="6E5072A5"/>
    <w:rsid w:val="6F282B2F"/>
    <w:rsid w:val="6F351DC7"/>
    <w:rsid w:val="6F691725"/>
    <w:rsid w:val="6F7E3097"/>
    <w:rsid w:val="6F867F66"/>
    <w:rsid w:val="708232DF"/>
    <w:rsid w:val="70FA59F8"/>
    <w:rsid w:val="7147583F"/>
    <w:rsid w:val="71531CA9"/>
    <w:rsid w:val="724E48FF"/>
    <w:rsid w:val="73842D8A"/>
    <w:rsid w:val="738E1278"/>
    <w:rsid w:val="746217D9"/>
    <w:rsid w:val="75330480"/>
    <w:rsid w:val="763A6AEF"/>
    <w:rsid w:val="766C3916"/>
    <w:rsid w:val="768D3BBF"/>
    <w:rsid w:val="774833FD"/>
    <w:rsid w:val="77BC7D69"/>
    <w:rsid w:val="794E3ADA"/>
    <w:rsid w:val="79E17BAC"/>
    <w:rsid w:val="7AA339B1"/>
    <w:rsid w:val="7BF5648F"/>
    <w:rsid w:val="7C117AC5"/>
    <w:rsid w:val="7C2D16EF"/>
    <w:rsid w:val="7C8A0E47"/>
    <w:rsid w:val="7DE25C85"/>
    <w:rsid w:val="7E21356D"/>
    <w:rsid w:val="7F8A1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6"/>
    <w:qFormat/>
    <w:uiPriority w:val="99"/>
    <w:pPr>
      <w:spacing w:line="590" w:lineRule="exact"/>
      <w:ind w:left="3"/>
      <w:jc w:val="center"/>
      <w:outlineLvl w:val="0"/>
    </w:pPr>
    <w:rPr>
      <w:rFonts w:ascii="Microsoft JhengHei" w:hAnsi="Microsoft JhengHei" w:eastAsia="Microsoft JhengHei" w:cs="Microsoft JhengHei"/>
      <w:b/>
      <w:bCs/>
      <w:kern w:val="0"/>
      <w:sz w:val="44"/>
      <w:szCs w:val="44"/>
      <w:lang w:eastAsia="en-US"/>
    </w:rPr>
  </w:style>
  <w:style w:type="paragraph" w:styleId="2">
    <w:name w:val="heading 2"/>
    <w:basedOn w:val="1"/>
    <w:next w:val="1"/>
    <w:link w:val="47"/>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8"/>
    <w:qFormat/>
    <w:uiPriority w:val="0"/>
    <w:pPr>
      <w:ind w:left="237" w:right="113"/>
      <w:jc w:val="left"/>
      <w:outlineLvl w:val="2"/>
    </w:pPr>
    <w:rPr>
      <w:rFonts w:ascii="宋体" w:hAnsi="宋体" w:eastAsia="宋体" w:cs="宋体"/>
      <w:kern w:val="0"/>
      <w:sz w:val="28"/>
      <w:szCs w:val="28"/>
      <w:lang w:eastAsia="en-US"/>
    </w:rPr>
  </w:style>
  <w:style w:type="paragraph" w:styleId="5">
    <w:name w:val="heading 4"/>
    <w:basedOn w:val="1"/>
    <w:next w:val="1"/>
    <w:link w:val="49"/>
    <w:qFormat/>
    <w:uiPriority w:val="0"/>
    <w:pPr>
      <w:spacing w:line="331" w:lineRule="exact"/>
      <w:ind w:left="513" w:right="113"/>
      <w:jc w:val="left"/>
      <w:outlineLvl w:val="3"/>
    </w:pPr>
    <w:rPr>
      <w:rFonts w:ascii="Times New Roman" w:hAnsi="Times New Roman" w:eastAsia="Times New Roman" w:cs="Times New Roman"/>
      <w:b/>
      <w:bCs/>
      <w:kern w:val="0"/>
      <w:szCs w:val="21"/>
      <w:lang w:eastAsia="en-US"/>
    </w:rPr>
  </w:style>
  <w:style w:type="paragraph" w:styleId="6">
    <w:name w:val="heading 5"/>
    <w:basedOn w:val="1"/>
    <w:next w:val="1"/>
    <w:link w:val="50"/>
    <w:semiHidden/>
    <w:unhideWhenUsed/>
    <w:qFormat/>
    <w:uiPriority w:val="0"/>
    <w:pPr>
      <w:keepNext/>
      <w:keepLines/>
      <w:widowControl/>
      <w:numPr>
        <w:ilvl w:val="4"/>
        <w:numId w:val="1"/>
      </w:numPr>
      <w:tabs>
        <w:tab w:val="left" w:pos="1008"/>
      </w:tabs>
      <w:spacing w:before="280" w:after="290" w:line="372" w:lineRule="auto"/>
      <w:jc w:val="left"/>
      <w:outlineLvl w:val="4"/>
    </w:pPr>
    <w:rPr>
      <w:rFonts w:ascii="Times New Roman" w:hAnsi="Times New Roman" w:eastAsia="宋体" w:cs="Times New Roman"/>
      <w:b/>
      <w:bCs/>
      <w:kern w:val="0"/>
      <w:sz w:val="28"/>
      <w:szCs w:val="28"/>
    </w:rPr>
  </w:style>
  <w:style w:type="paragraph" w:styleId="7">
    <w:name w:val="heading 6"/>
    <w:basedOn w:val="1"/>
    <w:next w:val="1"/>
    <w:link w:val="51"/>
    <w:semiHidden/>
    <w:unhideWhenUsed/>
    <w:qFormat/>
    <w:uiPriority w:val="0"/>
    <w:pPr>
      <w:keepNext/>
      <w:keepLines/>
      <w:widowControl/>
      <w:numPr>
        <w:ilvl w:val="5"/>
        <w:numId w:val="1"/>
      </w:numPr>
      <w:tabs>
        <w:tab w:val="left" w:pos="1152"/>
      </w:tabs>
      <w:spacing w:before="240" w:after="64" w:line="316" w:lineRule="auto"/>
      <w:jc w:val="left"/>
      <w:outlineLvl w:val="5"/>
    </w:pPr>
    <w:rPr>
      <w:rFonts w:ascii="Arial" w:hAnsi="Arial" w:eastAsia="黑体" w:cs="Times New Roman"/>
      <w:b/>
      <w:bCs/>
      <w:kern w:val="0"/>
      <w:sz w:val="24"/>
      <w:szCs w:val="24"/>
    </w:rPr>
  </w:style>
  <w:style w:type="paragraph" w:styleId="8">
    <w:name w:val="heading 7"/>
    <w:basedOn w:val="1"/>
    <w:next w:val="1"/>
    <w:link w:val="52"/>
    <w:semiHidden/>
    <w:unhideWhenUsed/>
    <w:qFormat/>
    <w:uiPriority w:val="99"/>
    <w:pPr>
      <w:keepNext/>
      <w:keepLines/>
      <w:widowControl/>
      <w:numPr>
        <w:ilvl w:val="6"/>
        <w:numId w:val="1"/>
      </w:numPr>
      <w:tabs>
        <w:tab w:val="left" w:pos="1296"/>
      </w:tabs>
      <w:spacing w:before="240" w:after="64" w:line="316" w:lineRule="auto"/>
      <w:jc w:val="left"/>
      <w:outlineLvl w:val="6"/>
    </w:pPr>
    <w:rPr>
      <w:rFonts w:ascii="Times New Roman" w:hAnsi="Times New Roman" w:eastAsia="宋体" w:cs="Times New Roman"/>
      <w:b/>
      <w:bCs/>
      <w:kern w:val="0"/>
      <w:sz w:val="24"/>
      <w:szCs w:val="24"/>
    </w:rPr>
  </w:style>
  <w:style w:type="paragraph" w:styleId="9">
    <w:name w:val="heading 8"/>
    <w:basedOn w:val="1"/>
    <w:next w:val="1"/>
    <w:link w:val="53"/>
    <w:semiHidden/>
    <w:unhideWhenUsed/>
    <w:qFormat/>
    <w:uiPriority w:val="99"/>
    <w:pPr>
      <w:keepNext/>
      <w:keepLines/>
      <w:widowControl/>
      <w:numPr>
        <w:ilvl w:val="7"/>
        <w:numId w:val="1"/>
      </w:numPr>
      <w:tabs>
        <w:tab w:val="left" w:pos="1440"/>
      </w:tabs>
      <w:spacing w:before="240" w:after="64" w:line="316" w:lineRule="auto"/>
      <w:jc w:val="left"/>
      <w:outlineLvl w:val="7"/>
    </w:pPr>
    <w:rPr>
      <w:rFonts w:ascii="Arial" w:hAnsi="Arial" w:eastAsia="黑体" w:cs="Times New Roman"/>
      <w:kern w:val="0"/>
      <w:sz w:val="24"/>
      <w:szCs w:val="24"/>
    </w:rPr>
  </w:style>
  <w:style w:type="paragraph" w:styleId="10">
    <w:name w:val="heading 9"/>
    <w:basedOn w:val="1"/>
    <w:next w:val="1"/>
    <w:link w:val="54"/>
    <w:semiHidden/>
    <w:unhideWhenUsed/>
    <w:qFormat/>
    <w:uiPriority w:val="99"/>
    <w:pPr>
      <w:keepNext/>
      <w:keepLines/>
      <w:widowControl/>
      <w:numPr>
        <w:ilvl w:val="8"/>
        <w:numId w:val="1"/>
      </w:numPr>
      <w:tabs>
        <w:tab w:val="left" w:pos="1584"/>
      </w:tabs>
      <w:spacing w:before="240" w:after="64" w:line="316" w:lineRule="auto"/>
      <w:jc w:val="left"/>
      <w:outlineLvl w:val="8"/>
    </w:pPr>
    <w:rPr>
      <w:rFonts w:ascii="Arial" w:hAnsi="Arial" w:eastAsia="黑体" w:cs="Times New Roman"/>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320"/>
      <w:jc w:val="left"/>
    </w:pPr>
    <w:rPr>
      <w:rFonts w:eastAsia="宋体" w:cstheme="minorHAnsi"/>
      <w:kern w:val="0"/>
      <w:sz w:val="18"/>
      <w:szCs w:val="18"/>
      <w:lang w:eastAsia="en-US"/>
    </w:rPr>
  </w:style>
  <w:style w:type="paragraph" w:styleId="12">
    <w:name w:val="Normal Indent"/>
    <w:basedOn w:val="1"/>
    <w:link w:val="91"/>
    <w:qFormat/>
    <w:uiPriority w:val="0"/>
    <w:pPr>
      <w:ind w:firstLine="420"/>
    </w:pPr>
    <w:rPr>
      <w:rFonts w:ascii="Times New Roman" w:hAnsi="Times New Roman" w:eastAsia="宋体" w:cs="Times New Roman"/>
      <w:szCs w:val="20"/>
    </w:rPr>
  </w:style>
  <w:style w:type="paragraph" w:styleId="13">
    <w:name w:val="Document Map"/>
    <w:basedOn w:val="1"/>
    <w:link w:val="79"/>
    <w:semiHidden/>
    <w:unhideWhenUsed/>
    <w:qFormat/>
    <w:uiPriority w:val="99"/>
    <w:pPr>
      <w:adjustRightInd w:val="0"/>
      <w:snapToGrid w:val="0"/>
      <w:spacing w:line="300" w:lineRule="auto"/>
      <w:ind w:firstLine="512" w:firstLineChars="200"/>
    </w:pPr>
    <w:rPr>
      <w:rFonts w:ascii="宋体" w:hAnsi="Times New Roman" w:eastAsia="宋体" w:cs="Times New Roman"/>
      <w:sz w:val="18"/>
      <w:szCs w:val="18"/>
    </w:rPr>
  </w:style>
  <w:style w:type="paragraph" w:styleId="14">
    <w:name w:val="annotation text"/>
    <w:basedOn w:val="1"/>
    <w:link w:val="56"/>
    <w:unhideWhenUsed/>
    <w:qFormat/>
    <w:uiPriority w:val="99"/>
    <w:pPr>
      <w:jc w:val="left"/>
    </w:pPr>
  </w:style>
  <w:style w:type="paragraph" w:styleId="15">
    <w:name w:val="Body Text"/>
    <w:basedOn w:val="1"/>
    <w:link w:val="68"/>
    <w:qFormat/>
    <w:uiPriority w:val="99"/>
    <w:pPr>
      <w:adjustRightInd w:val="0"/>
      <w:spacing w:after="120" w:line="360" w:lineRule="atLeast"/>
      <w:textAlignment w:val="baseline"/>
    </w:pPr>
    <w:rPr>
      <w:rFonts w:ascii="Times New Roman" w:hAnsi="Times New Roman" w:eastAsia="宋体" w:cs="Times New Roman"/>
      <w:kern w:val="0"/>
      <w:sz w:val="20"/>
      <w:szCs w:val="24"/>
    </w:rPr>
  </w:style>
  <w:style w:type="paragraph" w:styleId="16">
    <w:name w:val="Body Text Indent"/>
    <w:basedOn w:val="1"/>
    <w:link w:val="80"/>
    <w:semiHidden/>
    <w:unhideWhenUsed/>
    <w:qFormat/>
    <w:uiPriority w:val="99"/>
    <w:pPr>
      <w:spacing w:line="360" w:lineRule="auto"/>
      <w:ind w:left="608" w:hanging="608"/>
    </w:pPr>
    <w:rPr>
      <w:rFonts w:ascii="宋体" w:hAnsi="Times New Roman" w:eastAsia="宋体" w:cs="Times New Roman"/>
      <w:kern w:val="0"/>
      <w:sz w:val="28"/>
      <w:szCs w:val="20"/>
    </w:rPr>
  </w:style>
  <w:style w:type="paragraph" w:styleId="17">
    <w:name w:val="toc 5"/>
    <w:basedOn w:val="1"/>
    <w:next w:val="1"/>
    <w:unhideWhenUsed/>
    <w:qFormat/>
    <w:uiPriority w:val="39"/>
    <w:pPr>
      <w:ind w:left="880"/>
      <w:jc w:val="left"/>
    </w:pPr>
    <w:rPr>
      <w:rFonts w:eastAsia="宋体" w:cstheme="minorHAnsi"/>
      <w:kern w:val="0"/>
      <w:sz w:val="18"/>
      <w:szCs w:val="18"/>
      <w:lang w:eastAsia="en-US"/>
    </w:rPr>
  </w:style>
  <w:style w:type="paragraph" w:styleId="18">
    <w:name w:val="toc 3"/>
    <w:basedOn w:val="1"/>
    <w:next w:val="1"/>
    <w:qFormat/>
    <w:uiPriority w:val="99"/>
    <w:pPr>
      <w:ind w:left="440"/>
      <w:jc w:val="left"/>
    </w:pPr>
    <w:rPr>
      <w:rFonts w:eastAsia="宋体" w:cstheme="minorHAnsi"/>
      <w:i/>
      <w:iCs/>
      <w:kern w:val="0"/>
      <w:sz w:val="20"/>
      <w:szCs w:val="20"/>
      <w:lang w:eastAsia="en-US"/>
    </w:rPr>
  </w:style>
  <w:style w:type="paragraph" w:styleId="19">
    <w:name w:val="Plain Text"/>
    <w:basedOn w:val="1"/>
    <w:link w:val="61"/>
    <w:qFormat/>
    <w:uiPriority w:val="0"/>
    <w:rPr>
      <w:rFonts w:ascii="宋体" w:hAnsi="Courier New" w:eastAsia="宋体" w:cs="Times New Roman"/>
      <w:kern w:val="0"/>
      <w:sz w:val="20"/>
      <w:szCs w:val="21"/>
    </w:rPr>
  </w:style>
  <w:style w:type="paragraph" w:styleId="20">
    <w:name w:val="toc 8"/>
    <w:basedOn w:val="1"/>
    <w:next w:val="1"/>
    <w:unhideWhenUsed/>
    <w:qFormat/>
    <w:uiPriority w:val="39"/>
    <w:pPr>
      <w:ind w:left="1540"/>
      <w:jc w:val="left"/>
    </w:pPr>
    <w:rPr>
      <w:rFonts w:eastAsia="宋体" w:cstheme="minorHAnsi"/>
      <w:kern w:val="0"/>
      <w:sz w:val="18"/>
      <w:szCs w:val="18"/>
      <w:lang w:eastAsia="en-US"/>
    </w:rPr>
  </w:style>
  <w:style w:type="paragraph" w:styleId="21">
    <w:name w:val="Date"/>
    <w:basedOn w:val="1"/>
    <w:next w:val="1"/>
    <w:link w:val="81"/>
    <w:qFormat/>
    <w:uiPriority w:val="99"/>
    <w:rPr>
      <w:sz w:val="24"/>
      <w:lang w:eastAsia="en-US"/>
    </w:rPr>
  </w:style>
  <w:style w:type="paragraph" w:styleId="22">
    <w:name w:val="Body Text Indent 2"/>
    <w:basedOn w:val="1"/>
    <w:link w:val="82"/>
    <w:semiHidden/>
    <w:unhideWhenUsed/>
    <w:qFormat/>
    <w:uiPriority w:val="99"/>
    <w:pPr>
      <w:widowControl/>
      <w:spacing w:after="120" w:line="480" w:lineRule="auto"/>
      <w:ind w:left="420" w:leftChars="200"/>
      <w:jc w:val="left"/>
    </w:pPr>
    <w:rPr>
      <w:rFonts w:ascii="Times New Roman" w:hAnsi="Times New Roman" w:eastAsia="宋体" w:cs="Times New Roman"/>
      <w:kern w:val="0"/>
      <w:szCs w:val="20"/>
    </w:rPr>
  </w:style>
  <w:style w:type="paragraph" w:styleId="23">
    <w:name w:val="Balloon Text"/>
    <w:basedOn w:val="1"/>
    <w:link w:val="57"/>
    <w:unhideWhenUsed/>
    <w:qFormat/>
    <w:uiPriority w:val="99"/>
    <w:rPr>
      <w:sz w:val="18"/>
      <w:szCs w:val="18"/>
    </w:rPr>
  </w:style>
  <w:style w:type="paragraph" w:styleId="24">
    <w:name w:val="footer"/>
    <w:basedOn w:val="1"/>
    <w:link w:val="45"/>
    <w:unhideWhenUsed/>
    <w:qFormat/>
    <w:uiPriority w:val="99"/>
    <w:pPr>
      <w:tabs>
        <w:tab w:val="center" w:pos="4153"/>
        <w:tab w:val="right" w:pos="8306"/>
      </w:tabs>
      <w:snapToGrid w:val="0"/>
      <w:jc w:val="left"/>
    </w:pPr>
    <w:rPr>
      <w:sz w:val="18"/>
      <w:szCs w:val="18"/>
    </w:rPr>
  </w:style>
  <w:style w:type="paragraph" w:styleId="2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before="120" w:after="120"/>
      <w:jc w:val="left"/>
    </w:pPr>
    <w:rPr>
      <w:rFonts w:eastAsia="宋体" w:cstheme="minorHAnsi"/>
      <w:b/>
      <w:bCs/>
      <w:caps/>
      <w:kern w:val="0"/>
      <w:sz w:val="20"/>
      <w:szCs w:val="20"/>
      <w:lang w:eastAsia="en-US"/>
    </w:rPr>
  </w:style>
  <w:style w:type="paragraph" w:styleId="27">
    <w:name w:val="toc 4"/>
    <w:basedOn w:val="1"/>
    <w:next w:val="1"/>
    <w:unhideWhenUsed/>
    <w:qFormat/>
    <w:uiPriority w:val="39"/>
    <w:pPr>
      <w:ind w:left="660"/>
      <w:jc w:val="left"/>
    </w:pPr>
    <w:rPr>
      <w:rFonts w:eastAsia="宋体" w:cstheme="minorHAnsi"/>
      <w:kern w:val="0"/>
      <w:sz w:val="18"/>
      <w:szCs w:val="18"/>
      <w:lang w:eastAsia="en-US"/>
    </w:rPr>
  </w:style>
  <w:style w:type="paragraph" w:styleId="28">
    <w:name w:val="toc 6"/>
    <w:basedOn w:val="1"/>
    <w:next w:val="1"/>
    <w:unhideWhenUsed/>
    <w:qFormat/>
    <w:uiPriority w:val="39"/>
    <w:pPr>
      <w:ind w:left="1100"/>
      <w:jc w:val="left"/>
    </w:pPr>
    <w:rPr>
      <w:rFonts w:eastAsia="宋体" w:cstheme="minorHAnsi"/>
      <w:kern w:val="0"/>
      <w:sz w:val="18"/>
      <w:szCs w:val="18"/>
      <w:lang w:eastAsia="en-US"/>
    </w:rPr>
  </w:style>
  <w:style w:type="paragraph" w:styleId="29">
    <w:name w:val="Body Text Indent 3"/>
    <w:basedOn w:val="1"/>
    <w:link w:val="83"/>
    <w:semiHidden/>
    <w:unhideWhenUsed/>
    <w:qFormat/>
    <w:uiPriority w:val="99"/>
    <w:pPr>
      <w:spacing w:line="480" w:lineRule="auto"/>
      <w:ind w:firstLine="716" w:firstLineChars="202"/>
    </w:pPr>
    <w:rPr>
      <w:rFonts w:ascii="Times New Roman" w:hAnsi="Times New Roman" w:eastAsia="宋体" w:cs="Times New Roman"/>
      <w:spacing w:val="40"/>
      <w:sz w:val="28"/>
      <w:szCs w:val="24"/>
    </w:rPr>
  </w:style>
  <w:style w:type="paragraph" w:styleId="30">
    <w:name w:val="toc 2"/>
    <w:basedOn w:val="1"/>
    <w:next w:val="1"/>
    <w:qFormat/>
    <w:uiPriority w:val="39"/>
    <w:pPr>
      <w:ind w:left="220"/>
      <w:jc w:val="left"/>
    </w:pPr>
    <w:rPr>
      <w:rFonts w:eastAsia="宋体" w:cstheme="minorHAnsi"/>
      <w:smallCaps/>
      <w:kern w:val="0"/>
      <w:sz w:val="20"/>
      <w:szCs w:val="20"/>
      <w:lang w:eastAsia="en-US"/>
    </w:rPr>
  </w:style>
  <w:style w:type="paragraph" w:styleId="31">
    <w:name w:val="toc 9"/>
    <w:basedOn w:val="1"/>
    <w:next w:val="1"/>
    <w:unhideWhenUsed/>
    <w:qFormat/>
    <w:uiPriority w:val="39"/>
    <w:pPr>
      <w:ind w:left="1760"/>
      <w:jc w:val="left"/>
    </w:pPr>
    <w:rPr>
      <w:rFonts w:eastAsia="宋体" w:cstheme="minorHAnsi"/>
      <w:kern w:val="0"/>
      <w:sz w:val="18"/>
      <w:szCs w:val="18"/>
      <w:lang w:eastAsia="en-US"/>
    </w:rPr>
  </w:style>
  <w:style w:type="paragraph" w:styleId="32">
    <w:name w:val="Body Text 2"/>
    <w:basedOn w:val="1"/>
    <w:link w:val="84"/>
    <w:semiHidden/>
    <w:unhideWhenUsed/>
    <w:qFormat/>
    <w:uiPriority w:val="99"/>
    <w:pPr>
      <w:spacing w:after="120" w:line="480" w:lineRule="auto"/>
      <w:jc w:val="left"/>
    </w:pPr>
    <w:rPr>
      <w:rFonts w:ascii="宋体" w:hAnsi="宋体" w:eastAsia="宋体" w:cs="宋体"/>
      <w:kern w:val="0"/>
      <w:sz w:val="22"/>
      <w:lang w:eastAsia="en-US"/>
    </w:rPr>
  </w:style>
  <w:style w:type="paragraph" w:styleId="3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4">
    <w:name w:val="Title"/>
    <w:basedOn w:val="1"/>
    <w:next w:val="1"/>
    <w:link w:val="59"/>
    <w:qFormat/>
    <w:uiPriority w:val="10"/>
    <w:pPr>
      <w:spacing w:before="240" w:after="60"/>
      <w:jc w:val="center"/>
      <w:outlineLvl w:val="0"/>
    </w:pPr>
    <w:rPr>
      <w:rFonts w:eastAsia="宋体" w:asciiTheme="majorHAnsi" w:hAnsiTheme="majorHAnsi" w:cstheme="majorBidi"/>
      <w:b/>
      <w:bCs/>
      <w:sz w:val="32"/>
      <w:szCs w:val="32"/>
    </w:rPr>
  </w:style>
  <w:style w:type="paragraph" w:styleId="35">
    <w:name w:val="annotation subject"/>
    <w:basedOn w:val="14"/>
    <w:next w:val="14"/>
    <w:link w:val="58"/>
    <w:semiHidden/>
    <w:unhideWhenUsed/>
    <w:qFormat/>
    <w:uiPriority w:val="99"/>
    <w:rPr>
      <w:b/>
      <w:bCs/>
    </w:r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bCs/>
    </w:rPr>
  </w:style>
  <w:style w:type="character" w:styleId="40">
    <w:name w:val="FollowedHyperlink"/>
    <w:basedOn w:val="38"/>
    <w:semiHidden/>
    <w:unhideWhenUsed/>
    <w:qFormat/>
    <w:uiPriority w:val="99"/>
    <w:rPr>
      <w:color w:val="954F72" w:themeColor="followedHyperlink"/>
      <w:u w:val="single"/>
      <w14:textFill>
        <w14:solidFill>
          <w14:schemeClr w14:val="folHlink"/>
        </w14:solidFill>
      </w14:textFill>
    </w:rPr>
  </w:style>
  <w:style w:type="character" w:styleId="41">
    <w:name w:val="Emphasis"/>
    <w:basedOn w:val="38"/>
    <w:qFormat/>
    <w:uiPriority w:val="0"/>
    <w:rPr>
      <w:i/>
    </w:rPr>
  </w:style>
  <w:style w:type="character" w:styleId="42">
    <w:name w:val="Hyperlink"/>
    <w:basedOn w:val="38"/>
    <w:unhideWhenUsed/>
    <w:qFormat/>
    <w:uiPriority w:val="99"/>
    <w:rPr>
      <w:color w:val="0563C1" w:themeColor="hyperlink"/>
      <w:u w:val="single"/>
      <w14:textFill>
        <w14:solidFill>
          <w14:schemeClr w14:val="hlink"/>
        </w14:solidFill>
      </w14:textFill>
    </w:rPr>
  </w:style>
  <w:style w:type="character" w:styleId="43">
    <w:name w:val="annotation reference"/>
    <w:basedOn w:val="38"/>
    <w:unhideWhenUsed/>
    <w:qFormat/>
    <w:uiPriority w:val="99"/>
    <w:rPr>
      <w:sz w:val="21"/>
      <w:szCs w:val="21"/>
    </w:rPr>
  </w:style>
  <w:style w:type="character" w:customStyle="1" w:styleId="44">
    <w:name w:val="页眉 字符"/>
    <w:basedOn w:val="38"/>
    <w:link w:val="25"/>
    <w:qFormat/>
    <w:uiPriority w:val="99"/>
    <w:rPr>
      <w:sz w:val="18"/>
      <w:szCs w:val="18"/>
    </w:rPr>
  </w:style>
  <w:style w:type="character" w:customStyle="1" w:styleId="45">
    <w:name w:val="页脚 字符"/>
    <w:basedOn w:val="38"/>
    <w:link w:val="24"/>
    <w:qFormat/>
    <w:uiPriority w:val="99"/>
    <w:rPr>
      <w:sz w:val="18"/>
      <w:szCs w:val="18"/>
    </w:rPr>
  </w:style>
  <w:style w:type="character" w:customStyle="1" w:styleId="46">
    <w:name w:val="标题 1 字符"/>
    <w:basedOn w:val="38"/>
    <w:link w:val="3"/>
    <w:qFormat/>
    <w:uiPriority w:val="99"/>
    <w:rPr>
      <w:rFonts w:ascii="Microsoft JhengHei" w:hAnsi="Microsoft JhengHei" w:eastAsia="Microsoft JhengHei" w:cs="Microsoft JhengHei"/>
      <w:b/>
      <w:bCs/>
      <w:kern w:val="0"/>
      <w:sz w:val="44"/>
      <w:szCs w:val="44"/>
      <w:lang w:eastAsia="en-US"/>
    </w:rPr>
  </w:style>
  <w:style w:type="character" w:customStyle="1" w:styleId="47">
    <w:name w:val="标题 2 字符"/>
    <w:basedOn w:val="38"/>
    <w:link w:val="2"/>
    <w:qFormat/>
    <w:uiPriority w:val="0"/>
    <w:rPr>
      <w:rFonts w:ascii="Arial" w:hAnsi="Arial" w:eastAsia="黑体" w:cs="Times New Roman"/>
      <w:b/>
      <w:bCs/>
      <w:sz w:val="32"/>
      <w:szCs w:val="32"/>
    </w:rPr>
  </w:style>
  <w:style w:type="character" w:customStyle="1" w:styleId="48">
    <w:name w:val="标题 3 字符"/>
    <w:basedOn w:val="38"/>
    <w:link w:val="4"/>
    <w:qFormat/>
    <w:uiPriority w:val="0"/>
    <w:rPr>
      <w:rFonts w:ascii="宋体" w:hAnsi="宋体" w:eastAsia="宋体" w:cs="宋体"/>
      <w:kern w:val="0"/>
      <w:sz w:val="28"/>
      <w:szCs w:val="28"/>
      <w:lang w:eastAsia="en-US"/>
    </w:rPr>
  </w:style>
  <w:style w:type="character" w:customStyle="1" w:styleId="49">
    <w:name w:val="标题 4 字符"/>
    <w:basedOn w:val="38"/>
    <w:link w:val="5"/>
    <w:qFormat/>
    <w:uiPriority w:val="0"/>
    <w:rPr>
      <w:rFonts w:ascii="Times New Roman" w:hAnsi="Times New Roman" w:eastAsia="Times New Roman" w:cs="Times New Roman"/>
      <w:b/>
      <w:bCs/>
      <w:kern w:val="0"/>
      <w:szCs w:val="21"/>
      <w:lang w:eastAsia="en-US"/>
    </w:rPr>
  </w:style>
  <w:style w:type="character" w:customStyle="1" w:styleId="50">
    <w:name w:val="标题 5 字符"/>
    <w:basedOn w:val="38"/>
    <w:link w:val="6"/>
    <w:semiHidden/>
    <w:qFormat/>
    <w:uiPriority w:val="0"/>
    <w:rPr>
      <w:rFonts w:ascii="Times New Roman" w:hAnsi="Times New Roman" w:eastAsia="宋体" w:cs="Times New Roman"/>
      <w:b/>
      <w:bCs/>
      <w:kern w:val="0"/>
      <w:sz w:val="28"/>
      <w:szCs w:val="28"/>
    </w:rPr>
  </w:style>
  <w:style w:type="character" w:customStyle="1" w:styleId="51">
    <w:name w:val="标题 6 字符"/>
    <w:basedOn w:val="38"/>
    <w:link w:val="7"/>
    <w:semiHidden/>
    <w:qFormat/>
    <w:uiPriority w:val="0"/>
    <w:rPr>
      <w:rFonts w:ascii="Arial" w:hAnsi="Arial" w:eastAsia="黑体" w:cs="Times New Roman"/>
      <w:b/>
      <w:bCs/>
      <w:kern w:val="0"/>
      <w:sz w:val="24"/>
      <w:szCs w:val="24"/>
    </w:rPr>
  </w:style>
  <w:style w:type="character" w:customStyle="1" w:styleId="52">
    <w:name w:val="标题 7 字符"/>
    <w:basedOn w:val="38"/>
    <w:link w:val="8"/>
    <w:semiHidden/>
    <w:qFormat/>
    <w:uiPriority w:val="99"/>
    <w:rPr>
      <w:rFonts w:ascii="Times New Roman" w:hAnsi="Times New Roman" w:eastAsia="宋体" w:cs="Times New Roman"/>
      <w:b/>
      <w:bCs/>
      <w:kern w:val="0"/>
      <w:sz w:val="24"/>
      <w:szCs w:val="24"/>
    </w:rPr>
  </w:style>
  <w:style w:type="character" w:customStyle="1" w:styleId="53">
    <w:name w:val="标题 8 字符"/>
    <w:basedOn w:val="38"/>
    <w:link w:val="9"/>
    <w:semiHidden/>
    <w:qFormat/>
    <w:uiPriority w:val="99"/>
    <w:rPr>
      <w:rFonts w:ascii="Arial" w:hAnsi="Arial" w:eastAsia="黑体" w:cs="Times New Roman"/>
      <w:kern w:val="0"/>
      <w:sz w:val="24"/>
      <w:szCs w:val="24"/>
    </w:rPr>
  </w:style>
  <w:style w:type="character" w:customStyle="1" w:styleId="54">
    <w:name w:val="标题 9 字符"/>
    <w:basedOn w:val="38"/>
    <w:link w:val="10"/>
    <w:semiHidden/>
    <w:qFormat/>
    <w:uiPriority w:val="99"/>
    <w:rPr>
      <w:rFonts w:ascii="Arial" w:hAnsi="Arial" w:eastAsia="黑体" w:cs="Times New Roman"/>
      <w:kern w:val="0"/>
      <w:szCs w:val="21"/>
    </w:rPr>
  </w:style>
  <w:style w:type="paragraph" w:styleId="55">
    <w:name w:val="List Paragraph"/>
    <w:basedOn w:val="1"/>
    <w:link w:val="63"/>
    <w:qFormat/>
    <w:uiPriority w:val="99"/>
    <w:pPr>
      <w:ind w:firstLine="420" w:firstLineChars="200"/>
    </w:pPr>
  </w:style>
  <w:style w:type="character" w:customStyle="1" w:styleId="56">
    <w:name w:val="批注文字 字符"/>
    <w:basedOn w:val="38"/>
    <w:link w:val="14"/>
    <w:qFormat/>
    <w:uiPriority w:val="99"/>
  </w:style>
  <w:style w:type="character" w:customStyle="1" w:styleId="57">
    <w:name w:val="批注框文本 字符"/>
    <w:basedOn w:val="38"/>
    <w:link w:val="23"/>
    <w:qFormat/>
    <w:uiPriority w:val="99"/>
    <w:rPr>
      <w:sz w:val="18"/>
      <w:szCs w:val="18"/>
    </w:rPr>
  </w:style>
  <w:style w:type="character" w:customStyle="1" w:styleId="58">
    <w:name w:val="批注主题 字符"/>
    <w:basedOn w:val="56"/>
    <w:link w:val="35"/>
    <w:semiHidden/>
    <w:qFormat/>
    <w:uiPriority w:val="99"/>
    <w:rPr>
      <w:b/>
      <w:bCs/>
    </w:rPr>
  </w:style>
  <w:style w:type="character" w:customStyle="1" w:styleId="59">
    <w:name w:val="标题 字符"/>
    <w:basedOn w:val="38"/>
    <w:link w:val="34"/>
    <w:qFormat/>
    <w:uiPriority w:val="10"/>
    <w:rPr>
      <w:rFonts w:eastAsia="宋体" w:asciiTheme="majorHAnsi" w:hAnsiTheme="majorHAnsi" w:cstheme="majorBidi"/>
      <w:b/>
      <w:bCs/>
      <w:sz w:val="32"/>
      <w:szCs w:val="32"/>
    </w:rPr>
  </w:style>
  <w:style w:type="character" w:customStyle="1" w:styleId="60">
    <w:name w:val="纯文本 字符"/>
    <w:basedOn w:val="38"/>
    <w:qFormat/>
    <w:uiPriority w:val="0"/>
    <w:rPr>
      <w:rFonts w:hAnsi="Courier New" w:cs="Courier New" w:asciiTheme="minorEastAsia"/>
    </w:rPr>
  </w:style>
  <w:style w:type="character" w:customStyle="1" w:styleId="61">
    <w:name w:val="纯文本 字符1"/>
    <w:basedOn w:val="38"/>
    <w:link w:val="19"/>
    <w:qFormat/>
    <w:uiPriority w:val="99"/>
    <w:rPr>
      <w:rFonts w:ascii="宋体" w:hAnsi="Courier New" w:eastAsia="宋体" w:cs="Times New Roman"/>
      <w:kern w:val="0"/>
      <w:sz w:val="20"/>
      <w:szCs w:val="21"/>
    </w:rPr>
  </w:style>
  <w:style w:type="paragraph" w:customStyle="1" w:styleId="62">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63">
    <w:name w:val="列表段落 字符2"/>
    <w:link w:val="55"/>
    <w:qFormat/>
    <w:uiPriority w:val="34"/>
  </w:style>
  <w:style w:type="paragraph" w:customStyle="1" w:styleId="64">
    <w:name w:val="样式4"/>
    <w:basedOn w:val="1"/>
    <w:qFormat/>
    <w:uiPriority w:val="0"/>
    <w:pPr>
      <w:numPr>
        <w:ilvl w:val="3"/>
        <w:numId w:val="2"/>
      </w:numPr>
      <w:tabs>
        <w:tab w:val="left" w:pos="425"/>
        <w:tab w:val="left" w:pos="1984"/>
        <w:tab w:val="clear" w:pos="857"/>
      </w:tabs>
    </w:pPr>
    <w:rPr>
      <w:rFonts w:ascii="Times New Roman" w:hAnsi="Times New Roman" w:eastAsia="宋体" w:cs="Times New Roman"/>
      <w:szCs w:val="24"/>
    </w:rPr>
  </w:style>
  <w:style w:type="paragraph" w:customStyle="1" w:styleId="65">
    <w:name w:val="列出段落1"/>
    <w:basedOn w:val="1"/>
    <w:link w:val="66"/>
    <w:qFormat/>
    <w:uiPriority w:val="99"/>
    <w:pPr>
      <w:ind w:firstLine="420" w:firstLineChars="200"/>
    </w:pPr>
    <w:rPr>
      <w:rFonts w:ascii="Times New Roman" w:hAnsi="Times New Roman" w:eastAsia="宋体" w:cs="Times New Roman"/>
      <w:szCs w:val="21"/>
    </w:rPr>
  </w:style>
  <w:style w:type="character" w:customStyle="1" w:styleId="66">
    <w:name w:val="List Paragraph Char"/>
    <w:link w:val="65"/>
    <w:qFormat/>
    <w:locked/>
    <w:uiPriority w:val="99"/>
    <w:rPr>
      <w:rFonts w:ascii="Times New Roman" w:hAnsi="Times New Roman" w:eastAsia="宋体" w:cs="Times New Roman"/>
      <w:szCs w:val="21"/>
    </w:rPr>
  </w:style>
  <w:style w:type="paragraph" w:customStyle="1" w:styleId="67">
    <w:name w:val="_Style 121"/>
    <w:basedOn w:val="1"/>
    <w:next w:val="55"/>
    <w:qFormat/>
    <w:uiPriority w:val="34"/>
    <w:pPr>
      <w:ind w:firstLine="420" w:firstLineChars="200"/>
    </w:pPr>
    <w:rPr>
      <w:rFonts w:ascii="Calibri" w:hAnsi="Calibri" w:eastAsia="宋体" w:cs="Times New Roman"/>
    </w:rPr>
  </w:style>
  <w:style w:type="character" w:customStyle="1" w:styleId="68">
    <w:name w:val="正文文本 字符"/>
    <w:basedOn w:val="38"/>
    <w:link w:val="15"/>
    <w:qFormat/>
    <w:uiPriority w:val="99"/>
    <w:rPr>
      <w:rFonts w:ascii="Times New Roman" w:hAnsi="Times New Roman" w:eastAsia="宋体" w:cs="Times New Roman"/>
      <w:kern w:val="0"/>
      <w:sz w:val="20"/>
      <w:szCs w:val="24"/>
    </w:rPr>
  </w:style>
  <w:style w:type="paragraph" w:customStyle="1" w:styleId="69">
    <w:name w:val="列出段落2"/>
    <w:basedOn w:val="1"/>
    <w:next w:val="55"/>
    <w:qFormat/>
    <w:uiPriority w:val="0"/>
    <w:pPr>
      <w:ind w:firstLine="420" w:firstLineChars="200"/>
    </w:pPr>
    <w:rPr>
      <w:rFonts w:ascii="Calibri" w:hAnsi="Calibri" w:eastAsia="黑体" w:cs="Times New Roman"/>
      <w:bCs/>
      <w:sz w:val="30"/>
      <w:szCs w:val="30"/>
    </w:rPr>
  </w:style>
  <w:style w:type="character" w:customStyle="1" w:styleId="70">
    <w:name w:val="列表段落 字符1"/>
    <w:qFormat/>
    <w:locked/>
    <w:uiPriority w:val="34"/>
    <w:rPr>
      <w:szCs w:val="24"/>
    </w:rPr>
  </w:style>
  <w:style w:type="character" w:customStyle="1" w:styleId="71">
    <w:name w:val="列出段落 Char2"/>
    <w:qFormat/>
    <w:uiPriority w:val="34"/>
    <w:rPr>
      <w:rFonts w:ascii="Calibri" w:hAnsi="Calibri"/>
      <w:kern w:val="2"/>
      <w:sz w:val="21"/>
      <w:szCs w:val="22"/>
    </w:rPr>
  </w:style>
  <w:style w:type="character" w:customStyle="1" w:styleId="72">
    <w:name w:val="纯文本 Char2"/>
    <w:qFormat/>
    <w:uiPriority w:val="0"/>
    <w:rPr>
      <w:rFonts w:ascii="宋体" w:hAnsi="Courier New" w:cs="Courier New"/>
      <w:szCs w:val="21"/>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4">
    <w:name w:val="列出段落 字符"/>
    <w:qFormat/>
    <w:uiPriority w:val="34"/>
    <w:rPr>
      <w:rFonts w:ascii="Calibri" w:hAnsi="Calibri" w:eastAsia="宋体" w:cs="Times New Roman"/>
      <w:kern w:val="2"/>
      <w:sz w:val="21"/>
      <w:szCs w:val="22"/>
    </w:rPr>
  </w:style>
  <w:style w:type="character" w:customStyle="1" w:styleId="75">
    <w:name w:val="列表段落 字符"/>
    <w:qFormat/>
    <w:uiPriority w:val="34"/>
    <w:rPr>
      <w:rFonts w:ascii="Calibri" w:hAnsi="Calibri"/>
      <w:kern w:val="2"/>
      <w:sz w:val="21"/>
      <w:szCs w:val="22"/>
    </w:rPr>
  </w:style>
  <w:style w:type="paragraph" w:customStyle="1" w:styleId="76">
    <w:name w:val="Normal Indent1"/>
    <w:basedOn w:val="1"/>
    <w:qFormat/>
    <w:uiPriority w:val="0"/>
    <w:pPr>
      <w:widowControl/>
      <w:wordWrap w:val="0"/>
      <w:overflowPunct w:val="0"/>
      <w:topLinePunct/>
      <w:adjustRightInd w:val="0"/>
      <w:snapToGrid w:val="0"/>
      <w:spacing w:after="200"/>
      <w:ind w:firstLine="420"/>
      <w:jc w:val="left"/>
    </w:pPr>
    <w:rPr>
      <w:rFonts w:ascii="Times New Roman" w:hAnsi="Times New Roman" w:eastAsia="宋体" w:cs="Times New Roman"/>
      <w:kern w:val="0"/>
      <w:sz w:val="18"/>
      <w:szCs w:val="18"/>
    </w:rPr>
  </w:style>
  <w:style w:type="paragraph" w:customStyle="1" w:styleId="77">
    <w:name w:val="Other|1"/>
    <w:basedOn w:val="1"/>
    <w:qFormat/>
    <w:uiPriority w:val="0"/>
    <w:pPr>
      <w:spacing w:line="302" w:lineRule="auto"/>
    </w:pPr>
    <w:rPr>
      <w:rFonts w:ascii="宋体" w:hAnsi="宋体" w:eastAsia="宋体" w:cs="宋体"/>
      <w:sz w:val="22"/>
      <w:lang w:val="zh-TW" w:eastAsia="zh-TW" w:bidi="zh-TW"/>
    </w:rPr>
  </w:style>
  <w:style w:type="character" w:customStyle="1" w:styleId="78">
    <w:name w:val="标题 1 Char"/>
    <w:basedOn w:val="38"/>
    <w:qFormat/>
    <w:uiPriority w:val="99"/>
    <w:rPr>
      <w:b/>
      <w:bCs/>
      <w:kern w:val="44"/>
      <w:sz w:val="44"/>
      <w:szCs w:val="44"/>
    </w:rPr>
  </w:style>
  <w:style w:type="character" w:customStyle="1" w:styleId="79">
    <w:name w:val="文档结构图 字符"/>
    <w:basedOn w:val="38"/>
    <w:link w:val="13"/>
    <w:semiHidden/>
    <w:qFormat/>
    <w:uiPriority w:val="99"/>
    <w:rPr>
      <w:rFonts w:ascii="宋体" w:hAnsi="Times New Roman" w:eastAsia="宋体" w:cs="Times New Roman"/>
      <w:sz w:val="18"/>
      <w:szCs w:val="18"/>
    </w:rPr>
  </w:style>
  <w:style w:type="character" w:customStyle="1" w:styleId="80">
    <w:name w:val="正文文本缩进 字符"/>
    <w:basedOn w:val="38"/>
    <w:link w:val="16"/>
    <w:semiHidden/>
    <w:qFormat/>
    <w:uiPriority w:val="99"/>
    <w:rPr>
      <w:rFonts w:ascii="宋体" w:hAnsi="Times New Roman" w:eastAsia="宋体" w:cs="Times New Roman"/>
      <w:kern w:val="0"/>
      <w:sz w:val="28"/>
      <w:szCs w:val="20"/>
    </w:rPr>
  </w:style>
  <w:style w:type="character" w:customStyle="1" w:styleId="81">
    <w:name w:val="日期 字符"/>
    <w:basedOn w:val="38"/>
    <w:link w:val="21"/>
    <w:qFormat/>
    <w:uiPriority w:val="99"/>
    <w:rPr>
      <w:sz w:val="24"/>
      <w:lang w:eastAsia="en-US"/>
    </w:rPr>
  </w:style>
  <w:style w:type="character" w:customStyle="1" w:styleId="82">
    <w:name w:val="正文文本缩进 2 字符"/>
    <w:basedOn w:val="38"/>
    <w:link w:val="22"/>
    <w:semiHidden/>
    <w:qFormat/>
    <w:uiPriority w:val="99"/>
    <w:rPr>
      <w:rFonts w:ascii="Times New Roman" w:hAnsi="Times New Roman" w:eastAsia="宋体" w:cs="Times New Roman"/>
      <w:kern w:val="0"/>
      <w:szCs w:val="20"/>
    </w:rPr>
  </w:style>
  <w:style w:type="character" w:customStyle="1" w:styleId="83">
    <w:name w:val="正文文本缩进 3 字符"/>
    <w:basedOn w:val="38"/>
    <w:link w:val="29"/>
    <w:semiHidden/>
    <w:qFormat/>
    <w:uiPriority w:val="99"/>
    <w:rPr>
      <w:rFonts w:ascii="Times New Roman" w:hAnsi="Times New Roman" w:eastAsia="宋体" w:cs="Times New Roman"/>
      <w:spacing w:val="40"/>
      <w:sz w:val="28"/>
      <w:szCs w:val="24"/>
    </w:rPr>
  </w:style>
  <w:style w:type="character" w:customStyle="1" w:styleId="84">
    <w:name w:val="正文文本 2 字符"/>
    <w:basedOn w:val="38"/>
    <w:link w:val="32"/>
    <w:semiHidden/>
    <w:qFormat/>
    <w:uiPriority w:val="99"/>
    <w:rPr>
      <w:rFonts w:ascii="宋体" w:hAnsi="宋体" w:eastAsia="宋体" w:cs="宋体"/>
      <w:kern w:val="0"/>
      <w:sz w:val="22"/>
      <w:lang w:eastAsia="en-US"/>
    </w:rPr>
  </w:style>
  <w:style w:type="table" w:customStyle="1" w:styleId="85">
    <w:name w:val="Table Normal"/>
    <w:semiHidden/>
    <w:unhideWhenUsed/>
    <w:qFormat/>
    <w:uiPriority w:val="2"/>
    <w:tblPr>
      <w:tblCellMar>
        <w:top w:w="0" w:type="dxa"/>
        <w:left w:w="0" w:type="dxa"/>
        <w:bottom w:w="0" w:type="dxa"/>
        <w:right w:w="0" w:type="dxa"/>
      </w:tblCellMar>
    </w:tblPr>
  </w:style>
  <w:style w:type="paragraph" w:customStyle="1" w:styleId="86">
    <w:name w:val="Table Paragraph"/>
    <w:basedOn w:val="1"/>
    <w:qFormat/>
    <w:uiPriority w:val="1"/>
    <w:pPr>
      <w:jc w:val="left"/>
    </w:pPr>
    <w:rPr>
      <w:rFonts w:ascii="宋体" w:hAnsi="宋体" w:eastAsia="宋体" w:cs="宋体"/>
      <w:kern w:val="0"/>
      <w:sz w:val="22"/>
      <w:lang w:eastAsia="en-US"/>
    </w:rPr>
  </w:style>
  <w:style w:type="paragraph" w:customStyle="1" w:styleId="87">
    <w:name w:val="flType"/>
    <w:basedOn w:val="1"/>
    <w:qFormat/>
    <w:uiPriority w:val="99"/>
    <w:pPr>
      <w:adjustRightInd w:val="0"/>
      <w:spacing w:before="560" w:after="120" w:line="360" w:lineRule="atLeast"/>
      <w:jc w:val="center"/>
      <w:textAlignment w:val="baseline"/>
    </w:pPr>
    <w:rPr>
      <w:rFonts w:ascii="Arial" w:hAnsi="Times New Roman" w:eastAsia="黑体" w:cs="Times New Roman"/>
      <w:kern w:val="0"/>
      <w:sz w:val="28"/>
      <w:szCs w:val="20"/>
    </w:rPr>
  </w:style>
  <w:style w:type="character" w:customStyle="1" w:styleId="88">
    <w:name w:val="纯文本 Char1"/>
    <w:basedOn w:val="38"/>
    <w:semiHidden/>
    <w:qFormat/>
    <w:uiPriority w:val="99"/>
    <w:rPr>
      <w:rFonts w:ascii="宋体" w:hAnsi="Courier New" w:eastAsia="宋体" w:cs="Courier New"/>
      <w:sz w:val="21"/>
      <w:szCs w:val="21"/>
    </w:rPr>
  </w:style>
  <w:style w:type="character" w:customStyle="1" w:styleId="89">
    <w:name w:val="批注文字 Char1"/>
    <w:basedOn w:val="38"/>
    <w:qFormat/>
    <w:uiPriority w:val="0"/>
    <w:rPr>
      <w:rFonts w:ascii="Times New Roman" w:hAnsi="Times New Roman" w:eastAsia="宋体" w:cs="Times New Roman"/>
      <w:sz w:val="21"/>
      <w:szCs w:val="20"/>
      <w:lang w:eastAsia="zh-CN"/>
    </w:rPr>
  </w:style>
  <w:style w:type="character" w:customStyle="1" w:styleId="90">
    <w:name w:val="日期 Char1"/>
    <w:basedOn w:val="38"/>
    <w:semiHidden/>
    <w:qFormat/>
    <w:uiPriority w:val="99"/>
    <w:rPr>
      <w:rFonts w:ascii="宋体" w:hAnsi="宋体" w:eastAsia="宋体" w:cs="宋体"/>
    </w:rPr>
  </w:style>
  <w:style w:type="character" w:customStyle="1" w:styleId="91">
    <w:name w:val="正文缩进 字符"/>
    <w:link w:val="12"/>
    <w:qFormat/>
    <w:uiPriority w:val="0"/>
    <w:rPr>
      <w:rFonts w:ascii="Times New Roman" w:hAnsi="Times New Roman" w:eastAsia="宋体" w:cs="Times New Roman"/>
      <w:szCs w:val="20"/>
    </w:rPr>
  </w:style>
  <w:style w:type="paragraph" w:customStyle="1" w:styleId="92">
    <w:name w:val="1"/>
    <w:basedOn w:val="1"/>
    <w:next w:val="32"/>
    <w:qFormat/>
    <w:uiPriority w:val="99"/>
    <w:pPr>
      <w:widowControl/>
      <w:spacing w:line="360" w:lineRule="auto"/>
      <w:jc w:val="left"/>
    </w:pPr>
    <w:rPr>
      <w:rFonts w:ascii="仿宋_GB2312" w:hAnsi="仿宋体" w:eastAsia="仿宋_GB2312" w:cs="Times New Roman"/>
      <w:color w:val="000000"/>
      <w:kern w:val="0"/>
      <w:sz w:val="32"/>
      <w:szCs w:val="20"/>
    </w:rPr>
  </w:style>
  <w:style w:type="paragraph" w:customStyle="1" w:styleId="93">
    <w:name w:val="正文-首缩2字符"/>
    <w:basedOn w:val="1"/>
    <w:qFormat/>
    <w:uiPriority w:val="99"/>
    <w:pPr>
      <w:adjustRightInd w:val="0"/>
      <w:snapToGrid w:val="0"/>
      <w:spacing w:line="300" w:lineRule="auto"/>
      <w:ind w:firstLine="200" w:firstLineChars="200"/>
      <w:jc w:val="left"/>
    </w:pPr>
    <w:rPr>
      <w:rFonts w:ascii="宋体" w:hAnsi="宋体" w:eastAsia="宋体" w:cs="宋体"/>
      <w:sz w:val="24"/>
      <w:szCs w:val="24"/>
    </w:rPr>
  </w:style>
  <w:style w:type="paragraph" w:customStyle="1" w:styleId="94">
    <w:name w:val="修订1"/>
    <w:semiHidden/>
    <w:qFormat/>
    <w:uiPriority w:val="99"/>
    <w:rPr>
      <w:rFonts w:ascii="Times New Roman" w:hAnsi="Times New Roman" w:eastAsia="仿宋_GB2312" w:cs="Times New Roman"/>
      <w:kern w:val="2"/>
      <w:sz w:val="24"/>
      <w:szCs w:val="24"/>
      <w:lang w:val="en-US" w:eastAsia="zh-CN" w:bidi="ar-SA"/>
    </w:rPr>
  </w:style>
  <w:style w:type="paragraph" w:customStyle="1" w:styleId="95">
    <w:name w:val="样式 首行缩进:  2 字符"/>
    <w:basedOn w:val="1"/>
    <w:qFormat/>
    <w:uiPriority w:val="99"/>
    <w:pPr>
      <w:autoSpaceDE w:val="0"/>
      <w:autoSpaceDN w:val="0"/>
      <w:adjustRightInd w:val="0"/>
      <w:spacing w:line="300" w:lineRule="auto"/>
      <w:ind w:firstLine="560" w:firstLineChars="200"/>
    </w:pPr>
    <w:rPr>
      <w:rFonts w:ascii="宋体" w:hAnsi="Times New Roman" w:eastAsia="宋体" w:cs="Times New Roman"/>
      <w:kern w:val="0"/>
      <w:sz w:val="24"/>
      <w:szCs w:val="20"/>
    </w:rPr>
  </w:style>
  <w:style w:type="paragraph" w:customStyle="1" w:styleId="96">
    <w:name w:val="Char Char Char Char"/>
    <w:basedOn w:val="1"/>
    <w:qFormat/>
    <w:uiPriority w:val="99"/>
    <w:pPr>
      <w:adjustRightInd w:val="0"/>
      <w:spacing w:line="312" w:lineRule="atLeast"/>
    </w:pPr>
    <w:rPr>
      <w:rFonts w:ascii="Times New Roman" w:hAnsi="Times New Roman" w:eastAsia="宋体" w:cs="Times New Roman"/>
      <w:b/>
      <w:bCs/>
      <w:kern w:val="0"/>
      <w:sz w:val="36"/>
      <w:szCs w:val="32"/>
    </w:rPr>
  </w:style>
  <w:style w:type="paragraph" w:customStyle="1" w:styleId="97">
    <w:name w:val="默认段落字体 Para Char Char Char Char Char Char Char"/>
    <w:basedOn w:val="1"/>
    <w:qFormat/>
    <w:uiPriority w:val="99"/>
    <w:rPr>
      <w:rFonts w:ascii="Times New Roman" w:hAnsi="Times New Roman" w:eastAsia="宋体" w:cs="Times New Roman"/>
      <w:szCs w:val="24"/>
    </w:rPr>
  </w:style>
  <w:style w:type="paragraph" w:customStyle="1" w:styleId="98">
    <w:name w:val="样式3"/>
    <w:basedOn w:val="19"/>
    <w:qFormat/>
    <w:uiPriority w:val="99"/>
    <w:pPr>
      <w:adjustRightInd w:val="0"/>
      <w:spacing w:line="0" w:lineRule="atLeast"/>
      <w:outlineLvl w:val="0"/>
    </w:pPr>
    <w:rPr>
      <w:kern w:val="2"/>
      <w:sz w:val="28"/>
      <w:szCs w:val="20"/>
    </w:rPr>
  </w:style>
  <w:style w:type="paragraph" w:customStyle="1" w:styleId="99">
    <w:name w:val="表格文字"/>
    <w:basedOn w:val="15"/>
    <w:qFormat/>
    <w:uiPriority w:val="99"/>
    <w:pPr>
      <w:spacing w:after="0" w:line="400" w:lineRule="exact"/>
      <w:textAlignment w:val="auto"/>
    </w:pPr>
    <w:rPr>
      <w:sz w:val="24"/>
      <w:szCs w:val="20"/>
    </w:rPr>
  </w:style>
  <w:style w:type="paragraph" w:customStyle="1" w:styleId="100">
    <w:name w:val="text"/>
    <w:basedOn w:val="1"/>
    <w:qFormat/>
    <w:uiPriority w:val="99"/>
    <w:pPr>
      <w:widowControl/>
      <w:spacing w:before="60" w:after="60" w:line="360" w:lineRule="auto"/>
      <w:ind w:left="200" w:right="300"/>
    </w:pPr>
    <w:rPr>
      <w:rFonts w:ascii="宋体" w:hAnsi="宋体" w:eastAsia="宋体" w:cs="宋体"/>
      <w:kern w:val="0"/>
      <w:sz w:val="28"/>
      <w:szCs w:val="28"/>
    </w:rPr>
  </w:style>
  <w:style w:type="character" w:customStyle="1" w:styleId="101">
    <w:name w:val="表名称 字符"/>
    <w:link w:val="102"/>
    <w:qFormat/>
    <w:locked/>
    <w:uiPriority w:val="0"/>
    <w:rPr>
      <w:rFonts w:ascii="宋体" w:hAnsi="宋体" w:eastAsia="宋体"/>
      <w:b/>
      <w:szCs w:val="21"/>
      <w:u w:color="FF0000"/>
    </w:rPr>
  </w:style>
  <w:style w:type="paragraph" w:customStyle="1" w:styleId="102">
    <w:name w:val="表名称"/>
    <w:basedOn w:val="1"/>
    <w:link w:val="101"/>
    <w:qFormat/>
    <w:uiPriority w:val="0"/>
    <w:pPr>
      <w:spacing w:beforeLines="25" w:line="320" w:lineRule="exact"/>
      <w:jc w:val="center"/>
    </w:pPr>
    <w:rPr>
      <w:rFonts w:ascii="宋体" w:hAnsi="宋体" w:eastAsia="宋体"/>
      <w:b/>
      <w:szCs w:val="21"/>
      <w:u w:color="FF0000"/>
    </w:rPr>
  </w:style>
  <w:style w:type="character" w:customStyle="1" w:styleId="103">
    <w:name w:val="unnamed11"/>
    <w:qFormat/>
    <w:uiPriority w:val="0"/>
    <w:rPr>
      <w:sz w:val="21"/>
    </w:rPr>
  </w:style>
  <w:style w:type="paragraph" w:customStyle="1" w:styleId="104">
    <w:name w:val="修订2"/>
    <w:hidden/>
    <w:semiHidden/>
    <w:qFormat/>
    <w:uiPriority w:val="99"/>
    <w:rPr>
      <w:rFonts w:ascii="宋体" w:hAnsi="宋体" w:eastAsia="宋体" w:cs="宋体"/>
      <w:sz w:val="22"/>
      <w:szCs w:val="22"/>
      <w:lang w:val="en-US" w:eastAsia="en-US" w:bidi="ar-SA"/>
    </w:rPr>
  </w:style>
  <w:style w:type="paragraph" w:customStyle="1" w:styleId="105">
    <w:name w:val="修订3"/>
    <w:hidden/>
    <w:semiHidden/>
    <w:qFormat/>
    <w:uiPriority w:val="99"/>
    <w:rPr>
      <w:rFonts w:ascii="宋体" w:hAnsi="宋体" w:eastAsia="宋体" w:cs="宋体"/>
      <w:sz w:val="22"/>
      <w:szCs w:val="22"/>
      <w:lang w:val="en-US" w:eastAsia="en-US" w:bidi="ar-SA"/>
    </w:rPr>
  </w:style>
  <w:style w:type="paragraph" w:customStyle="1" w:styleId="106">
    <w:name w:val="Normal_13"/>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customStyle="1" w:styleId="107">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8">
    <w:name w:val="正文1"/>
    <w:qFormat/>
    <w:uiPriority w:val="0"/>
    <w:pPr>
      <w:jc w:val="both"/>
    </w:pPr>
    <w:rPr>
      <w:rFonts w:ascii="等线" w:hAnsi="等线" w:eastAsia="宋体" w:cs="宋体"/>
      <w:kern w:val="2"/>
      <w:sz w:val="21"/>
      <w:szCs w:val="21"/>
      <w:lang w:val="en-US" w:eastAsia="zh-CN" w:bidi="ar-SA"/>
    </w:rPr>
  </w:style>
  <w:style w:type="paragraph" w:customStyle="1" w:styleId="109">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19</Pages>
  <Words>8915</Words>
  <Characters>9086</Characters>
  <Lines>73</Lines>
  <Paragraphs>20</Paragraphs>
  <TotalTime>3</TotalTime>
  <ScaleCrop>false</ScaleCrop>
  <LinksUpToDate>false</LinksUpToDate>
  <CharactersWithSpaces>9238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2022-05-27T03:36:00Z</dcterms:created>
  <dc:creator>Administrator</dc:creator>
  <cp:lastModifiedBy>LW</cp:lastModifiedBy>
  <cp:lastPrinted>2022-03-30T02:31:00Z</cp:lastPrinted>
  <dcterms:modified xsi:type="dcterms:W3CDTF">2024-05-27T22:27:18Z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A6B009176A3241988904A4C72EB30CB1</vt:lpwstr>
  </property>
</Properties>
</file>