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hint="eastAsia" w:ascii="仿宋_GB2312" w:hAnsi="仿宋_GB2312" w:eastAsia="仿宋_GB2312" w:cs="仿宋_GB2312"/>
          <w:b/>
          <w:sz w:val="44"/>
          <w:szCs w:val="44"/>
        </w:rPr>
      </w:pPr>
      <w:bookmarkStart w:id="2" w:name="_GoBack"/>
      <w:bookmarkEnd w:id="2"/>
      <w:r>
        <w:rPr>
          <w:rFonts w:hint="eastAsia" w:ascii="仿宋_GB2312" w:hAnsi="仿宋_GB2312" w:eastAsia="仿宋_GB2312" w:cs="仿宋_GB2312"/>
          <w:b/>
          <w:sz w:val="44"/>
          <w:szCs w:val="44"/>
        </w:rPr>
        <w:t>广州医科大学附属番禺中心医院医疗集团</w:t>
      </w:r>
      <w:r>
        <w:rPr>
          <w:rFonts w:hint="eastAsia" w:ascii="仿宋_GB2312" w:hAnsi="仿宋_GB2312" w:eastAsia="仿宋_GB2312" w:cs="仿宋_GB2312"/>
          <w:b/>
          <w:sz w:val="44"/>
          <w:szCs w:val="44"/>
          <w:lang w:val="en-US" w:eastAsia="zh-CN"/>
        </w:rPr>
        <w:t>利器盒</w:t>
      </w:r>
      <w:r>
        <w:rPr>
          <w:rFonts w:hint="eastAsia" w:ascii="仿宋_GB2312" w:hAnsi="仿宋_GB2312" w:eastAsia="仿宋_GB2312" w:cs="仿宋_GB2312"/>
          <w:b/>
          <w:sz w:val="44"/>
          <w:szCs w:val="44"/>
        </w:rPr>
        <w:t>采购项目用户需求书</w:t>
      </w:r>
    </w:p>
    <w:p>
      <w:pPr>
        <w:pStyle w:val="11"/>
        <w:tabs>
          <w:tab w:val="left" w:pos="709"/>
        </w:tabs>
        <w:ind w:firstLine="0" w:firstLineChars="0"/>
        <w:jc w:val="center"/>
        <w:rPr>
          <w:rFonts w:hint="eastAsia" w:ascii="仿宋_GB2312" w:hAnsi="仿宋_GB2312" w:eastAsia="仿宋_GB2312" w:cs="仿宋_GB2312"/>
          <w:b/>
          <w:sz w:val="24"/>
          <w:szCs w:val="24"/>
        </w:rPr>
      </w:pPr>
    </w:p>
    <w:p>
      <w:pPr>
        <w:pStyle w:val="11"/>
        <w:numPr>
          <w:ilvl w:val="0"/>
          <w:numId w:val="1"/>
        </w:numPr>
        <w:tabs>
          <w:tab w:val="left" w:pos="709"/>
        </w:tabs>
        <w:ind w:lef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tbl>
      <w:tblPr>
        <w:tblStyle w:val="6"/>
        <w:tblpPr w:leftFromText="180" w:rightFromText="180" w:vertAnchor="text" w:horzAnchor="margin" w:tblpXSpec="center" w:tblpY="71"/>
        <w:tblW w:w="7196"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417"/>
        <w:gridCol w:w="1276"/>
        <w:gridCol w:w="992"/>
        <w:gridCol w:w="1276"/>
        <w:gridCol w:w="709"/>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vAlign w:val="center"/>
          </w:tcPr>
          <w:p>
            <w:pPr>
              <w:widowControl/>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992" w:type="dxa"/>
            <w:vAlign w:val="center"/>
          </w:tcPr>
          <w:p>
            <w:pPr>
              <w:widowControl/>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使用科室</w:t>
            </w:r>
          </w:p>
        </w:tc>
        <w:tc>
          <w:tcPr>
            <w:tcW w:w="1417" w:type="dxa"/>
            <w:vAlign w:val="center"/>
          </w:tcPr>
          <w:p>
            <w:pPr>
              <w:widowControl/>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货物名称</w:t>
            </w:r>
          </w:p>
        </w:tc>
        <w:tc>
          <w:tcPr>
            <w:tcW w:w="1276" w:type="dxa"/>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预算单价</w:t>
            </w:r>
            <w:r>
              <w:rPr>
                <w:rFonts w:hint="eastAsia" w:ascii="仿宋_GB2312" w:hAnsi="仿宋_GB2312" w:eastAsia="仿宋_GB2312" w:cs="仿宋_GB2312"/>
                <w:b/>
                <w:color w:val="000000"/>
                <w:sz w:val="24"/>
                <w:szCs w:val="24"/>
              </w:rPr>
              <w:t>（元）</w:t>
            </w:r>
          </w:p>
        </w:tc>
        <w:tc>
          <w:tcPr>
            <w:tcW w:w="992" w:type="dxa"/>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参考数量</w:t>
            </w:r>
          </w:p>
        </w:tc>
        <w:tc>
          <w:tcPr>
            <w:tcW w:w="1276" w:type="dxa"/>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预算金额（元）</w:t>
            </w:r>
          </w:p>
        </w:tc>
        <w:tc>
          <w:tcPr>
            <w:tcW w:w="709" w:type="dxa"/>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34" w:type="dxa"/>
            <w:vAlign w:val="center"/>
          </w:tcPr>
          <w:p>
            <w:pPr>
              <w:widowControl/>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992" w:type="dxa"/>
            <w:vAlign w:val="center"/>
          </w:tcPr>
          <w:p>
            <w:pPr>
              <w:widowControl/>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院本部</w:t>
            </w:r>
          </w:p>
        </w:tc>
        <w:tc>
          <w:tcPr>
            <w:tcW w:w="1417"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利器盒</w:t>
            </w:r>
          </w:p>
        </w:tc>
        <w:tc>
          <w:tcPr>
            <w:tcW w:w="1276"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120</w:t>
            </w:r>
            <w:r>
              <w:rPr>
                <w:rFonts w:hint="eastAsia" w:ascii="仿宋_GB2312" w:hAnsi="仿宋_GB2312" w:eastAsia="仿宋_GB2312" w:cs="仿宋_GB2312"/>
                <w:kern w:val="0"/>
                <w:sz w:val="24"/>
                <w:szCs w:val="24"/>
                <w:lang w:bidi="ar"/>
              </w:rPr>
              <w:t>000</w:t>
            </w:r>
          </w:p>
        </w:tc>
        <w:tc>
          <w:tcPr>
            <w:tcW w:w="992"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年</w:t>
            </w:r>
          </w:p>
        </w:tc>
        <w:tc>
          <w:tcPr>
            <w:tcW w:w="1276"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36</w:t>
            </w:r>
            <w:r>
              <w:rPr>
                <w:rFonts w:hint="eastAsia" w:ascii="仿宋_GB2312" w:hAnsi="仿宋_GB2312" w:eastAsia="仿宋_GB2312" w:cs="仿宋_GB2312"/>
                <w:kern w:val="0"/>
                <w:sz w:val="24"/>
                <w:szCs w:val="24"/>
                <w:lang w:bidi="ar"/>
              </w:rPr>
              <w:t>0000</w:t>
            </w:r>
          </w:p>
        </w:tc>
        <w:tc>
          <w:tcPr>
            <w:tcW w:w="709" w:type="dxa"/>
            <w:tcBorders>
              <w:right w:val="single" w:color="auto" w:sz="4" w:space="0"/>
            </w:tcBorders>
            <w:vAlign w:val="center"/>
          </w:tcPr>
          <w:p>
            <w:pPr>
              <w:jc w:val="center"/>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34" w:type="dxa"/>
            <w:vAlign w:val="center"/>
          </w:tcPr>
          <w:p>
            <w:pPr>
              <w:widowControl/>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p>
        </w:tc>
        <w:tc>
          <w:tcPr>
            <w:tcW w:w="992" w:type="dxa"/>
            <w:vAlign w:val="center"/>
          </w:tcPr>
          <w:p>
            <w:pPr>
              <w:widowControl/>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东院区</w:t>
            </w:r>
          </w:p>
        </w:tc>
        <w:tc>
          <w:tcPr>
            <w:tcW w:w="1417" w:type="dxa"/>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利器盒</w:t>
            </w:r>
          </w:p>
        </w:tc>
        <w:tc>
          <w:tcPr>
            <w:tcW w:w="1276" w:type="dxa"/>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15000</w:t>
            </w:r>
          </w:p>
        </w:tc>
        <w:tc>
          <w:tcPr>
            <w:tcW w:w="992" w:type="dxa"/>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3年</w:t>
            </w:r>
          </w:p>
        </w:tc>
        <w:tc>
          <w:tcPr>
            <w:tcW w:w="1276" w:type="dxa"/>
            <w:vAlign w:val="center"/>
          </w:tcPr>
          <w:p>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45000</w:t>
            </w:r>
          </w:p>
        </w:tc>
        <w:tc>
          <w:tcPr>
            <w:tcW w:w="709" w:type="dxa"/>
            <w:tcBorders>
              <w:right w:val="single" w:color="auto" w:sz="4" w:space="0"/>
            </w:tcBorders>
            <w:vAlign w:val="center"/>
          </w:tcPr>
          <w:p>
            <w:pPr>
              <w:jc w:val="center"/>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211" w:type="dxa"/>
            <w:gridSpan w:val="5"/>
            <w:vAlign w:val="center"/>
          </w:tcPr>
          <w:p>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合计</w:t>
            </w:r>
          </w:p>
        </w:tc>
        <w:tc>
          <w:tcPr>
            <w:tcW w:w="1276" w:type="dxa"/>
            <w:vAlign w:val="center"/>
          </w:tcPr>
          <w:p>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405000</w:t>
            </w:r>
          </w:p>
        </w:tc>
        <w:tc>
          <w:tcPr>
            <w:tcW w:w="709" w:type="dxa"/>
            <w:tcBorders>
              <w:right w:val="single" w:color="auto" w:sz="4" w:space="0"/>
            </w:tcBorders>
            <w:vAlign w:val="center"/>
          </w:tcPr>
          <w:p>
            <w:pPr>
              <w:jc w:val="center"/>
              <w:rPr>
                <w:rFonts w:hint="eastAsia" w:ascii="仿宋_GB2312" w:hAnsi="仿宋_GB2312" w:eastAsia="仿宋_GB2312" w:cs="仿宋_GB2312"/>
                <w:bCs/>
                <w:sz w:val="24"/>
                <w:szCs w:val="24"/>
              </w:rPr>
            </w:pPr>
          </w:p>
        </w:tc>
      </w:tr>
    </w:tbl>
    <w:p>
      <w:pPr>
        <w:pStyle w:val="11"/>
        <w:tabs>
          <w:tab w:val="left" w:pos="709"/>
        </w:tabs>
        <w:ind w:firstLine="480"/>
        <w:rPr>
          <w:rFonts w:hint="eastAsia" w:ascii="仿宋_GB2312" w:hAnsi="仿宋_GB2312" w:eastAsia="仿宋_GB2312" w:cs="仿宋_GB2312"/>
          <w:sz w:val="24"/>
          <w:szCs w:val="24"/>
        </w:rPr>
      </w:pPr>
    </w:p>
    <w:p>
      <w:pPr>
        <w:pStyle w:val="11"/>
        <w:numPr>
          <w:ilvl w:val="0"/>
          <w:numId w:val="1"/>
        </w:numPr>
        <w:tabs>
          <w:tab w:val="left" w:pos="709"/>
        </w:tabs>
        <w:spacing w:line="360" w:lineRule="auto"/>
        <w:ind w:lef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报价范围的定义</w:t>
      </w:r>
    </w:p>
    <w:p>
      <w:pPr>
        <w:pStyle w:val="11"/>
        <w:tabs>
          <w:tab w:val="left" w:pos="709"/>
        </w:tabs>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本项目报价包括货物设计、制造、包装、运输、检测及验收合格之前及质保期内服务及备品备件发生的所有含税费用。</w:t>
      </w:r>
    </w:p>
    <w:p>
      <w:pPr>
        <w:pStyle w:val="11"/>
        <w:numPr>
          <w:ilvl w:val="0"/>
          <w:numId w:val="1"/>
        </w:numPr>
        <w:tabs>
          <w:tab w:val="left" w:pos="709"/>
        </w:tabs>
        <w:spacing w:line="360" w:lineRule="auto"/>
        <w:ind w:lef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资格要求：无</w:t>
      </w:r>
    </w:p>
    <w:p>
      <w:pPr>
        <w:pStyle w:val="11"/>
        <w:numPr>
          <w:ilvl w:val="0"/>
          <w:numId w:val="1"/>
        </w:numPr>
        <w:tabs>
          <w:tab w:val="left" w:pos="709"/>
        </w:tabs>
        <w:spacing w:line="360" w:lineRule="auto"/>
        <w:ind w:lef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面向中小企业 </w:t>
      </w:r>
    </w:p>
    <w:p>
      <w:pPr>
        <w:pStyle w:val="11"/>
        <w:numPr>
          <w:ilvl w:val="0"/>
          <w:numId w:val="1"/>
        </w:numPr>
        <w:tabs>
          <w:tab w:val="left" w:pos="709"/>
        </w:tabs>
        <w:spacing w:line="360" w:lineRule="auto"/>
        <w:ind w:lef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不接受联合体投标 </w:t>
      </w:r>
    </w:p>
    <w:p>
      <w:pPr>
        <w:numPr>
          <w:ilvl w:val="0"/>
          <w:numId w:val="1"/>
        </w:numPr>
        <w:spacing w:line="340" w:lineRule="exact"/>
        <w:ind w:left="0" w:leftChars="0" w:firstLine="0" w:firstLineChars="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sz w:val="24"/>
          <w:szCs w:val="24"/>
        </w:rPr>
        <w:t>技术要求</w:t>
      </w:r>
    </w:p>
    <w:p>
      <w:pPr>
        <w:numPr>
          <w:ilvl w:val="0"/>
          <w:numId w:val="0"/>
        </w:numPr>
        <w:spacing w:line="340" w:lineRule="exact"/>
        <w:ind w:leftChars="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（一）货物质量及供货要求</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bCs/>
          <w:color w:val="auto"/>
          <w:sz w:val="24"/>
          <w:szCs w:val="24"/>
          <w:highlight w:val="none"/>
        </w:rPr>
        <w:t>1.供应商保证所供货物为通过合法渠道所获得的，符合国家使用标准的正规合格品。</w:t>
      </w:r>
    </w:p>
    <w:p>
      <w:pPr>
        <w:numPr>
          <w:ilvl w:val="0"/>
          <w:numId w:val="0"/>
        </w:numPr>
        <w:spacing w:line="340" w:lineRule="exact"/>
        <w:ind w:leftChars="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2.货物的包装必须是制造商原厂包装，包装须防潮、防雨、防腐及防碰撞，凡由于包装不良造成的损失及由此产生的损耗费用均由供应商承担。</w:t>
      </w:r>
    </w:p>
    <w:p>
      <w:pPr>
        <w:spacing w:line="34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3.利器盒要求：</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（1）利器盒整体为硬质材料制成，封闭且防刺穿，以保证在正常情况下，利器盒内盛装物不撒漏，并且利器盒一旦被封口，在不破坏的情况下无法被再次打开。</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（2）采用高温热处置技术处置损伤性废物时，利器盒不使用聚氯乙烯材料。</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（3）利器盒整体颜色为淡黄，颜色应符合</w:t>
      </w:r>
      <w:r>
        <w:rPr>
          <w:rFonts w:hint="eastAsia" w:ascii="仿宋_GB2312" w:hAnsi="仿宋_GB2312" w:eastAsia="仿宋_GB2312" w:cs="仿宋_GB2312"/>
          <w:color w:val="auto"/>
          <w:sz w:val="24"/>
          <w:szCs w:val="24"/>
          <w:highlight w:val="none"/>
        </w:rPr>
        <w:t>GB/T 3181中Y06</w:t>
      </w:r>
      <w:r>
        <w:rPr>
          <w:rFonts w:hint="eastAsia" w:ascii="仿宋_GB2312" w:hAnsi="仿宋_GB2312" w:eastAsia="仿宋_GB2312" w:cs="仿宋_GB2312"/>
          <w:bCs/>
          <w:color w:val="auto"/>
          <w:sz w:val="24"/>
          <w:szCs w:val="24"/>
          <w:highlight w:val="none"/>
        </w:rPr>
        <w:t>的要求。利器盒侧面明显处应根据工作规范印制警示标志，警告语为“警告!损伤性废物”。</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（4）满盛装量的利器盒从1.2m高处自由跌落至水泥地面，连续3次，不会出现破裂、被刺穿等情况。</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（5）利器盒的规格尺寸根据采购清单确定。</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4.医疗废物垃圾桶要求</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（1）医疗废物垃圾桶整体应防液体渗漏，应便于清洗和消毒。</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（2）医疗废物垃圾桶整体为淡黄，颜色应符合GB/T 3181中Y06的要求。桶体侧面或桶身明显处应印（喷）制警示标志和警告语。</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（3）医疗废物垃圾桶外观要求</w:t>
      </w:r>
    </w:p>
    <w:p>
      <w:pPr>
        <w:spacing w:line="340" w:lineRule="exact"/>
        <w:ind w:firstLine="720" w:firstLineChars="3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①医疗废物垃圾桶整体装配密闭，桶体与桶盖能牢固扣紧，扣紧后不分离。</w:t>
      </w:r>
    </w:p>
    <w:p>
      <w:pPr>
        <w:spacing w:line="340" w:lineRule="exact"/>
        <w:ind w:firstLine="720" w:firstLineChars="3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②表面光滑平整，完整无裂损，没有明显凹陷，边缘及提手无毛刺。</w:t>
      </w:r>
    </w:p>
    <w:p>
      <w:pPr>
        <w:spacing w:line="340" w:lineRule="exact"/>
        <w:ind w:firstLine="720" w:firstLineChars="3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③医疗废物垃圾桶的桶底和顶部有配合牙槽，具有防滑功能。</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（4）医疗废物垃圾桶规格尺寸根据采购清单确定。</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5.利器盒、医疗废物垃圾桶均应符合HJ421-2008《医疗废物专用包装袋、容器和警示标志标准》或相应最新文件要求，否则视作不合格商品，一切责任由供应商承担。</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6.若采购人在验收货物时发现供应商供应的货物存在假冒伪劣或次品情况，出现假冒伪劣或次品，供应商须在2日内更换货物。</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7.★若连续三个月验收货物时发现有假冒伪劣或次品情况，不论数量多少，采购人有权终止合同。（</w:t>
      </w:r>
      <w:r>
        <w:rPr>
          <w:rFonts w:hint="eastAsia" w:ascii="仿宋_GB2312" w:hAnsi="仿宋_GB2312" w:eastAsia="仿宋_GB2312" w:cs="仿宋_GB2312"/>
          <w:bCs/>
          <w:color w:val="auto"/>
          <w:sz w:val="24"/>
          <w:szCs w:val="24"/>
          <w:highlight w:val="none"/>
          <w:lang w:val="en-US" w:eastAsia="zh-CN"/>
        </w:rPr>
        <w:t>采购时需</w:t>
      </w:r>
      <w:r>
        <w:rPr>
          <w:rFonts w:hint="eastAsia" w:ascii="仿宋_GB2312" w:hAnsi="仿宋_GB2312" w:eastAsia="仿宋_GB2312" w:cs="仿宋_GB2312"/>
          <w:bCs/>
          <w:color w:val="auto"/>
          <w:sz w:val="24"/>
          <w:szCs w:val="24"/>
          <w:highlight w:val="none"/>
        </w:rPr>
        <w:t>提供承诺函</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市场调研不作要求</w:t>
      </w:r>
      <w:r>
        <w:rPr>
          <w:rFonts w:hint="eastAsia" w:ascii="仿宋_GB2312" w:hAnsi="仿宋_GB2312" w:eastAsia="仿宋_GB2312" w:cs="仿宋_GB2312"/>
          <w:bCs/>
          <w:color w:val="auto"/>
          <w:sz w:val="24"/>
          <w:szCs w:val="24"/>
          <w:highlight w:val="none"/>
        </w:rPr>
        <w:t>）</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8.若供应商提供的商品不适用，在采购人不损坏商品及其包装的情况下，采购人有权要求供应商6小时内更换商品。</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供应商需采用厂家标准包装，且必须满足运输安全要求和规范规定，由于包装和运输过程中造成锐器盒损坏，一切责任由供应商承担。供应商有义务保证货物包装的完好无损，采购人有权拒收供应商交付的已损坏的包装物以及其中的货物，供应商负责2日内更换商品。</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10.货物的包装：以品种及规格为单位进行装箱，在每个包装箱上注明名称。</w:t>
      </w:r>
    </w:p>
    <w:p>
      <w:pPr>
        <w:spacing w:line="34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(二)样品要求</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供应商投标时应提供采购货物清单中带“●”的品种为样品，</w:t>
      </w:r>
      <w:r>
        <w:rPr>
          <w:rFonts w:hint="eastAsia" w:ascii="仿宋_GB2312" w:hAnsi="仿宋_GB2312" w:eastAsia="仿宋_GB2312" w:cs="仿宋_GB2312"/>
          <w:bCs/>
          <w:color w:val="auto"/>
          <w:sz w:val="24"/>
          <w:szCs w:val="24"/>
          <w:highlight w:val="none"/>
          <w:lang w:val="en-US" w:eastAsia="zh-CN"/>
        </w:rPr>
        <w:t>规格参数详见采购项目清单</w:t>
      </w:r>
      <w:r>
        <w:rPr>
          <w:rFonts w:hint="eastAsia" w:ascii="仿宋_GB2312" w:hAnsi="仿宋_GB2312" w:eastAsia="仿宋_GB2312" w:cs="仿宋_GB2312"/>
          <w:bCs/>
          <w:color w:val="auto"/>
          <w:sz w:val="24"/>
          <w:szCs w:val="24"/>
          <w:highlight w:val="none"/>
        </w:rPr>
        <w:t>分别为：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48"/>
        <w:gridCol w:w="2798"/>
        <w:gridCol w:w="96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spacing w:line="3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2048" w:type="dxa"/>
            <w:noWrap w:val="0"/>
            <w:vAlign w:val="center"/>
          </w:tcPr>
          <w:p>
            <w:pPr>
              <w:spacing w:line="3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《采购</w:t>
            </w:r>
            <w:r>
              <w:rPr>
                <w:rFonts w:hint="eastAsia" w:ascii="仿宋_GB2312" w:hAnsi="仿宋_GB2312" w:eastAsia="仿宋_GB2312" w:cs="仿宋_GB2312"/>
                <w:b/>
                <w:color w:val="auto"/>
                <w:sz w:val="24"/>
                <w:szCs w:val="24"/>
                <w:highlight w:val="none"/>
                <w:lang w:val="en-US" w:eastAsia="zh-CN"/>
              </w:rPr>
              <w:t>项目</w:t>
            </w:r>
            <w:r>
              <w:rPr>
                <w:rFonts w:hint="eastAsia" w:ascii="仿宋_GB2312" w:hAnsi="仿宋_GB2312" w:eastAsia="仿宋_GB2312" w:cs="仿宋_GB2312"/>
                <w:b/>
                <w:color w:val="auto"/>
                <w:sz w:val="24"/>
                <w:szCs w:val="24"/>
                <w:highlight w:val="none"/>
              </w:rPr>
              <w:t>清单》序号</w:t>
            </w:r>
          </w:p>
        </w:tc>
        <w:tc>
          <w:tcPr>
            <w:tcW w:w="2798" w:type="dxa"/>
            <w:noWrap w:val="0"/>
            <w:vAlign w:val="center"/>
          </w:tcPr>
          <w:p>
            <w:pPr>
              <w:spacing w:line="3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名称</w:t>
            </w:r>
          </w:p>
        </w:tc>
        <w:tc>
          <w:tcPr>
            <w:tcW w:w="962" w:type="dxa"/>
            <w:noWrap w:val="0"/>
            <w:vAlign w:val="center"/>
          </w:tcPr>
          <w:p>
            <w:pPr>
              <w:spacing w:line="3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容量</w:t>
            </w:r>
          </w:p>
        </w:tc>
        <w:tc>
          <w:tcPr>
            <w:tcW w:w="962" w:type="dxa"/>
            <w:noWrap w:val="0"/>
            <w:vAlign w:val="center"/>
          </w:tcPr>
          <w:p>
            <w:pPr>
              <w:spacing w:line="3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数量</w:t>
            </w:r>
          </w:p>
        </w:tc>
        <w:tc>
          <w:tcPr>
            <w:tcW w:w="962" w:type="dxa"/>
            <w:noWrap w:val="0"/>
            <w:vAlign w:val="center"/>
          </w:tcPr>
          <w:p>
            <w:pPr>
              <w:spacing w:line="3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7"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2048" w:type="dxa"/>
            <w:noWrap w:val="0"/>
            <w:vAlign w:val="center"/>
          </w:tcPr>
          <w:p>
            <w:pPr>
              <w:spacing w:line="340" w:lineRule="exact"/>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279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塑料利器盒（圆形）</w:t>
            </w:r>
          </w:p>
        </w:tc>
        <w:tc>
          <w:tcPr>
            <w:tcW w:w="9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4升</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p>
        </w:tc>
        <w:tc>
          <w:tcPr>
            <w:tcW w:w="2048" w:type="dxa"/>
            <w:noWrap w:val="0"/>
            <w:vAlign w:val="center"/>
          </w:tcPr>
          <w:p>
            <w:pPr>
              <w:spacing w:line="340" w:lineRule="exact"/>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8</w:t>
            </w:r>
          </w:p>
        </w:tc>
        <w:tc>
          <w:tcPr>
            <w:tcW w:w="279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塑料利器盒（方形）</w:t>
            </w:r>
          </w:p>
        </w:tc>
        <w:tc>
          <w:tcPr>
            <w:tcW w:w="9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13升</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w:t>
            </w:r>
          </w:p>
        </w:tc>
        <w:tc>
          <w:tcPr>
            <w:tcW w:w="2048" w:type="dxa"/>
            <w:noWrap w:val="0"/>
            <w:vAlign w:val="center"/>
          </w:tcPr>
          <w:p>
            <w:pPr>
              <w:spacing w:line="340" w:lineRule="exact"/>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9</w:t>
            </w:r>
          </w:p>
        </w:tc>
        <w:tc>
          <w:tcPr>
            <w:tcW w:w="279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塑料利器盒（方形）</w:t>
            </w:r>
          </w:p>
        </w:tc>
        <w:tc>
          <w:tcPr>
            <w:tcW w:w="9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15升</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spacing w:line="340" w:lineRule="exact"/>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2048" w:type="dxa"/>
            <w:noWrap w:val="0"/>
            <w:vAlign w:val="center"/>
          </w:tcPr>
          <w:p>
            <w:pPr>
              <w:spacing w:line="340" w:lineRule="exact"/>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13</w:t>
            </w:r>
          </w:p>
        </w:tc>
        <w:tc>
          <w:tcPr>
            <w:tcW w:w="279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医疗废物脚踏垃圾桶</w:t>
            </w:r>
          </w:p>
        </w:tc>
        <w:tc>
          <w:tcPr>
            <w:tcW w:w="9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auto"/>
                <w:sz w:val="24"/>
                <w:szCs w:val="24"/>
                <w:highlight w:val="none"/>
              </w:rPr>
            </w:pPr>
            <w:r>
              <w:rPr>
                <w:rFonts w:hint="eastAsia" w:ascii="等线" w:hAnsi="等线" w:eastAsia="等线" w:cs="等线"/>
                <w:i w:val="0"/>
                <w:iCs w:val="0"/>
                <w:color w:val="000000"/>
                <w:kern w:val="0"/>
                <w:sz w:val="22"/>
                <w:szCs w:val="22"/>
                <w:u w:val="none"/>
                <w:lang w:val="en-US" w:eastAsia="zh-CN" w:bidi="ar"/>
              </w:rPr>
              <w:t>20升</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962" w:type="dxa"/>
            <w:noWrap w:val="0"/>
            <w:vAlign w:val="center"/>
          </w:tcPr>
          <w:p>
            <w:pPr>
              <w:spacing w:line="340" w:lineRule="exact"/>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个</w:t>
            </w:r>
          </w:p>
        </w:tc>
      </w:tr>
    </w:tbl>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1、所有供应商均需在递交响应文件的同时向采购机构提交实物样品，样品与响应文件分开提交。</w:t>
      </w:r>
    </w:p>
    <w:p>
      <w:p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2、实物样品符合采购文件的要求，规格按样品要求规格。</w:t>
      </w:r>
    </w:p>
    <w:p>
      <w:pPr>
        <w:spacing w:line="360" w:lineRule="auto"/>
        <w:ind w:firstLine="484" w:firstLineChars="20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3、采购人及采购代理机构对供应商所递交样品污损不负任何责任。未中标的供应商应在发出成交公告之日起 7 日内自行取回样品。7 日后不取回样品，则视</w:t>
      </w:r>
      <w:r>
        <w:rPr>
          <w:rFonts w:hint="eastAsia" w:ascii="仿宋_GB2312" w:hAnsi="仿宋_GB2312" w:eastAsia="仿宋_GB2312" w:cs="仿宋_GB2312"/>
          <w:sz w:val="24"/>
          <w:szCs w:val="24"/>
          <w:highlight w:val="none"/>
        </w:rPr>
        <w:t>为自动放弃样品的所有权，采购</w:t>
      </w:r>
      <w:r>
        <w:rPr>
          <w:rFonts w:hint="eastAsia" w:ascii="仿宋_GB2312" w:hAnsi="仿宋_GB2312" w:eastAsia="仿宋_GB2312" w:cs="仿宋_GB2312"/>
          <w:sz w:val="24"/>
          <w:szCs w:val="24"/>
          <w:highlight w:val="none"/>
          <w:lang w:val="en-US" w:eastAsia="zh-CN"/>
        </w:rPr>
        <w:t>方</w:t>
      </w:r>
      <w:r>
        <w:rPr>
          <w:rFonts w:hint="eastAsia" w:ascii="仿宋_GB2312" w:hAnsi="仿宋_GB2312" w:eastAsia="仿宋_GB2312" w:cs="仿宋_GB2312"/>
          <w:sz w:val="24"/>
          <w:szCs w:val="24"/>
          <w:highlight w:val="none"/>
        </w:rPr>
        <w:t>自行处置相关样品。成交供应商样品将作为验收依据。</w:t>
      </w:r>
    </w:p>
    <w:p>
      <w:pPr>
        <w:spacing w:line="34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（三）采购</w:t>
      </w:r>
      <w:r>
        <w:rPr>
          <w:rFonts w:hint="eastAsia" w:ascii="仿宋_GB2312" w:hAnsi="仿宋_GB2312" w:eastAsia="仿宋_GB2312" w:cs="仿宋_GB2312"/>
          <w:b/>
          <w:color w:val="auto"/>
          <w:sz w:val="24"/>
          <w:szCs w:val="24"/>
          <w:highlight w:val="none"/>
          <w:lang w:val="en-US" w:eastAsia="zh-CN"/>
        </w:rPr>
        <w:t>项目</w:t>
      </w:r>
      <w:r>
        <w:rPr>
          <w:rFonts w:hint="eastAsia" w:ascii="仿宋_GB2312" w:hAnsi="仿宋_GB2312" w:eastAsia="仿宋_GB2312" w:cs="仿宋_GB2312"/>
          <w:b/>
          <w:color w:val="auto"/>
          <w:sz w:val="24"/>
          <w:szCs w:val="24"/>
          <w:highlight w:val="none"/>
        </w:rPr>
        <w:t>清单</w:t>
      </w:r>
    </w:p>
    <w:p>
      <w:pPr>
        <w:spacing w:line="340" w:lineRule="exact"/>
        <w:ind w:firstLine="482" w:firstLineChars="200"/>
        <w:rPr>
          <w:rFonts w:hint="default"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详见附件1</w:t>
      </w:r>
    </w:p>
    <w:p>
      <w:pPr>
        <w:spacing w:line="340" w:lineRule="exact"/>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auto"/>
          <w:sz w:val="24"/>
          <w:szCs w:val="24"/>
          <w:highlight w:val="none"/>
        </w:rPr>
        <w:t>以上“规格”允差0.</w:t>
      </w: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cm，以上“参考年度数量”只作参考，以实际采购数量为准，采购人不保证本项目实际采购的货物数量。投标人应充分考虑合同期内因原材料、人员费用、运输等成本上涨所带来的风险。</w:t>
      </w:r>
    </w:p>
    <w:p>
      <w:pPr>
        <w:numPr>
          <w:ilvl w:val="0"/>
          <w:numId w:val="1"/>
        </w:numPr>
        <w:spacing w:line="340" w:lineRule="exact"/>
        <w:ind w:left="0" w:leftChars="0" w:firstLine="0" w:firstLineChars="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商务要求</w:t>
      </w:r>
    </w:p>
    <w:p>
      <w:pPr>
        <w:pStyle w:val="11"/>
        <w:numPr>
          <w:ilvl w:val="0"/>
          <w:numId w:val="2"/>
        </w:numPr>
        <w:spacing w:line="360" w:lineRule="auto"/>
        <w:ind w:left="997" w:hanging="855" w:firstLineChars="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highlight w:val="none"/>
        </w:rPr>
        <w:t>采购期：</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年，自签订合同之日起计算。实际执行期限的结束时间，以“采购金额累计达到本项目合同金额”或“采购期”</w:t>
      </w:r>
      <w:r>
        <w:rPr>
          <w:rFonts w:hint="eastAsia" w:ascii="仿宋_GB2312" w:hAnsi="仿宋_GB2312" w:eastAsia="仿宋_GB2312" w:cs="仿宋_GB2312"/>
          <w:sz w:val="24"/>
          <w:szCs w:val="24"/>
        </w:rPr>
        <w:t>到期，两者先到者合同结束。乙方按甲方需求分批送货。</w:t>
      </w:r>
    </w:p>
    <w:p>
      <w:pPr>
        <w:numPr>
          <w:ilvl w:val="0"/>
          <w:numId w:val="2"/>
        </w:numPr>
        <w:tabs>
          <w:tab w:val="left" w:pos="709"/>
          <w:tab w:val="left" w:pos="851"/>
        </w:tabs>
        <w:spacing w:line="360" w:lineRule="auto"/>
        <w:ind w:left="997" w:hanging="855"/>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送货时间：</w:t>
      </w:r>
      <w:r>
        <w:rPr>
          <w:rFonts w:hint="eastAsia" w:ascii="仿宋_GB2312" w:hAnsi="仿宋_GB2312" w:eastAsia="仿宋_GB2312" w:cs="仿宋_GB2312"/>
          <w:sz w:val="24"/>
          <w:szCs w:val="24"/>
        </w:rPr>
        <w:t>按采购人下单数量在</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天内完成单批次送货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紧急配送要求</w:t>
      </w:r>
      <w:r>
        <w:rPr>
          <w:rFonts w:hint="eastAsia" w:ascii="仿宋_GB2312" w:hAnsi="仿宋_GB2312" w:eastAsia="仿宋_GB2312" w:cs="仿宋_GB2312"/>
          <w:sz w:val="24"/>
          <w:szCs w:val="24"/>
          <w:lang w:bidi="ar"/>
        </w:rPr>
        <w:t>对采购人的服务通知，中标人在接报后</w:t>
      </w:r>
      <w:r>
        <w:rPr>
          <w:rFonts w:hint="eastAsia" w:ascii="仿宋_GB2312" w:hAnsi="仿宋_GB2312" w:eastAsia="仿宋_GB2312" w:cs="仿宋_GB2312"/>
          <w:b w:val="0"/>
          <w:bCs w:val="0"/>
          <w:sz w:val="24"/>
          <w:szCs w:val="24"/>
          <w:lang w:val="en-US" w:eastAsia="zh-CN" w:bidi="ar"/>
        </w:rPr>
        <w:t>2</w:t>
      </w:r>
      <w:r>
        <w:rPr>
          <w:rFonts w:hint="eastAsia" w:ascii="仿宋_GB2312" w:hAnsi="仿宋_GB2312" w:eastAsia="仿宋_GB2312" w:cs="仿宋_GB2312"/>
          <w:b w:val="0"/>
          <w:bCs w:val="0"/>
          <w:sz w:val="24"/>
          <w:szCs w:val="24"/>
          <w:lang w:bidi="ar"/>
        </w:rPr>
        <w:t>小时内响应，</w:t>
      </w:r>
      <w:r>
        <w:rPr>
          <w:rFonts w:hint="eastAsia" w:ascii="仿宋_GB2312" w:hAnsi="仿宋_GB2312" w:eastAsia="仿宋_GB2312" w:cs="仿宋_GB2312"/>
          <w:sz w:val="24"/>
          <w:szCs w:val="24"/>
          <w:lang w:val="en-US" w:eastAsia="zh-CN" w:bidi="ar"/>
        </w:rPr>
        <w:t>2天</w:t>
      </w:r>
      <w:r>
        <w:rPr>
          <w:rFonts w:hint="eastAsia" w:ascii="仿宋_GB2312" w:hAnsi="仿宋_GB2312" w:eastAsia="仿宋_GB2312" w:cs="仿宋_GB2312"/>
          <w:sz w:val="24"/>
          <w:szCs w:val="24"/>
          <w:lang w:bidi="ar"/>
        </w:rPr>
        <w:t>内处理完毕。</w:t>
      </w:r>
    </w:p>
    <w:p>
      <w:pPr>
        <w:spacing w:line="340" w:lineRule="exact"/>
        <w:ind w:firstLine="240" w:firstLineChars="100"/>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三</w:t>
      </w:r>
      <w:r>
        <w:rPr>
          <w:rFonts w:hint="eastAsia" w:ascii="仿宋_GB2312" w:hAnsi="仿宋_GB2312" w:eastAsia="仿宋_GB2312" w:cs="仿宋_GB2312"/>
          <w:b w:val="0"/>
          <w:bCs/>
          <w:color w:val="auto"/>
          <w:sz w:val="24"/>
          <w:szCs w:val="24"/>
          <w:highlight w:val="none"/>
        </w:rPr>
        <w:t>）供货要求</w:t>
      </w:r>
    </w:p>
    <w:p>
      <w:pPr>
        <w:spacing w:line="340" w:lineRule="exact"/>
        <w:ind w:firstLine="480" w:firstLineChars="20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合同生效后，供应商按采购人要求分批供货，供应商须避免在节假日或非上班时间发货。采购人根据实际要求每周2次向供应商发出采购清单及数量后，供应商须在2日内送到采购人指定地点。</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2、供应商确保存有充足货物（如仓储配置、货物调配能力、供货渠道等），能满足采购人紧急需求。</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（1）供应商应有独立且完整的生产线或稳定的供货渠道，确保有充足货物，满足采购人需求。</w:t>
      </w:r>
    </w:p>
    <w:p>
      <w:pPr>
        <w:widowControl/>
        <w:adjustRightInd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（2）供应商应有独立且符合仓库管理相关要求的仓储配置，确保货物安全存放，满足采购人在特殊应急情况下的需求。</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3、须按时按采购人的要求提供货物，不能以任何理由延误或断供。对于特殊天气、突发情况如生产源材料不足、生产线故障、配送车辆损坏等，供应商应有相关应急措施或方案。</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4、配送时需提供三联送货单，物品签收部门、采购人综合仓、供应商各执一联。</w:t>
      </w:r>
    </w:p>
    <w:p>
      <w:pPr>
        <w:adjustRightInd w:val="0"/>
        <w:snapToGrid w:val="0"/>
        <w:spacing w:line="360" w:lineRule="auto"/>
        <w:ind w:firstLine="480" w:firstLineChars="200"/>
        <w:rPr>
          <w:rFonts w:hint="eastAsia" w:ascii="仿宋_GB2312" w:hAnsi="仿宋_GB2312" w:eastAsia="仿宋_GB2312" w:cs="仿宋_GB2312"/>
          <w:sz w:val="24"/>
          <w:szCs w:val="24"/>
        </w:rPr>
      </w:pPr>
      <w:bookmarkStart w:id="0" w:name="OLE_LINK2"/>
      <w:bookmarkStart w:id="1" w:name="OLE_LINK1"/>
      <w:r>
        <w:rPr>
          <w:rFonts w:hint="eastAsia" w:ascii="仿宋_GB2312" w:hAnsi="仿宋_GB2312" w:eastAsia="仿宋_GB2312" w:cs="仿宋_GB2312"/>
          <w:sz w:val="24"/>
          <w:szCs w:val="24"/>
          <w:lang w:bidi="ar"/>
        </w:rPr>
        <w:t>5、送货人员穿着工作服，佩戴工作证，遵守医院管理规定，文明有礼，因供应商送货人员在采购人处产生的一切纠纷争议，由供应商承担相应的责任并负责解决，与采购人无关。</w:t>
      </w:r>
    </w:p>
    <w:bookmarkEnd w:id="0"/>
    <w:bookmarkEnd w:id="1"/>
    <w:p>
      <w:pPr>
        <w:adjustRightInd w:val="0"/>
        <w:snapToGrid w:val="0"/>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6、采购单位不为中标人提供拉车、仓库和车位等基础设施，中标人配送时应当自行承担相应费用。</w:t>
      </w:r>
    </w:p>
    <w:p>
      <w:pPr>
        <w:pStyle w:val="11"/>
        <w:numPr>
          <w:ilvl w:val="0"/>
          <w:numId w:val="0"/>
        </w:numPr>
        <w:adjustRightInd w:val="0"/>
        <w:snapToGrid w:val="0"/>
        <w:spacing w:line="360" w:lineRule="auto"/>
        <w:ind w:leftChars="0" w:firstLine="480" w:firstLineChars="200"/>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7、交货地点：</w:t>
      </w:r>
      <w:r>
        <w:rPr>
          <w:rFonts w:hint="eastAsia" w:ascii="仿宋_GB2312" w:hAnsi="仿宋_GB2312" w:eastAsia="仿宋_GB2312" w:cs="仿宋_GB2312"/>
          <w:sz w:val="24"/>
          <w:szCs w:val="24"/>
          <w:lang w:bidi="ar"/>
        </w:rPr>
        <w:t>广州医科大学附属番禺中心医院（广州市番禺区桥南街福愉东路8号）</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广州市番禺区第七人民医院（番禺区石楼镇人民路149）</w:t>
      </w:r>
      <w:r>
        <w:rPr>
          <w:rFonts w:hint="eastAsia" w:ascii="仿宋_GB2312" w:hAnsi="仿宋_GB2312" w:eastAsia="仿宋_GB2312" w:cs="仿宋_GB2312"/>
          <w:sz w:val="24"/>
          <w:szCs w:val="24"/>
          <w:lang w:eastAsia="zh-CN" w:bidi="ar"/>
        </w:rPr>
        <w:t>。</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sz w:val="24"/>
          <w:szCs w:val="24"/>
          <w:lang w:bidi="ar"/>
        </w:rPr>
        <w:t>★</w:t>
      </w:r>
      <w:r>
        <w:rPr>
          <w:rFonts w:hint="eastAsia" w:ascii="仿宋_GB2312" w:hAnsi="仿宋_GB2312" w:eastAsia="仿宋_GB2312" w:cs="仿宋_GB2312"/>
          <w:sz w:val="24"/>
          <w:szCs w:val="24"/>
          <w:lang w:val="en-US" w:eastAsia="zh-CN" w:bidi="ar"/>
        </w:rPr>
        <w:t>8</w:t>
      </w:r>
      <w:r>
        <w:rPr>
          <w:rFonts w:hint="eastAsia" w:ascii="仿宋_GB2312" w:hAnsi="仿宋_GB2312" w:eastAsia="仿宋_GB2312" w:cs="仿宋_GB2312"/>
          <w:sz w:val="24"/>
          <w:szCs w:val="24"/>
          <w:lang w:bidi="ar"/>
        </w:rPr>
        <w:t>、采购人有多个配送点，有约100个配送点（科室/部门），要求中标人需具有一定的配送能力，并且根据各单位实际配送点的情况签订配送合同条款。中标人须将货物配送到采购人指定地点。</w:t>
      </w:r>
    </w:p>
    <w:p>
      <w:pPr>
        <w:spacing w:line="34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（二）包装、运输、保险</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1.供应商提供的全部产品均应按标准保护措施进行包装，以防止产品在运转中损坏，确保产品安全无损运抵指定地点，对包装另有规定除外。</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.产品包装要求：必须按照国家相关规定附有</w:t>
      </w:r>
      <w:r>
        <w:rPr>
          <w:rFonts w:hint="eastAsia" w:ascii="仿宋_GB2312" w:hAnsi="仿宋_GB2312" w:eastAsia="仿宋_GB2312" w:cs="仿宋_GB2312"/>
          <w:bCs/>
          <w:color w:val="auto"/>
          <w:sz w:val="24"/>
          <w:szCs w:val="24"/>
          <w:highlight w:val="none"/>
          <w:lang w:val="en-US" w:eastAsia="zh-CN"/>
        </w:rPr>
        <w:t>如</w:t>
      </w:r>
      <w:r>
        <w:rPr>
          <w:rFonts w:hint="eastAsia" w:ascii="仿宋_GB2312" w:hAnsi="仿宋_GB2312" w:eastAsia="仿宋_GB2312" w:cs="仿宋_GB2312"/>
          <w:bCs/>
          <w:color w:val="auto"/>
          <w:sz w:val="24"/>
          <w:szCs w:val="24"/>
          <w:highlight w:val="none"/>
        </w:rPr>
        <w:t>名称、批号、规格、型号、日期、有效期等中文标识（包括大包装、小包装等）。</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.所有提供的产品剩余保存期不得少于原有保质期的三分之二。</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.包装应足以承受整个过程中的运输、转运、贮存等，并考虑广州地区的气候特点。</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.货物在验收合格前的保管由供应商负责，供应商负责其派出的现场服务人员人身意外保险。</w:t>
      </w:r>
    </w:p>
    <w:p>
      <w:pPr>
        <w:spacing w:line="34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（三）验收</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1.供应商提供的货物必须符合采购人的要求，不得以假乱真、以次充好，不得破损，不得错乱，包括：（1）规格、数量；（2）质量、外观；（3）款式、制作工艺、色彩（按样品验收）。</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2.供应商提供的货物应完全按照用户需求书的产品材质要求及标准执行。</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3.货物送达采购人指定的地点后，由双方工作人员按送货单进行初步的检货验收和签名确认。初检仅代表采购人收到供应商送达货物的数量，并不代表采购人已经认可供应商货物的质量。</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本项目在验收中如发现货物不符合合同的约定，采购人有权拒绝接受货物，产品验收不合格的或事后发现以假乱真、以次充好的，采购人有权无条件退货，供应商应在2日内提供符合合同约定的产品，否则，视为供应商逾期交货。供应商对质量不符合要求的货物不予退换货，采购人不予支付该批货物货款。</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合同期间，供应商第一次逾期交货，采购人口头提醒；供应商第二次逾期交货，采购人书面提醒；供应商第三次逾期交货，采购人将对当月货款的10%进行扣罚；此后供应商出现逾期交货，采购人有权终止本合同。</w:t>
      </w:r>
    </w:p>
    <w:p>
      <w:pPr>
        <w:spacing w:line="34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（四）质量保证及售后服务</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1.产品的保质期：1年或以上，特殊产品按产品要求执行。</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2.必须提供目前市场上技术较先进，成熟的原装、全新产品，并符合国家有关标准。</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3.必须对项目中涉及的产品提供质量保证书。</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必须保证所有货物为正货，需提供产品合格证、质量检验证书。供应商可通过电话或书面方式解答产品使用方面的疑问，必要时派驻技术人员专门服务。白天4小时到达现场，夜间12小时内到达现场，若不能解决问题，须24小时内提供相同规格的产品作为替代品。</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5.产品如有质量问题（如破损、变质、过期等非预期情况），须无条件给予退换。</w:t>
      </w:r>
    </w:p>
    <w:p>
      <w:pPr>
        <w:spacing w:line="34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（五）付款方式</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1.本项目所需货物根据采购人的需求分期分批供应，以每笔订单的实际采购数量为准。</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对应品种货物中标单价 = 对应品种货物单价限价×(1-中标下浮率)；</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结算金额 = ∑（对应品种货物中标单价×每月的实际采购数量）。</w:t>
      </w:r>
    </w:p>
    <w:p>
      <w:pPr>
        <w:spacing w:line="340" w:lineRule="exact"/>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2.供应商每月按实际供货给采购人指定科室已签收的送货单、发票给采购人，采购人收到供应商提交的签收凭证、发票，核对无误后，于5个工作日内支付该月的货款。</w:t>
      </w:r>
    </w:p>
    <w:p>
      <w:pPr>
        <w:numPr>
          <w:ilvl w:val="0"/>
          <w:numId w:val="0"/>
        </w:numPr>
        <w:spacing w:line="360" w:lineRule="auto"/>
        <w:ind w:right="-227" w:rightChars="-108"/>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5B89E"/>
    <w:multiLevelType w:val="multilevel"/>
    <w:tmpl w:val="8B95B89E"/>
    <w:lvl w:ilvl="0" w:tentative="0">
      <w:start w:val="1"/>
      <w:numFmt w:val="japaneseCounting"/>
      <w:lvlText w:val="（%1）"/>
      <w:lvlJc w:val="left"/>
      <w:pPr>
        <w:ind w:left="997" w:hanging="855"/>
      </w:pPr>
      <w:rPr>
        <w:rFonts w:hint="eastAsia"/>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1">
    <w:nsid w:val="5208384F"/>
    <w:multiLevelType w:val="multilevel"/>
    <w:tmpl w:val="5208384F"/>
    <w:lvl w:ilvl="0" w:tentative="0">
      <w:start w:val="1"/>
      <w:numFmt w:val="japaneseCounting"/>
      <w:lvlText w:val="%1、"/>
      <w:lvlJc w:val="left"/>
      <w:pPr>
        <w:ind w:left="862"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10.2.240.65:8888/seeyon/officeservlet"/>
  </w:docVars>
  <w:rsids>
    <w:rsidRoot w:val="00A712C6"/>
    <w:rsid w:val="000C4716"/>
    <w:rsid w:val="00130936"/>
    <w:rsid w:val="00144FF5"/>
    <w:rsid w:val="00225F2B"/>
    <w:rsid w:val="002563B5"/>
    <w:rsid w:val="00280764"/>
    <w:rsid w:val="002E043A"/>
    <w:rsid w:val="002F448C"/>
    <w:rsid w:val="003A7834"/>
    <w:rsid w:val="00403922"/>
    <w:rsid w:val="00443DC0"/>
    <w:rsid w:val="004D78E9"/>
    <w:rsid w:val="0058201E"/>
    <w:rsid w:val="005D3FA7"/>
    <w:rsid w:val="00683473"/>
    <w:rsid w:val="006B090E"/>
    <w:rsid w:val="006E16BB"/>
    <w:rsid w:val="00754793"/>
    <w:rsid w:val="00817525"/>
    <w:rsid w:val="00845352"/>
    <w:rsid w:val="008808E2"/>
    <w:rsid w:val="008E400A"/>
    <w:rsid w:val="00940F9E"/>
    <w:rsid w:val="009449F4"/>
    <w:rsid w:val="00A22976"/>
    <w:rsid w:val="00A50B88"/>
    <w:rsid w:val="00A712C6"/>
    <w:rsid w:val="00A764B5"/>
    <w:rsid w:val="00AA7677"/>
    <w:rsid w:val="00AE0915"/>
    <w:rsid w:val="00B0255B"/>
    <w:rsid w:val="00B03723"/>
    <w:rsid w:val="00B158D3"/>
    <w:rsid w:val="00B2353A"/>
    <w:rsid w:val="00B57DB8"/>
    <w:rsid w:val="00B82891"/>
    <w:rsid w:val="00BA15C0"/>
    <w:rsid w:val="00CA3C8B"/>
    <w:rsid w:val="00CC022E"/>
    <w:rsid w:val="00D477D5"/>
    <w:rsid w:val="00DE27DB"/>
    <w:rsid w:val="00EA105A"/>
    <w:rsid w:val="00EB31C3"/>
    <w:rsid w:val="00EB33CB"/>
    <w:rsid w:val="00EC0420"/>
    <w:rsid w:val="00F27EF5"/>
    <w:rsid w:val="00FC66FA"/>
    <w:rsid w:val="03E82999"/>
    <w:rsid w:val="042B32CA"/>
    <w:rsid w:val="0BFF3F54"/>
    <w:rsid w:val="10332810"/>
    <w:rsid w:val="172F0B4A"/>
    <w:rsid w:val="210F2AFB"/>
    <w:rsid w:val="222C0C9D"/>
    <w:rsid w:val="277A2F6A"/>
    <w:rsid w:val="277C72FF"/>
    <w:rsid w:val="29FB0F1E"/>
    <w:rsid w:val="3E5560F6"/>
    <w:rsid w:val="40CD3519"/>
    <w:rsid w:val="433526E2"/>
    <w:rsid w:val="450F36EA"/>
    <w:rsid w:val="4CFFE5C3"/>
    <w:rsid w:val="518EDD06"/>
    <w:rsid w:val="555313D1"/>
    <w:rsid w:val="5B386883"/>
    <w:rsid w:val="5E79F5CD"/>
    <w:rsid w:val="5FE50595"/>
    <w:rsid w:val="5FEDDD49"/>
    <w:rsid w:val="5FFFBC9C"/>
    <w:rsid w:val="614134B7"/>
    <w:rsid w:val="64C45780"/>
    <w:rsid w:val="663F0F59"/>
    <w:rsid w:val="69B840C4"/>
    <w:rsid w:val="6AF35DAD"/>
    <w:rsid w:val="6B79B3C9"/>
    <w:rsid w:val="6BCF8A5C"/>
    <w:rsid w:val="6E1A2C6F"/>
    <w:rsid w:val="6FDE9DF3"/>
    <w:rsid w:val="6FFE0D13"/>
    <w:rsid w:val="75F774C3"/>
    <w:rsid w:val="76650B0D"/>
    <w:rsid w:val="7A7F4932"/>
    <w:rsid w:val="7BB967A7"/>
    <w:rsid w:val="7CEC351A"/>
    <w:rsid w:val="7E568809"/>
    <w:rsid w:val="7FFECABA"/>
    <w:rsid w:val="93AE842C"/>
    <w:rsid w:val="AFB884C7"/>
    <w:rsid w:val="BCFBF81E"/>
    <w:rsid w:val="E1649CA0"/>
    <w:rsid w:val="E73FD57B"/>
    <w:rsid w:val="E7DE805C"/>
    <w:rsid w:val="F7DF5634"/>
    <w:rsid w:val="FDFB4439"/>
    <w:rsid w:val="FE4D6121"/>
    <w:rsid w:val="FF1F0119"/>
    <w:rsid w:val="FF35D140"/>
    <w:rsid w:val="FFBF0D33"/>
    <w:rsid w:val="FFEFF9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Plain Text"/>
    <w:basedOn w:val="1"/>
    <w:link w:val="9"/>
    <w:qFormat/>
    <w:uiPriority w:val="0"/>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纯文本 字符"/>
    <w:link w:val="3"/>
    <w:qFormat/>
    <w:uiPriority w:val="0"/>
    <w:rPr>
      <w:rFonts w:ascii="宋体" w:hAnsi="Courier New" w:eastAsia="宋体" w:cs="Courier New"/>
      <w:szCs w:val="21"/>
    </w:rPr>
  </w:style>
  <w:style w:type="character" w:customStyle="1" w:styleId="10">
    <w:name w:val="纯文本 Char1"/>
    <w:basedOn w:val="7"/>
    <w:semiHidden/>
    <w:qFormat/>
    <w:uiPriority w:val="99"/>
    <w:rPr>
      <w:rFonts w:ascii="宋体" w:hAnsi="Courier New" w:eastAsia="宋体" w:cs="Courier New"/>
      <w:szCs w:val="21"/>
    </w:rPr>
  </w:style>
  <w:style w:type="paragraph" w:styleId="11">
    <w:name w:val="List Paragraph"/>
    <w:basedOn w:val="1"/>
    <w:qFormat/>
    <w:uiPriority w:val="34"/>
    <w:pPr>
      <w:ind w:firstLine="420" w:firstLineChars="200"/>
    </w:pPr>
  </w:style>
  <w:style w:type="character" w:customStyle="1" w:styleId="12">
    <w:name w:val="批注框文本 字符"/>
    <w:basedOn w:val="7"/>
    <w:link w:val="4"/>
    <w:semiHidden/>
    <w:qFormat/>
    <w:uiPriority w:val="99"/>
    <w:rPr>
      <w:rFonts w:ascii="Times New Roman" w:hAnsi="Times New Roman" w:eastAsia="宋体" w:cs="Times New Roman"/>
      <w:sz w:val="18"/>
      <w:szCs w:val="18"/>
    </w:rPr>
  </w:style>
  <w:style w:type="character" w:customStyle="1" w:styleId="13">
    <w:name w:val="批注文字 字符"/>
    <w:basedOn w:val="7"/>
    <w:link w:val="2"/>
    <w:semiHidden/>
    <w:qFormat/>
    <w:uiPriority w:val="99"/>
    <w:rPr>
      <w:rFonts w:ascii="Times New Roman" w:hAnsi="Times New Roman" w:eastAsia="宋体" w:cs="Times New Roman"/>
      <w:kern w:val="2"/>
      <w:sz w:val="21"/>
      <w:szCs w:val="24"/>
    </w:rPr>
  </w:style>
  <w:style w:type="character" w:customStyle="1" w:styleId="14">
    <w:name w:val="批注主题 字符"/>
    <w:basedOn w:val="13"/>
    <w:link w:val="5"/>
    <w:semiHidden/>
    <w:qFormat/>
    <w:uiPriority w:val="99"/>
    <w:rPr>
      <w:rFonts w:ascii="Times New Roman" w:hAnsi="Times New Roman" w:eastAsia="宋体" w:cs="Times New Roman"/>
      <w:b/>
      <w:bCs/>
      <w:kern w:val="2"/>
      <w:sz w:val="21"/>
      <w:szCs w:val="24"/>
    </w:rPr>
  </w:style>
  <w:style w:type="character" w:customStyle="1" w:styleId="15">
    <w:name w:val="font21"/>
    <w:basedOn w:val="7"/>
    <w:qFormat/>
    <w:uiPriority w:val="0"/>
    <w:rPr>
      <w:rFonts w:hint="eastAsia" w:ascii="宋体" w:hAnsi="宋体" w:eastAsia="宋体" w:cs="宋体"/>
      <w:color w:val="000000"/>
      <w:sz w:val="21"/>
      <w:szCs w:val="21"/>
      <w:u w:val="none"/>
    </w:rPr>
  </w:style>
  <w:style w:type="character" w:customStyle="1" w:styleId="16">
    <w:name w:val="font11"/>
    <w:basedOn w:val="7"/>
    <w:qFormat/>
    <w:uiPriority w:val="0"/>
    <w:rPr>
      <w:rFonts w:hint="eastAsia" w:ascii="宋体" w:hAnsi="宋体" w:eastAsia="宋体" w:cs="宋体"/>
      <w:b/>
      <w:bCs/>
      <w:color w:val="000000"/>
      <w:sz w:val="21"/>
      <w:szCs w:val="21"/>
      <w:u w:val="none"/>
    </w:rPr>
  </w:style>
  <w:style w:type="character" w:customStyle="1" w:styleId="17">
    <w:name w:val="font51"/>
    <w:basedOn w:val="7"/>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3405</Words>
  <Characters>3497</Characters>
  <Lines>29</Lines>
  <Paragraphs>8</Paragraphs>
  <TotalTime>5</TotalTime>
  <ScaleCrop>false</ScaleCrop>
  <LinksUpToDate>false</LinksUpToDate>
  <CharactersWithSpaces>3508</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2023-10-13T08:17:00Z</dcterms:created>
  <dc:creator>黄碧莹（后勤保障科）</dc:creator>
  <cp:lastModifiedBy>〖stone〗</cp:lastModifiedBy>
  <dcterms:modified xsi:type="dcterms:W3CDTF">2025-09-18T11:59:57Z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C1B731EA0D60440CABE204F3E2EEAAD5_13</vt:lpwstr>
  </property>
  <property fmtid="{D5CDD505-2E9C-101B-9397-08002B2CF9AE}" pid="4" name="KSOTemplateDocerSaveRecord">
    <vt:lpwstr>eyJoZGlkIjoiYzllMTAwMzIxOGJlMTUzYjNkYzQ2YzVhODNhNDViNTEiLCJ1c2VySWQiOiIyMTM4MzczODUifQ==</vt:lpwstr>
  </property>
</Properties>
</file>