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3F" w:rsidRDefault="00E1474F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革兰氏染色仪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项目市场调查公告</w:t>
      </w:r>
    </w:p>
    <w:p w:rsidR="00197C3F" w:rsidRDefault="00197C3F">
      <w:pPr>
        <w:pStyle w:val="a5"/>
      </w:pPr>
    </w:p>
    <w:p w:rsidR="00197C3F" w:rsidRDefault="00E1474F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革兰氏染色仪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197C3F" w:rsidRDefault="00E1474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9117" w:type="dxa"/>
        <w:tblLook w:val="04A0" w:firstRow="1" w:lastRow="0" w:firstColumn="1" w:lastColumn="0" w:noHBand="0" w:noVBand="1"/>
      </w:tblPr>
      <w:tblGrid>
        <w:gridCol w:w="1389"/>
        <w:gridCol w:w="3174"/>
        <w:gridCol w:w="2277"/>
        <w:gridCol w:w="2277"/>
      </w:tblGrid>
      <w:tr w:rsidR="00197C3F">
        <w:trPr>
          <w:trHeight w:val="511"/>
        </w:trPr>
        <w:tc>
          <w:tcPr>
            <w:tcW w:w="1389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3174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277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277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197C3F">
        <w:trPr>
          <w:trHeight w:val="759"/>
        </w:trPr>
        <w:tc>
          <w:tcPr>
            <w:tcW w:w="1389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197C3F" w:rsidRDefault="00E1474F">
            <w:pPr>
              <w:spacing w:before="24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革兰氏染色仪</w:t>
            </w:r>
          </w:p>
        </w:tc>
        <w:tc>
          <w:tcPr>
            <w:tcW w:w="2277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277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</w:t>
            </w:r>
          </w:p>
        </w:tc>
      </w:tr>
    </w:tbl>
    <w:p w:rsidR="00197C3F" w:rsidRDefault="00197C3F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197C3F" w:rsidRDefault="00E1474F">
      <w:pPr>
        <w:pStyle w:val="af1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09"/>
        <w:gridCol w:w="3938"/>
        <w:gridCol w:w="2578"/>
      </w:tblGrid>
      <w:tr w:rsidR="00197C3F">
        <w:tc>
          <w:tcPr>
            <w:tcW w:w="705" w:type="dxa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09" w:type="dxa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38" w:type="dxa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（仅供参会）</w:t>
            </w:r>
          </w:p>
        </w:tc>
        <w:tc>
          <w:tcPr>
            <w:tcW w:w="2578" w:type="dxa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197C3F">
        <w:tc>
          <w:tcPr>
            <w:tcW w:w="705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09" w:type="dxa"/>
            <w:vAlign w:val="center"/>
          </w:tcPr>
          <w:p w:rsidR="00197C3F" w:rsidRDefault="00E147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革兰氏染色仪</w:t>
            </w:r>
          </w:p>
        </w:tc>
        <w:tc>
          <w:tcPr>
            <w:tcW w:w="3938" w:type="dxa"/>
          </w:tcPr>
          <w:p w:rsidR="00197C3F" w:rsidRDefault="00E1474F">
            <w:pPr>
              <w:pStyle w:val="af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eastAsiaTheme="majorEastAsia" w:hAnsiTheme="majorEastAsia" w:cstheme="majorEastAsia"/>
                <w:b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主要用途：</w:t>
            </w:r>
          </w:p>
          <w:p w:rsidR="00197C3F" w:rsidRDefault="00E1474F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主要用于临床微生物标本的革兰氏染色，实现染色过程的自动化、标准化，提高染色质量和检验效率。</w:t>
            </w:r>
          </w:p>
          <w:p w:rsidR="00197C3F" w:rsidRDefault="00E1474F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二、功能与技术参数需求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197C3F" w:rsidRDefault="00E1474F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1.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具备全自动染色功能：支持包括（但不限于）自动加样、清洗、脱色、复染等全流程自动化操作。</w:t>
            </w:r>
          </w:p>
          <w:p w:rsidR="00197C3F" w:rsidRDefault="00E1474F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2.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具备染色流程灵活性：支持包括（但不限于）标准染色程序的预设及用户自定义程序编辑功能。</w:t>
            </w:r>
          </w:p>
          <w:p w:rsidR="00197C3F" w:rsidRDefault="00E1474F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3.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具备染色质量与生物安全功能：支持包括（但不限于）染色均匀性控制、废液集中收集、或具备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HEPA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过滤或紫外线消毒等生物安全设计等。</w:t>
            </w:r>
          </w:p>
          <w:p w:rsidR="00197C3F" w:rsidRDefault="00E1474F">
            <w:pPr>
              <w:adjustRightInd w:val="0"/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lastRenderedPageBreak/>
              <w:t>三、</w:t>
            </w:r>
            <w:r>
              <w:rPr>
                <w:rFonts w:ascii="宋体" w:hAnsi="宋体" w:cs="宋体" w:hint="eastAsia"/>
                <w:b/>
                <w:szCs w:val="21"/>
              </w:rPr>
              <w:t>关键技术参数：（附表）</w:t>
            </w:r>
          </w:p>
          <w:p w:rsidR="00197C3F" w:rsidRDefault="00E1474F">
            <w:pPr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需明晰表述包括（但不限于）单轮次最大</w:t>
            </w:r>
            <w:r>
              <w:rPr>
                <w:rFonts w:ascii="宋体" w:hAnsi="宋体" w:cs="宋体" w:hint="eastAsia"/>
                <w:szCs w:val="21"/>
              </w:rPr>
              <w:t>处理玻片数量、平均染色时间、染液管理系统（如瓶装、卡夹式等）、染液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玻片估算成本。</w:t>
            </w:r>
          </w:p>
        </w:tc>
        <w:tc>
          <w:tcPr>
            <w:tcW w:w="2578" w:type="dxa"/>
          </w:tcPr>
          <w:p w:rsidR="00197C3F" w:rsidRDefault="00E1474F">
            <w:pPr>
              <w:pStyle w:val="61"/>
              <w:wordWrap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主机；</w:t>
            </w:r>
          </w:p>
          <w:p w:rsidR="00197C3F" w:rsidRDefault="00E1474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197C3F" w:rsidRDefault="00E1474F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适配软件或模块；</w:t>
            </w:r>
          </w:p>
          <w:p w:rsidR="00197C3F" w:rsidRDefault="00E1474F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其它；</w:t>
            </w:r>
          </w:p>
          <w:p w:rsidR="00197C3F" w:rsidRDefault="00E1474F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</w:tc>
      </w:tr>
    </w:tbl>
    <w:p w:rsidR="00197C3F" w:rsidRDefault="00E1474F">
      <w:pPr>
        <w:pStyle w:val="ab"/>
        <w:widowControl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关键技术参数附表：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1583"/>
        <w:gridCol w:w="2829"/>
        <w:gridCol w:w="2296"/>
        <w:gridCol w:w="2206"/>
      </w:tblGrid>
      <w:tr w:rsidR="00197C3F">
        <w:trPr>
          <w:trHeight w:val="716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2829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宋体" w:eastAsiaTheme="minorEastAsia" w:hAnsi="宋体" w:cs="宋体" w:hint="eastAsia"/>
                <w:b/>
                <w:szCs w:val="21"/>
              </w:rPr>
              <w:t>关键技术参数</w:t>
            </w:r>
          </w:p>
        </w:tc>
        <w:tc>
          <w:tcPr>
            <w:tcW w:w="2296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产品响应具体技术参数</w:t>
            </w:r>
          </w:p>
        </w:tc>
        <w:tc>
          <w:tcPr>
            <w:tcW w:w="2206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197C3F">
        <w:trPr>
          <w:trHeight w:val="662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1</w:t>
            </w:r>
          </w:p>
        </w:tc>
        <w:tc>
          <w:tcPr>
            <w:tcW w:w="2829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单轮次最大处理玻片数量</w:t>
            </w:r>
          </w:p>
        </w:tc>
        <w:tc>
          <w:tcPr>
            <w:tcW w:w="229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197C3F">
        <w:trPr>
          <w:trHeight w:val="558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2</w:t>
            </w:r>
          </w:p>
        </w:tc>
        <w:tc>
          <w:tcPr>
            <w:tcW w:w="2829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平均染色时间</w:t>
            </w:r>
          </w:p>
        </w:tc>
        <w:tc>
          <w:tcPr>
            <w:tcW w:w="229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197C3F">
        <w:trPr>
          <w:trHeight w:val="558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3</w:t>
            </w:r>
          </w:p>
        </w:tc>
        <w:tc>
          <w:tcPr>
            <w:tcW w:w="2829" w:type="dxa"/>
          </w:tcPr>
          <w:p w:rsidR="00197C3F" w:rsidRDefault="00E1474F">
            <w:pPr>
              <w:rPr>
                <w:rFonts w:ascii="Segoe UI" w:eastAsiaTheme="minorEastAsia" w:hAnsi="Segoe UI" w:cs="Segoe UI"/>
                <w:color w:val="0F1115"/>
                <w:sz w:val="23"/>
                <w:szCs w:val="23"/>
                <w:shd w:val="clear" w:color="auto" w:fill="FFFFFF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染液管理系统（如瓶装、卡夹式等）</w:t>
            </w:r>
          </w:p>
        </w:tc>
        <w:tc>
          <w:tcPr>
            <w:tcW w:w="229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197C3F">
        <w:trPr>
          <w:trHeight w:val="558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4</w:t>
            </w:r>
          </w:p>
        </w:tc>
        <w:tc>
          <w:tcPr>
            <w:tcW w:w="2829" w:type="dxa"/>
          </w:tcPr>
          <w:p w:rsidR="00197C3F" w:rsidRDefault="00E1474F">
            <w:pPr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染液</w:t>
            </w:r>
            <w:r>
              <w:rPr>
                <w:rFonts w:ascii="宋体" w:eastAsiaTheme="minorEastAsia" w:hAnsi="宋体" w:cs="宋体" w:hint="eastAsia"/>
                <w:szCs w:val="21"/>
              </w:rPr>
              <w:t>/</w:t>
            </w:r>
            <w:r>
              <w:rPr>
                <w:rFonts w:ascii="宋体" w:eastAsiaTheme="minorEastAsia" w:hAnsi="宋体" w:cs="宋体" w:hint="eastAsia"/>
                <w:szCs w:val="21"/>
              </w:rPr>
              <w:t>玻片估算成本</w:t>
            </w:r>
          </w:p>
        </w:tc>
        <w:tc>
          <w:tcPr>
            <w:tcW w:w="229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197C3F">
        <w:trPr>
          <w:trHeight w:val="558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其他（自荐）</w:t>
            </w:r>
          </w:p>
        </w:tc>
        <w:tc>
          <w:tcPr>
            <w:tcW w:w="2829" w:type="dxa"/>
          </w:tcPr>
          <w:p w:rsidR="00197C3F" w:rsidRDefault="00197C3F">
            <w:pPr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29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197C3F">
        <w:trPr>
          <w:trHeight w:val="1173"/>
        </w:trPr>
        <w:tc>
          <w:tcPr>
            <w:tcW w:w="1583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产品功能技术参数优势、特点（建议不超</w:t>
            </w:r>
            <w:r>
              <w:rPr>
                <w:rFonts w:asciiTheme="minorHAnsi" w:eastAsiaTheme="minorEastAsia" w:hAnsiTheme="minorHAnsi" w:cstheme="minorBidi"/>
                <w:b/>
              </w:rPr>
              <w:t>300</w:t>
            </w:r>
            <w:r>
              <w:rPr>
                <w:rFonts w:asciiTheme="minorHAnsi" w:eastAsiaTheme="minorEastAsia" w:hAnsiTheme="minorHAnsi" w:cstheme="minorBidi" w:hint="eastAsia"/>
                <w:b/>
              </w:rPr>
              <w:t>字说明</w:t>
            </w:r>
            <w:r>
              <w:rPr>
                <w:rFonts w:asciiTheme="minorHAnsi" w:eastAsiaTheme="minorEastAsia" w:hAnsiTheme="minorHAnsi" w:cstheme="minorBidi" w:hint="eastAsia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</w:rPr>
              <w:t>）</w:t>
            </w:r>
          </w:p>
        </w:tc>
        <w:tc>
          <w:tcPr>
            <w:tcW w:w="7331" w:type="dxa"/>
            <w:gridSpan w:val="3"/>
          </w:tcPr>
          <w:p w:rsidR="00197C3F" w:rsidRDefault="00197C3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</w:tbl>
    <w:p w:rsidR="00197C3F" w:rsidRDefault="00197C3F">
      <w:pPr>
        <w:pStyle w:val="ab"/>
        <w:widowControl/>
        <w:rPr>
          <w:b/>
          <w:bCs/>
        </w:rPr>
      </w:pPr>
    </w:p>
    <w:p w:rsidR="00197C3F" w:rsidRDefault="00E1474F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197C3F" w:rsidRDefault="00E1474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197C3F" w:rsidRDefault="00E1474F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197C3F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C3F" w:rsidRDefault="00E14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197C3F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C3F" w:rsidRDefault="00197C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97C3F" w:rsidRDefault="00197C3F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197C3F" w:rsidRDefault="00E1474F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</w:t>
      </w:r>
      <w:r>
        <w:rPr>
          <w:rFonts w:ascii="仿宋" w:eastAsia="仿宋" w:hAnsi="仿宋"/>
          <w:b/>
          <w:bCs/>
          <w:color w:val="FF0000"/>
          <w:szCs w:val="21"/>
        </w:rPr>
        <w:t>、联系邮箱</w:t>
      </w:r>
      <w:r>
        <w:rPr>
          <w:rFonts w:ascii="仿宋" w:eastAsia="仿宋" w:hAnsi="仿宋" w:hint="eastAsia"/>
          <w:b/>
          <w:bCs/>
          <w:color w:val="FF0000"/>
          <w:szCs w:val="21"/>
        </w:rPr>
        <w:t>（必须填写）；</w:t>
      </w:r>
    </w:p>
    <w:p w:rsidR="00197C3F" w:rsidRDefault="00E1474F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197C3F" w:rsidRDefault="00E1474F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lastRenderedPageBreak/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197C3F">
        <w:trPr>
          <w:trHeight w:val="1173"/>
        </w:trPr>
        <w:tc>
          <w:tcPr>
            <w:tcW w:w="780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1220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品牌</w:t>
            </w:r>
          </w:p>
        </w:tc>
        <w:tc>
          <w:tcPr>
            <w:tcW w:w="1131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单价</w:t>
            </w:r>
          </w:p>
        </w:tc>
        <w:tc>
          <w:tcPr>
            <w:tcW w:w="904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医保码</w:t>
            </w:r>
          </w:p>
        </w:tc>
        <w:tc>
          <w:tcPr>
            <w:tcW w:w="971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197C3F" w:rsidRDefault="00E1474F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197C3F">
        <w:trPr>
          <w:trHeight w:val="378"/>
        </w:trPr>
        <w:tc>
          <w:tcPr>
            <w:tcW w:w="780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0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1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1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4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6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1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" w:type="dxa"/>
          </w:tcPr>
          <w:p w:rsidR="00197C3F" w:rsidRDefault="00197C3F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97C3F" w:rsidRDefault="00197C3F">
      <w:pPr>
        <w:pStyle w:val="a5"/>
      </w:pP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197C3F" w:rsidRDefault="00E1474F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9E482B">
        <w:rPr>
          <w:rFonts w:ascii="宋体" w:hAnsi="宋体"/>
          <w:color w:val="FF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197C3F" w:rsidRDefault="00E1474F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197C3F" w:rsidRDefault="00E147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34858223  18922620826</w:t>
      </w:r>
    </w:p>
    <w:p w:rsidR="00197C3F" w:rsidRDefault="00E1474F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楼设备科</w:t>
      </w:r>
    </w:p>
    <w:p w:rsidR="00197C3F" w:rsidRDefault="00E1474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197C3F" w:rsidRDefault="00E1474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197C3F" w:rsidRDefault="00E1474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（四）报名资料提交时间：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197C3F" w:rsidRDefault="00E1474F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纸质材料扫描一份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设备功能及技术参数及配置清单电子版（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w</w:t>
      </w:r>
      <w:r>
        <w:rPr>
          <w:rFonts w:ascii="宋体" w:hAnsi="宋体" w:cs="宋体"/>
          <w:color w:val="000000"/>
          <w:szCs w:val="21"/>
          <w:u w:val="single"/>
          <w:shd w:val="clear" w:color="auto" w:fill="FFFFFF"/>
        </w:rPr>
        <w:t>ord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文件格式）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197C3F" w:rsidRDefault="00E1474F" w:rsidP="009E482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电话通知市场调研会议时间，会议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当天准备多带五份纸质材料。</w:t>
      </w:r>
    </w:p>
    <w:p w:rsidR="00197C3F" w:rsidRDefault="00197C3F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197C3F" w:rsidRDefault="00E1474F">
      <w:pPr>
        <w:tabs>
          <w:tab w:val="left" w:pos="114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</w:rPr>
        <w:t>附件</w:t>
      </w:r>
      <w: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革兰氏染色仪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197C3F" w:rsidRDefault="00197C3F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197C3F" w:rsidRDefault="00E1474F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197C3F" w:rsidRDefault="00E1474F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9E482B">
        <w:rPr>
          <w:rFonts w:ascii="宋体" w:hAnsi="宋体"/>
          <w:sz w:val="24"/>
        </w:rPr>
        <w:t>2</w:t>
      </w:r>
      <w:r w:rsidR="009E482B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</w:t>
      </w:r>
    </w:p>
    <w:p w:rsidR="00197C3F" w:rsidRDefault="00197C3F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</w:p>
    <w:sectPr w:rsidR="00197C3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4F" w:rsidRDefault="00E1474F">
      <w:r>
        <w:separator/>
      </w:r>
    </w:p>
  </w:endnote>
  <w:endnote w:type="continuationSeparator" w:id="0">
    <w:p w:rsidR="00E1474F" w:rsidRDefault="00E1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3F" w:rsidRDefault="00E1474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C3F" w:rsidRDefault="00E1474F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E482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97C3F" w:rsidRDefault="00E1474F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E482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4F" w:rsidRDefault="00E1474F">
      <w:r>
        <w:separator/>
      </w:r>
    </w:p>
  </w:footnote>
  <w:footnote w:type="continuationSeparator" w:id="0">
    <w:p w:rsidR="00E1474F" w:rsidRDefault="00E1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9F8"/>
    <w:multiLevelType w:val="multilevel"/>
    <w:tmpl w:val="0D6919F8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://59.37.7.85:11336/seeyon/officeservlet"/>
  </w:docVars>
  <w:rsids>
    <w:rsidRoot w:val="62ED0984"/>
    <w:rsid w:val="BFFF02D4"/>
    <w:rsid w:val="00006B5F"/>
    <w:rsid w:val="00010315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E9C"/>
    <w:rsid w:val="00082FBB"/>
    <w:rsid w:val="00085EAA"/>
    <w:rsid w:val="00096BD4"/>
    <w:rsid w:val="00096FD9"/>
    <w:rsid w:val="00097149"/>
    <w:rsid w:val="000C7E92"/>
    <w:rsid w:val="000D220A"/>
    <w:rsid w:val="000E4164"/>
    <w:rsid w:val="000F5244"/>
    <w:rsid w:val="00100973"/>
    <w:rsid w:val="0010750E"/>
    <w:rsid w:val="00110699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97C3F"/>
    <w:rsid w:val="001A0C27"/>
    <w:rsid w:val="001A67D6"/>
    <w:rsid w:val="001B7AE5"/>
    <w:rsid w:val="001D2C76"/>
    <w:rsid w:val="001D6D49"/>
    <w:rsid w:val="00207E8C"/>
    <w:rsid w:val="00211891"/>
    <w:rsid w:val="002119DA"/>
    <w:rsid w:val="00220EC6"/>
    <w:rsid w:val="0023190C"/>
    <w:rsid w:val="00242118"/>
    <w:rsid w:val="0024568B"/>
    <w:rsid w:val="00247380"/>
    <w:rsid w:val="00264428"/>
    <w:rsid w:val="0026580E"/>
    <w:rsid w:val="00283C4E"/>
    <w:rsid w:val="00291F81"/>
    <w:rsid w:val="002B003E"/>
    <w:rsid w:val="002C74D1"/>
    <w:rsid w:val="002D216C"/>
    <w:rsid w:val="002D6BCF"/>
    <w:rsid w:val="002E06E6"/>
    <w:rsid w:val="002E5B77"/>
    <w:rsid w:val="002E784A"/>
    <w:rsid w:val="002F102D"/>
    <w:rsid w:val="002F14E4"/>
    <w:rsid w:val="002F1F53"/>
    <w:rsid w:val="00304A83"/>
    <w:rsid w:val="003110AC"/>
    <w:rsid w:val="00323A88"/>
    <w:rsid w:val="003249C7"/>
    <w:rsid w:val="00331B42"/>
    <w:rsid w:val="00332CAD"/>
    <w:rsid w:val="003345DE"/>
    <w:rsid w:val="00365B2F"/>
    <w:rsid w:val="003778EF"/>
    <w:rsid w:val="003857B0"/>
    <w:rsid w:val="003A2286"/>
    <w:rsid w:val="003A5E09"/>
    <w:rsid w:val="003B05FF"/>
    <w:rsid w:val="003B0745"/>
    <w:rsid w:val="003B12A7"/>
    <w:rsid w:val="003B2233"/>
    <w:rsid w:val="003B5DA1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23560"/>
    <w:rsid w:val="004349D1"/>
    <w:rsid w:val="00437464"/>
    <w:rsid w:val="004407CF"/>
    <w:rsid w:val="00440FE6"/>
    <w:rsid w:val="00445A71"/>
    <w:rsid w:val="00463FCB"/>
    <w:rsid w:val="00466325"/>
    <w:rsid w:val="00475EF3"/>
    <w:rsid w:val="00477D12"/>
    <w:rsid w:val="0048113F"/>
    <w:rsid w:val="004A3968"/>
    <w:rsid w:val="004B02F3"/>
    <w:rsid w:val="004D3CE4"/>
    <w:rsid w:val="004D4A85"/>
    <w:rsid w:val="004E3D50"/>
    <w:rsid w:val="004E5401"/>
    <w:rsid w:val="004F2E19"/>
    <w:rsid w:val="004F5D1D"/>
    <w:rsid w:val="004F5F9C"/>
    <w:rsid w:val="00500513"/>
    <w:rsid w:val="00500E85"/>
    <w:rsid w:val="0050306B"/>
    <w:rsid w:val="00505F68"/>
    <w:rsid w:val="00521883"/>
    <w:rsid w:val="00522BB6"/>
    <w:rsid w:val="00532125"/>
    <w:rsid w:val="005407D2"/>
    <w:rsid w:val="0054603A"/>
    <w:rsid w:val="005509BF"/>
    <w:rsid w:val="005561A2"/>
    <w:rsid w:val="00582506"/>
    <w:rsid w:val="005A1035"/>
    <w:rsid w:val="005B19DA"/>
    <w:rsid w:val="005B1E05"/>
    <w:rsid w:val="005B2B01"/>
    <w:rsid w:val="005C5861"/>
    <w:rsid w:val="005D1EE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5469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72F7"/>
    <w:rsid w:val="00721A91"/>
    <w:rsid w:val="00726B89"/>
    <w:rsid w:val="00730B87"/>
    <w:rsid w:val="00733B42"/>
    <w:rsid w:val="00740415"/>
    <w:rsid w:val="00740EC1"/>
    <w:rsid w:val="0074496B"/>
    <w:rsid w:val="00761412"/>
    <w:rsid w:val="00763F4B"/>
    <w:rsid w:val="00777DEA"/>
    <w:rsid w:val="00784A44"/>
    <w:rsid w:val="00791213"/>
    <w:rsid w:val="007B04FA"/>
    <w:rsid w:val="007B7865"/>
    <w:rsid w:val="007D750B"/>
    <w:rsid w:val="007E0591"/>
    <w:rsid w:val="007E67FB"/>
    <w:rsid w:val="007F220E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545E0"/>
    <w:rsid w:val="009550E5"/>
    <w:rsid w:val="00966F86"/>
    <w:rsid w:val="00975273"/>
    <w:rsid w:val="00976F7D"/>
    <w:rsid w:val="00977B06"/>
    <w:rsid w:val="00980965"/>
    <w:rsid w:val="0098437C"/>
    <w:rsid w:val="00996EF7"/>
    <w:rsid w:val="009B1A7C"/>
    <w:rsid w:val="009B5847"/>
    <w:rsid w:val="009C15E0"/>
    <w:rsid w:val="009C1BB4"/>
    <w:rsid w:val="009C685B"/>
    <w:rsid w:val="009D1359"/>
    <w:rsid w:val="009D1AC8"/>
    <w:rsid w:val="009E003B"/>
    <w:rsid w:val="009E482B"/>
    <w:rsid w:val="009E5006"/>
    <w:rsid w:val="009F0D45"/>
    <w:rsid w:val="009F1C1B"/>
    <w:rsid w:val="009F4FA6"/>
    <w:rsid w:val="009F7E83"/>
    <w:rsid w:val="00A02642"/>
    <w:rsid w:val="00A042BA"/>
    <w:rsid w:val="00A06568"/>
    <w:rsid w:val="00A24B24"/>
    <w:rsid w:val="00A27D59"/>
    <w:rsid w:val="00A4764B"/>
    <w:rsid w:val="00A535CE"/>
    <w:rsid w:val="00A728D3"/>
    <w:rsid w:val="00A732B3"/>
    <w:rsid w:val="00A84C91"/>
    <w:rsid w:val="00A91CF0"/>
    <w:rsid w:val="00AA6E5F"/>
    <w:rsid w:val="00AB0535"/>
    <w:rsid w:val="00AB6AA6"/>
    <w:rsid w:val="00AC7BA9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52C25"/>
    <w:rsid w:val="00B60B9D"/>
    <w:rsid w:val="00B622B5"/>
    <w:rsid w:val="00B67ECE"/>
    <w:rsid w:val="00B82E0A"/>
    <w:rsid w:val="00B83110"/>
    <w:rsid w:val="00B91C27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4FF2"/>
    <w:rsid w:val="00C25A4E"/>
    <w:rsid w:val="00C32B37"/>
    <w:rsid w:val="00C36054"/>
    <w:rsid w:val="00C44652"/>
    <w:rsid w:val="00C47A1E"/>
    <w:rsid w:val="00C658A7"/>
    <w:rsid w:val="00C83565"/>
    <w:rsid w:val="00C92108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3716"/>
    <w:rsid w:val="00CF40CD"/>
    <w:rsid w:val="00CF6061"/>
    <w:rsid w:val="00D055ED"/>
    <w:rsid w:val="00D121D2"/>
    <w:rsid w:val="00D33F02"/>
    <w:rsid w:val="00D37831"/>
    <w:rsid w:val="00D42E55"/>
    <w:rsid w:val="00D56782"/>
    <w:rsid w:val="00D630C5"/>
    <w:rsid w:val="00D64C80"/>
    <w:rsid w:val="00D65170"/>
    <w:rsid w:val="00D7654A"/>
    <w:rsid w:val="00D77F60"/>
    <w:rsid w:val="00D874BB"/>
    <w:rsid w:val="00D91601"/>
    <w:rsid w:val="00D957BF"/>
    <w:rsid w:val="00DB4700"/>
    <w:rsid w:val="00DC2CA9"/>
    <w:rsid w:val="00E1057F"/>
    <w:rsid w:val="00E12F6A"/>
    <w:rsid w:val="00E1474F"/>
    <w:rsid w:val="00E355D1"/>
    <w:rsid w:val="00E40E4E"/>
    <w:rsid w:val="00E47B42"/>
    <w:rsid w:val="00E53447"/>
    <w:rsid w:val="00E544BF"/>
    <w:rsid w:val="00E5492F"/>
    <w:rsid w:val="00E7198D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D19"/>
    <w:rsid w:val="00F07BDA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538E"/>
    <w:rsid w:val="00F90D83"/>
    <w:rsid w:val="00F96C8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44697A"/>
    <w:rsid w:val="1BA1084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1461BA"/>
    <w:rsid w:val="229614C9"/>
    <w:rsid w:val="231E7945"/>
    <w:rsid w:val="232E0809"/>
    <w:rsid w:val="23DECDF5"/>
    <w:rsid w:val="25735078"/>
    <w:rsid w:val="2581623B"/>
    <w:rsid w:val="26026D82"/>
    <w:rsid w:val="26E04AA9"/>
    <w:rsid w:val="27F01FAC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C524D2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5071877"/>
    <w:rsid w:val="56101453"/>
    <w:rsid w:val="573B069E"/>
    <w:rsid w:val="578F3CAA"/>
    <w:rsid w:val="58BC7D64"/>
    <w:rsid w:val="58D23B27"/>
    <w:rsid w:val="58E91128"/>
    <w:rsid w:val="59D101C5"/>
    <w:rsid w:val="59DE40C3"/>
    <w:rsid w:val="59FF1A7B"/>
    <w:rsid w:val="5A113E4E"/>
    <w:rsid w:val="5AB27159"/>
    <w:rsid w:val="5ADD672E"/>
    <w:rsid w:val="5AE9687A"/>
    <w:rsid w:val="5B6055A8"/>
    <w:rsid w:val="61911ABE"/>
    <w:rsid w:val="62ED0984"/>
    <w:rsid w:val="642B288A"/>
    <w:rsid w:val="64C57FB4"/>
    <w:rsid w:val="657D6222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3895F47"/>
    <w:rsid w:val="75AE760D"/>
    <w:rsid w:val="75F756E6"/>
    <w:rsid w:val="761C41C8"/>
    <w:rsid w:val="76312863"/>
    <w:rsid w:val="773773E3"/>
    <w:rsid w:val="77C33297"/>
    <w:rsid w:val="77DAF90F"/>
    <w:rsid w:val="7A0822E6"/>
    <w:rsid w:val="7A490822"/>
    <w:rsid w:val="7A8148CE"/>
    <w:rsid w:val="7B3630FE"/>
    <w:rsid w:val="7C66401C"/>
    <w:rsid w:val="7DF35E4A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1A0AD"/>
  <w15:docId w15:val="{A1336E99-5D63-41CC-B8CE-AA1925B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正文文本 字符"/>
    <w:basedOn w:val="a0"/>
    <w:link w:val="a5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1C1A28-2869-4F57-8412-9DFE892B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2023-06-08T10:18:00Z</dcterms:created>
  <dcterms:modified xsi:type="dcterms:W3CDTF">2025-10-21T01:35:00Z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BD78235BB5504F5E86CA3723E8E2E7A2</vt:lpwstr>
  </property>
</Properties>
</file>