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 w:val="0"/>
          <w:bCs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</w:rPr>
        <w:t>附件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</w:rPr>
        <w:t>：</w:t>
      </w:r>
    </w:p>
    <w:p>
      <w:pPr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广州医科大学附属番禺中心医院既有建筑竣工图设计服务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36"/>
          <w:szCs w:val="36"/>
        </w:rPr>
        <w:t>报价表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tbl>
      <w:tblPr>
        <w:tblStyle w:val="5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764"/>
        <w:gridCol w:w="1114"/>
        <w:gridCol w:w="170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单价报价（元</w:t>
            </w:r>
            <w:r>
              <w:rPr>
                <w:rFonts w:hint="default" w:ascii="宋体" w:hAnsi="宋体"/>
                <w:b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m2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广州医科大学附属番禺中心医院既有建筑竣工图设计服务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m2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777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项目总报价</w:t>
            </w:r>
            <w:r>
              <w:rPr>
                <w:rFonts w:hint="default" w:ascii="宋体" w:hAnsi="宋体"/>
                <w:b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宋体" w:hAnsi="宋体" w:cs="宋体"/>
          <w:sz w:val="24"/>
          <w:highlight w:val="none"/>
        </w:rPr>
      </w:pPr>
    </w:p>
    <w:p>
      <w:pP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备注：本次调研针对服务项目单价进行调研，最终工程量以规划条件核实意见书上的面积为准，以上报价均已含税。</w:t>
      </w:r>
    </w:p>
    <w:p>
      <w:pPr>
        <w:rPr>
          <w:rFonts w:hint="default" w:ascii="宋体" w:hAnsi="宋体" w:cs="宋体"/>
          <w:b/>
          <w:bCs/>
          <w:sz w:val="24"/>
          <w:highlight w:val="none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sz w:val="28"/>
          <w:szCs w:val="28"/>
          <w:highlight w:val="none"/>
        </w:rPr>
        <w:t>报价</w:t>
      </w:r>
      <w:r>
        <w:rPr>
          <w:rFonts w:hint="default" w:ascii="宋体" w:hAnsi="宋体" w:cs="宋体"/>
          <w:sz w:val="28"/>
          <w:szCs w:val="28"/>
          <w:highlight w:val="none"/>
        </w:rPr>
        <w:t>单位</w:t>
      </w:r>
      <w:r>
        <w:rPr>
          <w:rFonts w:hint="eastAsia" w:ascii="宋体" w:hAnsi="宋体" w:cs="宋体"/>
          <w:sz w:val="28"/>
          <w:szCs w:val="28"/>
          <w:highlight w:val="none"/>
        </w:rPr>
        <w:t>（公章）：</w:t>
      </w:r>
    </w:p>
    <w:p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                                    报价日期：      年    月    日</w:t>
      </w: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0FB2"/>
    <w:rsid w:val="46CB00BB"/>
    <w:rsid w:val="7D350FB2"/>
    <w:rsid w:val="97FF065E"/>
    <w:rsid w:val="EDEC08E0"/>
    <w:rsid w:val="FB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nhideWhenUsed/>
    <w:qFormat/>
    <w:uiPriority w:val="99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2025-11-06T00:59:00Z</dcterms:created>
  <dc:creator>Administrator</dc:creator>
  <cp:lastModifiedBy>Administrator</cp:lastModifiedBy>
  <dcterms:modified xsi:type="dcterms:W3CDTF">2026-01-03T09:38:08Z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