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433B5">
      <w:pPr>
        <w:spacing w:line="360" w:lineRule="auto"/>
        <w:rPr>
          <w:rFonts w:asciiTheme="minorEastAsia" w:hAnsiTheme="minorEastAsia" w:eastAsiaTheme="minorEastAsia"/>
          <w:color w:val="000000"/>
          <w:sz w:val="44"/>
        </w:rPr>
      </w:pPr>
      <w:bookmarkStart w:id="9" w:name="_GoBack"/>
      <w:bookmarkEnd w:id="9"/>
    </w:p>
    <w:p w14:paraId="561E4B05">
      <w:pPr>
        <w:pStyle w:val="5"/>
        <w:rPr>
          <w:rFonts w:asciiTheme="minorEastAsia" w:hAnsiTheme="minorEastAsia" w:eastAsiaTheme="minorEastAsia"/>
          <w:color w:val="000000"/>
          <w:sz w:val="44"/>
        </w:rPr>
      </w:pPr>
    </w:p>
    <w:p w14:paraId="0F0059CB">
      <w:pPr>
        <w:pStyle w:val="5"/>
        <w:rPr>
          <w:rFonts w:asciiTheme="minorEastAsia" w:hAnsiTheme="minorEastAsia" w:eastAsiaTheme="minorEastAsia"/>
          <w:color w:val="000000"/>
          <w:sz w:val="44"/>
        </w:rPr>
      </w:pPr>
    </w:p>
    <w:p w14:paraId="2A9C0A48">
      <w:pPr>
        <w:jc w:val="center"/>
        <w:rPr>
          <w:rFonts w:asciiTheme="minorEastAsia" w:hAnsiTheme="minorEastAsia" w:eastAsiaTheme="minorEastAsia"/>
          <w:sz w:val="44"/>
        </w:rPr>
      </w:pPr>
      <w:r>
        <w:rPr>
          <w:rFonts w:hint="eastAsia" w:asciiTheme="minorEastAsia" w:hAnsiTheme="minorEastAsia" w:eastAsiaTheme="minorEastAsia"/>
          <w:sz w:val="52"/>
        </w:rPr>
        <w:t>广州医科大学附属番禺中心医院2025年专利代理服务项目</w:t>
      </w:r>
    </w:p>
    <w:p w14:paraId="3A81EDB3">
      <w:pPr>
        <w:jc w:val="center"/>
        <w:rPr>
          <w:rFonts w:asciiTheme="minorEastAsia" w:hAnsiTheme="minorEastAsia" w:eastAsiaTheme="minorEastAsia"/>
          <w:b/>
          <w:sz w:val="56"/>
        </w:rPr>
      </w:pPr>
    </w:p>
    <w:p w14:paraId="36CAD121">
      <w:pPr>
        <w:jc w:val="center"/>
        <w:rPr>
          <w:rFonts w:asciiTheme="minorEastAsia" w:hAnsiTheme="minorEastAsia" w:eastAsiaTheme="minorEastAsia"/>
          <w:b/>
          <w:sz w:val="56"/>
        </w:rPr>
      </w:pPr>
      <w:r>
        <w:rPr>
          <w:rFonts w:hint="eastAsia" w:asciiTheme="minorEastAsia" w:hAnsiTheme="minorEastAsia" w:eastAsiaTheme="minorEastAsia"/>
          <w:b/>
          <w:sz w:val="56"/>
        </w:rPr>
        <w:t>询比文件</w:t>
      </w:r>
    </w:p>
    <w:p w14:paraId="07F036E6">
      <w:pPr>
        <w:jc w:val="center"/>
        <w:rPr>
          <w:rFonts w:asciiTheme="minorEastAsia" w:hAnsiTheme="minorEastAsia" w:eastAsiaTheme="minorEastAsia"/>
          <w:b/>
          <w:sz w:val="56"/>
        </w:rPr>
      </w:pPr>
    </w:p>
    <w:p w14:paraId="13A98C97">
      <w:pPr>
        <w:jc w:val="center"/>
        <w:rPr>
          <w:rFonts w:asciiTheme="minorEastAsia" w:hAnsiTheme="minorEastAsia" w:eastAsiaTheme="minorEastAsia"/>
          <w:b/>
          <w:sz w:val="56"/>
        </w:rPr>
      </w:pPr>
    </w:p>
    <w:p w14:paraId="2CC7DFB9">
      <w:pPr>
        <w:jc w:val="center"/>
        <w:rPr>
          <w:rFonts w:asciiTheme="minorEastAsia" w:hAnsiTheme="minorEastAsia" w:eastAsiaTheme="minorEastAsia"/>
          <w:b/>
          <w:sz w:val="56"/>
        </w:rPr>
      </w:pPr>
    </w:p>
    <w:p w14:paraId="71091767">
      <w:pPr>
        <w:jc w:val="center"/>
        <w:rPr>
          <w:rFonts w:asciiTheme="minorEastAsia" w:hAnsiTheme="minorEastAsia" w:eastAsiaTheme="minorEastAsia"/>
          <w:b/>
          <w:sz w:val="56"/>
        </w:rPr>
      </w:pPr>
    </w:p>
    <w:p w14:paraId="7DC10B80">
      <w:pPr>
        <w:jc w:val="center"/>
        <w:rPr>
          <w:rFonts w:asciiTheme="minorEastAsia" w:hAnsiTheme="minorEastAsia" w:eastAsiaTheme="minorEastAsia"/>
          <w:b/>
          <w:sz w:val="56"/>
        </w:rPr>
      </w:pPr>
    </w:p>
    <w:p w14:paraId="41B40E1E">
      <w:pPr>
        <w:jc w:val="center"/>
        <w:rPr>
          <w:rFonts w:asciiTheme="minorEastAsia" w:hAnsiTheme="minorEastAsia" w:eastAsiaTheme="minorEastAsia"/>
          <w:b/>
          <w:sz w:val="56"/>
        </w:rPr>
      </w:pPr>
    </w:p>
    <w:p w14:paraId="0BC09627">
      <w:pPr>
        <w:jc w:val="center"/>
        <w:rPr>
          <w:rFonts w:asciiTheme="minorEastAsia" w:hAnsiTheme="minorEastAsia" w:eastAsiaTheme="minorEastAsia"/>
          <w:b/>
          <w:sz w:val="56"/>
        </w:rPr>
      </w:pPr>
      <w:r>
        <w:rPr>
          <w:rFonts w:asciiTheme="minorEastAsia" w:hAnsiTheme="minorEastAsia" w:eastAsiaTheme="minorEastAsia"/>
          <w:sz w:val="32"/>
        </w:rPr>
        <w:t>202</w:t>
      </w:r>
      <w:r>
        <w:rPr>
          <w:rFonts w:hint="eastAsia" w:asciiTheme="minorEastAsia" w:hAnsiTheme="minorEastAsia" w:eastAsiaTheme="minorEastAsia"/>
          <w:sz w:val="32"/>
        </w:rPr>
        <w:t>5</w:t>
      </w:r>
      <w:r>
        <w:rPr>
          <w:rFonts w:hint="eastAsia" w:cs="楷体_GB2312" w:asciiTheme="minorEastAsia" w:hAnsiTheme="minorEastAsia" w:eastAsiaTheme="minorEastAsia"/>
          <w:sz w:val="32"/>
        </w:rPr>
        <w:t>年7</w:t>
      </w:r>
      <w:r>
        <w:rPr>
          <w:rFonts w:hint="eastAsia" w:asciiTheme="minorEastAsia" w:hAnsiTheme="minorEastAsia" w:eastAsiaTheme="minorEastAsia"/>
          <w:sz w:val="32"/>
        </w:rPr>
        <w:t>月</w:t>
      </w:r>
    </w:p>
    <w:p w14:paraId="201D34E3">
      <w:pPr>
        <w:jc w:val="center"/>
        <w:rPr>
          <w:rFonts w:asciiTheme="minorEastAsia" w:hAnsiTheme="minorEastAsia" w:eastAsiaTheme="minorEastAsia"/>
          <w:b/>
          <w:sz w:val="44"/>
        </w:rPr>
      </w:pPr>
      <w:r>
        <w:rPr>
          <w:rFonts w:asciiTheme="minorEastAsia" w:hAnsiTheme="minorEastAsia" w:eastAsiaTheme="minorEastAsia"/>
          <w:sz w:val="44"/>
        </w:rPr>
        <w:br w:type="page"/>
      </w:r>
      <w:r>
        <w:rPr>
          <w:rFonts w:hint="eastAsia" w:asciiTheme="minorEastAsia" w:hAnsiTheme="minorEastAsia" w:eastAsiaTheme="minorEastAsia"/>
          <w:b/>
          <w:sz w:val="44"/>
        </w:rPr>
        <w:t>目    录</w:t>
      </w:r>
    </w:p>
    <w:p w14:paraId="151A58D2">
      <w:pPr>
        <w:ind w:left="1470"/>
        <w:jc w:val="left"/>
        <w:rPr>
          <w:rFonts w:asciiTheme="minorEastAsia" w:hAnsiTheme="minorEastAsia" w:eastAsiaTheme="minorEastAsia"/>
          <w:sz w:val="44"/>
        </w:rPr>
      </w:pPr>
    </w:p>
    <w:p w14:paraId="15CF3BD2">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第一部分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询比邀请</w:t>
      </w:r>
    </w:p>
    <w:p w14:paraId="0337BC6B">
      <w:pPr>
        <w:jc w:val="left"/>
        <w:rPr>
          <w:rFonts w:asciiTheme="minorEastAsia" w:hAnsiTheme="minorEastAsia" w:eastAsiaTheme="minorEastAsia"/>
          <w:b/>
          <w:sz w:val="32"/>
        </w:rPr>
      </w:pPr>
    </w:p>
    <w:p w14:paraId="6707ABC8">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第二部分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供应商须知</w:t>
      </w:r>
    </w:p>
    <w:p w14:paraId="5451F5FC">
      <w:pPr>
        <w:ind w:left="1470"/>
        <w:jc w:val="left"/>
        <w:rPr>
          <w:rFonts w:asciiTheme="minorEastAsia" w:hAnsiTheme="minorEastAsia" w:eastAsiaTheme="minorEastAsia"/>
          <w:b/>
          <w:sz w:val="32"/>
        </w:rPr>
      </w:pPr>
    </w:p>
    <w:p w14:paraId="396D312C">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第三部分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用户需求书</w:t>
      </w:r>
    </w:p>
    <w:p w14:paraId="5B649A94">
      <w:pPr>
        <w:pStyle w:val="5"/>
        <w:rPr>
          <w:rFonts w:asciiTheme="minorEastAsia" w:hAnsiTheme="minorEastAsia" w:eastAsiaTheme="minorEastAsia"/>
          <w:b/>
        </w:rPr>
      </w:pPr>
    </w:p>
    <w:p w14:paraId="15D4810A">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第四部分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评审办法</w:t>
      </w:r>
    </w:p>
    <w:p w14:paraId="540291A1">
      <w:pPr>
        <w:ind w:left="1470"/>
        <w:jc w:val="left"/>
        <w:rPr>
          <w:rFonts w:asciiTheme="minorEastAsia" w:hAnsiTheme="minorEastAsia" w:eastAsiaTheme="minorEastAsia"/>
          <w:b/>
          <w:sz w:val="32"/>
        </w:rPr>
      </w:pPr>
    </w:p>
    <w:p w14:paraId="2B96FCEF">
      <w:pPr>
        <w:ind w:left="1470"/>
        <w:jc w:val="left"/>
        <w:rPr>
          <w:rFonts w:asciiTheme="minorEastAsia" w:hAnsiTheme="minorEastAsia" w:eastAsiaTheme="minorEastAsia"/>
          <w:b/>
          <w:sz w:val="32"/>
        </w:rPr>
      </w:pPr>
      <w:r>
        <w:rPr>
          <w:rFonts w:hint="eastAsia" w:asciiTheme="minorEastAsia" w:hAnsiTheme="minorEastAsia" w:eastAsiaTheme="minorEastAsia"/>
          <w:b/>
          <w:sz w:val="32"/>
        </w:rPr>
        <w:t xml:space="preserve">第五部分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合同书格式</w:t>
      </w:r>
    </w:p>
    <w:p w14:paraId="7EC9BADF">
      <w:pPr>
        <w:jc w:val="left"/>
        <w:rPr>
          <w:rFonts w:asciiTheme="minorEastAsia" w:hAnsiTheme="minorEastAsia" w:eastAsiaTheme="minorEastAsia"/>
          <w:b/>
          <w:sz w:val="32"/>
        </w:rPr>
      </w:pPr>
    </w:p>
    <w:p w14:paraId="3A393CAD">
      <w:pPr>
        <w:ind w:left="1470"/>
        <w:jc w:val="left"/>
        <w:rPr>
          <w:rFonts w:asciiTheme="minorEastAsia" w:hAnsiTheme="minorEastAsia" w:eastAsiaTheme="minorEastAsia"/>
          <w:b/>
          <w:sz w:val="32"/>
        </w:rPr>
        <w:sectPr>
          <w:headerReference r:id="rId4" w:type="first"/>
          <w:footerReference r:id="rId7" w:type="first"/>
          <w:headerReference r:id="rId3" w:type="default"/>
          <w:footerReference r:id="rId5" w:type="default"/>
          <w:footerReference r:id="rId6" w:type="even"/>
          <w:pgSz w:w="11906" w:h="16838"/>
          <w:pgMar w:top="1402" w:right="1701" w:bottom="1402" w:left="1701" w:header="735" w:footer="680" w:gutter="0"/>
          <w:pgNumType w:start="0"/>
          <w:cols w:space="720" w:num="1"/>
          <w:titlePg/>
          <w:docGrid w:type="lines" w:linePitch="312" w:charSpace="0"/>
        </w:sectPr>
      </w:pPr>
      <w:r>
        <w:rPr>
          <w:rFonts w:hint="eastAsia" w:asciiTheme="minorEastAsia" w:hAnsiTheme="minorEastAsia" w:eastAsiaTheme="minorEastAsia"/>
          <w:b/>
          <w:sz w:val="32"/>
        </w:rPr>
        <w:t xml:space="preserve">第六部分 </w:t>
      </w:r>
      <w:r>
        <w:rPr>
          <w:rFonts w:asciiTheme="minorEastAsia" w:hAnsiTheme="minorEastAsia" w:eastAsiaTheme="minorEastAsia"/>
          <w:b/>
          <w:sz w:val="32"/>
        </w:rPr>
        <w:t xml:space="preserve"> </w:t>
      </w:r>
      <w:r>
        <w:rPr>
          <w:rFonts w:hint="eastAsia" w:asciiTheme="minorEastAsia" w:hAnsiTheme="minorEastAsia" w:eastAsiaTheme="minorEastAsia"/>
          <w:b/>
          <w:sz w:val="32"/>
        </w:rPr>
        <w:t>响应文件格式</w:t>
      </w:r>
    </w:p>
    <w:p w14:paraId="5B50567F">
      <w:pPr>
        <w:pStyle w:val="145"/>
      </w:pPr>
      <w:bookmarkStart w:id="0" w:name="_Toc175644384"/>
      <w:bookmarkStart w:id="1" w:name="_Toc352669156"/>
      <w:r>
        <w:rPr>
          <w:rFonts w:hint="eastAsia"/>
        </w:rPr>
        <w:t>询比邀请</w:t>
      </w:r>
      <w:bookmarkEnd w:id="0"/>
      <w:bookmarkEnd w:id="1"/>
    </w:p>
    <w:p w14:paraId="5E7FCC6B">
      <w:pPr>
        <w:pStyle w:val="5"/>
      </w:pPr>
    </w:p>
    <w:p w14:paraId="59FF0297">
      <w:pPr>
        <w:spacing w:line="460" w:lineRule="exact"/>
        <w:ind w:firstLine="540" w:firstLineChars="225"/>
        <w:rPr>
          <w:rFonts w:ascii="宋体" w:hAnsi="宋体"/>
          <w:sz w:val="24"/>
        </w:rPr>
      </w:pPr>
      <w:r>
        <w:rPr>
          <w:rFonts w:hint="eastAsia" w:ascii="宋体" w:hAnsi="宋体"/>
          <w:sz w:val="24"/>
          <w:u w:val="single"/>
        </w:rPr>
        <w:t>广州医科大学附属番禺中心医院</w:t>
      </w:r>
      <w:r>
        <w:rPr>
          <w:rFonts w:hint="eastAsia" w:ascii="宋体" w:hAnsi="宋体"/>
          <w:sz w:val="24"/>
        </w:rPr>
        <w:t>就广州医科大学附属番禺中心医院2025年专利代理服务项目进行院内询比，邀请合格的国内供应商参加。</w:t>
      </w:r>
    </w:p>
    <w:p w14:paraId="135775AD">
      <w:pPr>
        <w:widowControl/>
        <w:spacing w:line="460" w:lineRule="exact"/>
        <w:ind w:left="560"/>
        <w:rPr>
          <w:rFonts w:ascii="宋体" w:hAnsi="宋体"/>
          <w:b/>
          <w:sz w:val="24"/>
        </w:rPr>
      </w:pPr>
      <w:r>
        <w:rPr>
          <w:rFonts w:hint="eastAsia" w:ascii="宋体" w:hAnsi="宋体"/>
          <w:b/>
          <w:sz w:val="24"/>
        </w:rPr>
        <w:t>一、询比项目简介</w:t>
      </w:r>
    </w:p>
    <w:p w14:paraId="1E872FB6">
      <w:pPr>
        <w:widowControl/>
        <w:numPr>
          <w:ilvl w:val="1"/>
          <w:numId w:val="2"/>
        </w:numPr>
        <w:spacing w:line="460" w:lineRule="exact"/>
        <w:rPr>
          <w:rFonts w:ascii="宋体" w:hAnsi="宋体"/>
          <w:sz w:val="24"/>
        </w:rPr>
      </w:pPr>
      <w:r>
        <w:rPr>
          <w:rFonts w:hint="eastAsia" w:ascii="宋体" w:hAnsi="宋体" w:cs="Arial"/>
          <w:sz w:val="24"/>
        </w:rPr>
        <w:t>项目名称：</w:t>
      </w:r>
      <w:r>
        <w:rPr>
          <w:rFonts w:hint="eastAsia" w:ascii="宋体" w:hAnsi="宋体"/>
          <w:sz w:val="24"/>
          <w:u w:val="single"/>
        </w:rPr>
        <w:t>广州医科大学附属番禺中心医院2025年专利代理服务项目</w:t>
      </w:r>
    </w:p>
    <w:p w14:paraId="68751902">
      <w:pPr>
        <w:widowControl/>
        <w:numPr>
          <w:ilvl w:val="1"/>
          <w:numId w:val="2"/>
        </w:numPr>
        <w:spacing w:line="460" w:lineRule="exact"/>
        <w:ind w:left="0" w:firstLine="425"/>
        <w:rPr>
          <w:rFonts w:ascii="宋体" w:hAnsi="宋体"/>
          <w:sz w:val="24"/>
        </w:rPr>
      </w:pPr>
      <w:r>
        <w:rPr>
          <w:rFonts w:hint="eastAsia" w:ascii="宋体" w:hAnsi="宋体" w:cs="Arial"/>
          <w:sz w:val="24"/>
        </w:rPr>
        <w:t>项目类别：服务类</w:t>
      </w:r>
    </w:p>
    <w:p w14:paraId="4683B826">
      <w:pPr>
        <w:widowControl/>
        <w:numPr>
          <w:ilvl w:val="1"/>
          <w:numId w:val="2"/>
        </w:numPr>
        <w:spacing w:line="460" w:lineRule="exact"/>
        <w:ind w:left="0" w:firstLine="425"/>
        <w:rPr>
          <w:rFonts w:ascii="宋体" w:hAnsi="宋体" w:cstheme="minorEastAsia"/>
          <w:bCs/>
          <w:kern w:val="0"/>
          <w:sz w:val="24"/>
        </w:rPr>
      </w:pPr>
      <w:r>
        <w:rPr>
          <w:rFonts w:hint="eastAsia" w:ascii="宋体" w:hAnsi="宋体" w:cs="Arial"/>
          <w:sz w:val="24"/>
        </w:rPr>
        <w:t>服务期：</w:t>
      </w:r>
      <w:r>
        <w:rPr>
          <w:rFonts w:hint="eastAsia" w:ascii="宋体" w:hAnsi="宋体" w:cstheme="minorEastAsia"/>
          <w:bCs/>
          <w:kern w:val="0"/>
          <w:sz w:val="24"/>
        </w:rPr>
        <w:t>一年</w:t>
      </w:r>
    </w:p>
    <w:p w14:paraId="3F8FB5D1">
      <w:pPr>
        <w:widowControl/>
        <w:numPr>
          <w:ilvl w:val="1"/>
          <w:numId w:val="2"/>
        </w:numPr>
        <w:spacing w:line="460" w:lineRule="exact"/>
        <w:ind w:left="0" w:firstLine="426"/>
        <w:rPr>
          <w:rFonts w:ascii="宋体" w:hAnsi="宋体"/>
          <w:sz w:val="24"/>
          <w:highlight w:val="none"/>
        </w:rPr>
      </w:pPr>
      <w:r>
        <w:rPr>
          <w:rFonts w:hint="eastAsia" w:ascii="宋体" w:hAnsi="宋体"/>
          <w:sz w:val="24"/>
        </w:rPr>
        <w:t>项目预算：本项目整体预算30万元（人民币，含税）。其中采购包一采购预算15万元（预计PCT国际专利1项，发明专利6项，实用新型专利20项，外观设计专利1项，软件著作权3项）；采购包二采购预算15万元（预计PCT国际专利1项，发明专利6项，</w:t>
      </w:r>
      <w:r>
        <w:rPr>
          <w:rFonts w:hint="eastAsia" w:ascii="宋体" w:hAnsi="宋体"/>
          <w:sz w:val="24"/>
          <w:highlight w:val="none"/>
        </w:rPr>
        <w:t>实用新型专利20项，外观设计专利1项，软件著作权3项）。各采购包的采购预算及服务采购数量为估算值，根据实际采购服务数量按实际结算，合同到期或</w:t>
      </w:r>
      <w:r>
        <w:rPr>
          <w:rFonts w:hint="eastAsia" w:ascii="宋体" w:hAnsi="宋体"/>
          <w:sz w:val="24"/>
          <w:highlight w:val="none"/>
          <w:lang w:val="en-US" w:eastAsia="zh-CN"/>
        </w:rPr>
        <w:t>合同</w:t>
      </w:r>
      <w:r>
        <w:rPr>
          <w:rFonts w:hint="eastAsia" w:ascii="宋体" w:hAnsi="宋体"/>
          <w:sz w:val="24"/>
          <w:highlight w:val="none"/>
        </w:rPr>
        <w:t>金额使用完毕，合同即结束。</w:t>
      </w:r>
    </w:p>
    <w:p w14:paraId="59BE004A">
      <w:pPr>
        <w:widowControl/>
        <w:numPr>
          <w:ilvl w:val="1"/>
          <w:numId w:val="2"/>
        </w:numPr>
        <w:spacing w:line="460" w:lineRule="exact"/>
        <w:ind w:left="0" w:firstLine="425"/>
        <w:rPr>
          <w:rFonts w:ascii="宋体" w:hAnsi="宋体"/>
          <w:sz w:val="24"/>
          <w:highlight w:val="none"/>
        </w:rPr>
      </w:pPr>
      <w:r>
        <w:rPr>
          <w:rFonts w:hint="eastAsia" w:ascii="宋体" w:hAnsi="宋体"/>
          <w:sz w:val="24"/>
          <w:highlight w:val="none"/>
        </w:rPr>
        <w:t>评审方法：本项目分为</w:t>
      </w:r>
      <w:r>
        <w:rPr>
          <w:rFonts w:ascii="宋体" w:hAnsi="宋体"/>
          <w:sz w:val="24"/>
          <w:highlight w:val="none"/>
        </w:rPr>
        <w:t>2</w:t>
      </w:r>
      <w:r>
        <w:rPr>
          <w:rFonts w:hint="eastAsia" w:ascii="宋体" w:hAnsi="宋体"/>
          <w:sz w:val="24"/>
          <w:highlight w:val="none"/>
        </w:rPr>
        <w:t>个采购包，每个采购包选取1家</w:t>
      </w:r>
      <w:r>
        <w:rPr>
          <w:rFonts w:ascii="宋体" w:hAnsi="宋体"/>
          <w:sz w:val="24"/>
          <w:highlight w:val="none"/>
        </w:rPr>
        <w:t>供应商，</w:t>
      </w:r>
      <w:r>
        <w:rPr>
          <w:rFonts w:hint="eastAsia" w:ascii="宋体" w:hAnsi="宋体"/>
          <w:sz w:val="24"/>
          <w:highlight w:val="none"/>
        </w:rPr>
        <w:t>兼投不兼中。投标人可兼投多个采购包但只能成为一个采购包的成交供应商。如响应供应商已经成为前面采购包的第一成交候选人，可参与后面采购包的详细评审，但不能被推荐为成交候选人</w:t>
      </w:r>
      <w:r>
        <w:rPr>
          <w:rFonts w:ascii="宋体" w:hAnsi="宋体"/>
          <w:sz w:val="24"/>
          <w:highlight w:val="none"/>
        </w:rPr>
        <w:t>。参与评审的供应商</w:t>
      </w:r>
      <w:r>
        <w:rPr>
          <w:rFonts w:hint="eastAsia" w:ascii="宋体" w:hAnsi="宋体"/>
          <w:sz w:val="24"/>
          <w:highlight w:val="none"/>
        </w:rPr>
        <w:t>综合得分排名第一的为采购包一的成交候选人；综合得分排名第二的为采购包二的成交候选人。</w:t>
      </w:r>
      <w:r>
        <w:rPr>
          <w:rFonts w:hint="eastAsia" w:ascii="宋体" w:hAnsi="宋体"/>
          <w:b/>
          <w:sz w:val="24"/>
          <w:highlight w:val="none"/>
        </w:rPr>
        <w:t>如出现符合资格条件的响应供应商或者对采购文件作实质响应的有效响应供应商不足三家的情况</w:t>
      </w:r>
      <w:r>
        <w:rPr>
          <w:rFonts w:hint="eastAsia" w:ascii="宋体" w:hAnsi="宋体"/>
          <w:b/>
          <w:sz w:val="24"/>
          <w:highlight w:val="none"/>
          <w:lang w:val="en-US" w:eastAsia="zh-CN"/>
        </w:rPr>
        <w:t>,该采购包</w:t>
      </w:r>
      <w:r>
        <w:rPr>
          <w:rFonts w:hint="eastAsia" w:ascii="宋体" w:hAnsi="宋体"/>
          <w:b/>
          <w:sz w:val="24"/>
          <w:highlight w:val="none"/>
        </w:rPr>
        <w:t>将作废处理。</w:t>
      </w:r>
    </w:p>
    <w:p w14:paraId="4A4ED210">
      <w:pPr>
        <w:widowControl/>
        <w:numPr>
          <w:ilvl w:val="1"/>
          <w:numId w:val="2"/>
        </w:numPr>
        <w:spacing w:line="460" w:lineRule="exact"/>
        <w:ind w:left="0" w:firstLine="425"/>
        <w:rPr>
          <w:rFonts w:ascii="宋体" w:hAnsi="宋体"/>
          <w:sz w:val="24"/>
          <w:highlight w:val="none"/>
        </w:rPr>
      </w:pPr>
      <w:r>
        <w:rPr>
          <w:rFonts w:hint="eastAsia" w:ascii="宋体" w:hAnsi="宋体"/>
          <w:sz w:val="24"/>
          <w:highlight w:val="none"/>
        </w:rPr>
        <w:t>资金来源：自筹资金</w:t>
      </w:r>
    </w:p>
    <w:p w14:paraId="014195B6">
      <w:pPr>
        <w:widowControl/>
        <w:spacing w:line="460" w:lineRule="exact"/>
        <w:ind w:left="560"/>
        <w:rPr>
          <w:rFonts w:ascii="宋体" w:hAnsi="宋体"/>
          <w:b/>
          <w:sz w:val="24"/>
          <w:highlight w:val="none"/>
        </w:rPr>
      </w:pPr>
      <w:r>
        <w:rPr>
          <w:rFonts w:hint="eastAsia" w:ascii="宋体" w:hAnsi="宋体"/>
          <w:b/>
          <w:sz w:val="24"/>
          <w:highlight w:val="none"/>
        </w:rPr>
        <w:t>二、响应供应商资格要求</w:t>
      </w:r>
    </w:p>
    <w:p w14:paraId="738CAE3A">
      <w:pPr>
        <w:spacing w:line="360" w:lineRule="auto"/>
        <w:ind w:firstLine="720" w:firstLineChars="300"/>
        <w:rPr>
          <w:rFonts w:ascii="宋体" w:hAnsi="宋体"/>
          <w:sz w:val="24"/>
          <w:highlight w:val="none"/>
        </w:rPr>
      </w:pPr>
      <w:r>
        <w:rPr>
          <w:rFonts w:hint="eastAsia" w:ascii="宋体" w:hAnsi="宋体"/>
          <w:sz w:val="24"/>
          <w:highlight w:val="none"/>
        </w:rPr>
        <w:t>（一）响应供应商须为在中华人民共和国境内注册且具有独立法人资格单位或有营业执照。</w:t>
      </w:r>
    </w:p>
    <w:p w14:paraId="3C5D55E5">
      <w:pPr>
        <w:spacing w:line="360" w:lineRule="auto"/>
        <w:ind w:firstLine="720" w:firstLineChars="300"/>
        <w:rPr>
          <w:rFonts w:ascii="宋体" w:hAnsi="宋体"/>
          <w:sz w:val="24"/>
          <w:highlight w:val="none"/>
        </w:rPr>
      </w:pPr>
      <w:r>
        <w:rPr>
          <w:rFonts w:hint="eastAsia" w:ascii="宋体" w:hAnsi="宋体"/>
          <w:sz w:val="24"/>
          <w:highlight w:val="none"/>
        </w:rPr>
        <w:t>（二）</w:t>
      </w:r>
      <w:r>
        <w:rPr>
          <w:rFonts w:ascii="宋体" w:hAnsi="宋体"/>
          <w:sz w:val="24"/>
          <w:highlight w:val="none"/>
        </w:rPr>
        <w:t>本项目不接受联合体投标，不允许响应供应商对本采购货物及其相关服务进行分包和转包。</w:t>
      </w:r>
    </w:p>
    <w:p w14:paraId="34895C1B">
      <w:pPr>
        <w:pStyle w:val="5"/>
        <w:ind w:firstLine="480" w:firstLineChars="200"/>
        <w:rPr>
          <w:rFonts w:ascii="宋体" w:hAnsi="宋体" w:eastAsia="宋体"/>
          <w:sz w:val="24"/>
          <w:szCs w:val="24"/>
          <w:highlight w:val="none"/>
        </w:rPr>
      </w:pPr>
      <w:r>
        <w:rPr>
          <w:rFonts w:hint="eastAsia" w:ascii="宋体" w:hAnsi="宋体" w:eastAsia="宋体"/>
          <w:sz w:val="24"/>
          <w:szCs w:val="24"/>
          <w:highlight w:val="none"/>
        </w:rPr>
        <w:t>（三）具有专利代理机构执业许可证（提供证书复印件加盖公章）</w:t>
      </w:r>
    </w:p>
    <w:p w14:paraId="131DDAE6">
      <w:pPr>
        <w:widowControl/>
        <w:spacing w:line="460" w:lineRule="exact"/>
        <w:ind w:left="560"/>
        <w:rPr>
          <w:rFonts w:ascii="宋体" w:hAnsi="宋体"/>
          <w:b/>
          <w:sz w:val="24"/>
          <w:highlight w:val="none"/>
        </w:rPr>
      </w:pPr>
      <w:r>
        <w:rPr>
          <w:rFonts w:hint="eastAsia" w:ascii="宋体" w:hAnsi="宋体"/>
          <w:b/>
          <w:sz w:val="24"/>
          <w:highlight w:val="none"/>
        </w:rPr>
        <w:t>三、询比文件取得的时间、方式及询比文件售价</w:t>
      </w:r>
    </w:p>
    <w:p w14:paraId="28BA859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（一）采购人通过</w:t>
      </w:r>
      <w:r>
        <w:rPr>
          <w:rFonts w:hint="eastAsia" w:asciiTheme="minorEastAsia" w:hAnsiTheme="minorEastAsia" w:eastAsiaTheme="minorEastAsia"/>
          <w:sz w:val="24"/>
          <w:highlight w:val="none"/>
          <w:lang w:val="en-US" w:eastAsia="zh-CN"/>
        </w:rPr>
        <w:t>公告</w:t>
      </w:r>
      <w:r>
        <w:rPr>
          <w:rFonts w:hint="eastAsia" w:asciiTheme="minorEastAsia" w:hAnsiTheme="minorEastAsia" w:eastAsiaTheme="minorEastAsia"/>
          <w:sz w:val="24"/>
          <w:highlight w:val="none"/>
        </w:rPr>
        <w:t>形式发送询比文件，时间</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2025</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25</w:t>
      </w:r>
      <w:r>
        <w:rPr>
          <w:rFonts w:hint="eastAsia" w:asciiTheme="minorEastAsia" w:hAnsiTheme="minorEastAsia" w:eastAsiaTheme="minorEastAsia"/>
          <w:sz w:val="24"/>
          <w:highlight w:val="none"/>
        </w:rPr>
        <w:t>日</w:t>
      </w:r>
    </w:p>
    <w:p w14:paraId="0BB2E40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（二）采用院内询比的方式进行。</w:t>
      </w:r>
    </w:p>
    <w:p w14:paraId="5215261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（三）询比文件工本费：人民币 0元/套。</w:t>
      </w:r>
    </w:p>
    <w:p w14:paraId="5FF308A8">
      <w:pPr>
        <w:widowControl/>
        <w:spacing w:line="460" w:lineRule="exact"/>
        <w:ind w:left="560"/>
        <w:rPr>
          <w:rFonts w:ascii="宋体" w:hAnsi="宋体"/>
          <w:b/>
          <w:sz w:val="24"/>
          <w:highlight w:val="none"/>
        </w:rPr>
      </w:pPr>
      <w:r>
        <w:rPr>
          <w:rFonts w:hint="eastAsia" w:ascii="宋体" w:hAnsi="宋体"/>
          <w:b/>
          <w:sz w:val="24"/>
          <w:highlight w:val="none"/>
        </w:rPr>
        <w:t>四、递交响应文件时间、截止及开标时间、开标地点</w:t>
      </w:r>
    </w:p>
    <w:p w14:paraId="6C209079">
      <w:pPr>
        <w:widowControl/>
        <w:spacing w:line="46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（一）</w:t>
      </w:r>
      <w:r>
        <w:rPr>
          <w:rFonts w:hint="eastAsia" w:ascii="宋体" w:hAnsi="宋体"/>
          <w:b/>
          <w:sz w:val="24"/>
          <w:highlight w:val="none"/>
        </w:rPr>
        <w:t>递交响应文件时间：</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8</w:t>
      </w:r>
      <w:r>
        <w:rPr>
          <w:rFonts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 xml:space="preserve"> 日</w:t>
      </w:r>
      <w:r>
        <w:rPr>
          <w:rFonts w:hint="eastAsia" w:ascii="宋体" w:hAnsi="宋体"/>
          <w:sz w:val="24"/>
          <w:highlight w:val="none"/>
          <w:lang w:val="en-US" w:eastAsia="zh-CN"/>
        </w:rPr>
        <w:t>9</w:t>
      </w:r>
      <w:r>
        <w:rPr>
          <w:rFonts w:ascii="宋体" w:hAnsi="宋体"/>
          <w:sz w:val="24"/>
          <w:highlight w:val="none"/>
        </w:rPr>
        <w:t>:</w:t>
      </w:r>
      <w:r>
        <w:rPr>
          <w:rFonts w:hint="eastAsia" w:ascii="宋体" w:hAnsi="宋体"/>
          <w:sz w:val="24"/>
          <w:highlight w:val="none"/>
          <w:lang w:val="en-US" w:eastAsia="zh-CN"/>
        </w:rPr>
        <w:t>00</w:t>
      </w:r>
      <w:r>
        <w:rPr>
          <w:rFonts w:ascii="宋体" w:hAnsi="宋体"/>
          <w:sz w:val="24"/>
          <w:highlight w:val="none"/>
        </w:rPr>
        <w:t>—</w:t>
      </w:r>
      <w:r>
        <w:rPr>
          <w:rFonts w:hint="eastAsia" w:ascii="宋体" w:hAnsi="宋体"/>
          <w:sz w:val="24"/>
          <w:highlight w:val="none"/>
          <w:lang w:val="en-US" w:eastAsia="zh-CN"/>
        </w:rPr>
        <w:t>9</w:t>
      </w:r>
      <w:r>
        <w:rPr>
          <w:rFonts w:ascii="宋体" w:hAnsi="宋体"/>
          <w:sz w:val="24"/>
          <w:highlight w:val="none"/>
        </w:rPr>
        <w:t>:</w:t>
      </w:r>
      <w:r>
        <w:rPr>
          <w:rFonts w:hint="eastAsia" w:ascii="宋体" w:hAnsi="宋体"/>
          <w:sz w:val="24"/>
          <w:highlight w:val="none"/>
          <w:lang w:val="en-US" w:eastAsia="zh-CN"/>
        </w:rPr>
        <w:t>30</w:t>
      </w:r>
    </w:p>
    <w:p w14:paraId="572B6D70">
      <w:pPr>
        <w:widowControl/>
        <w:spacing w:line="460" w:lineRule="exact"/>
        <w:ind w:firstLine="480" w:firstLineChars="200"/>
        <w:rPr>
          <w:rFonts w:ascii="宋体" w:hAnsi="宋体"/>
          <w:sz w:val="24"/>
          <w:highlight w:val="none"/>
        </w:rPr>
      </w:pPr>
      <w:r>
        <w:rPr>
          <w:rFonts w:hint="eastAsia" w:ascii="宋体" w:hAnsi="宋体"/>
          <w:sz w:val="24"/>
          <w:highlight w:val="none"/>
        </w:rPr>
        <w:t>（二）</w:t>
      </w:r>
      <w:r>
        <w:rPr>
          <w:rFonts w:hint="eastAsia" w:ascii="宋体" w:hAnsi="宋体"/>
          <w:b/>
          <w:sz w:val="24"/>
          <w:highlight w:val="none"/>
        </w:rPr>
        <w:t>询比截止及开标时间：</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8</w:t>
      </w:r>
      <w:r>
        <w:rPr>
          <w:rFonts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 xml:space="preserve"> 日</w:t>
      </w:r>
      <w:r>
        <w:rPr>
          <w:rFonts w:hint="eastAsia" w:ascii="宋体" w:hAnsi="宋体"/>
          <w:sz w:val="24"/>
          <w:highlight w:val="none"/>
          <w:lang w:val="en-US" w:eastAsia="zh-CN"/>
        </w:rPr>
        <w:t>9</w:t>
      </w:r>
      <w:r>
        <w:rPr>
          <w:rFonts w:ascii="宋体" w:hAnsi="宋体"/>
          <w:sz w:val="24"/>
          <w:highlight w:val="none"/>
        </w:rPr>
        <w:t>:</w:t>
      </w:r>
      <w:r>
        <w:rPr>
          <w:rFonts w:hint="eastAsia" w:ascii="宋体" w:hAnsi="宋体"/>
          <w:sz w:val="24"/>
          <w:highlight w:val="none"/>
          <w:lang w:val="en-US" w:eastAsia="zh-CN"/>
        </w:rPr>
        <w:t>30</w:t>
      </w:r>
    </w:p>
    <w:p w14:paraId="319DE969">
      <w:pPr>
        <w:widowControl/>
        <w:spacing w:line="460" w:lineRule="exact"/>
        <w:ind w:firstLine="480" w:firstLineChars="200"/>
        <w:rPr>
          <w:rFonts w:ascii="宋体" w:hAnsi="宋体"/>
          <w:sz w:val="24"/>
          <w:highlight w:val="none"/>
        </w:rPr>
      </w:pPr>
      <w:r>
        <w:rPr>
          <w:rFonts w:hint="eastAsia" w:ascii="宋体" w:hAnsi="宋体"/>
          <w:sz w:val="24"/>
          <w:highlight w:val="none"/>
        </w:rPr>
        <w:t>（三）</w:t>
      </w:r>
      <w:r>
        <w:rPr>
          <w:rFonts w:hint="eastAsia" w:ascii="宋体" w:hAnsi="宋体"/>
          <w:b/>
          <w:sz w:val="24"/>
          <w:highlight w:val="none"/>
        </w:rPr>
        <w:t>开标地点:</w:t>
      </w:r>
      <w:r>
        <w:rPr>
          <w:rFonts w:hint="eastAsia" w:ascii="宋体" w:hAnsi="宋体"/>
          <w:sz w:val="24"/>
          <w:highlight w:val="none"/>
        </w:rPr>
        <w:t>广州医科大学附属番禺中心医院门诊楼</w:t>
      </w:r>
      <w:r>
        <w:rPr>
          <w:rFonts w:ascii="宋体" w:hAnsi="宋体"/>
          <w:sz w:val="24"/>
          <w:highlight w:val="none"/>
        </w:rPr>
        <w:t>4楼</w:t>
      </w:r>
      <w:r>
        <w:rPr>
          <w:rFonts w:hint="eastAsia" w:ascii="宋体" w:hAnsi="宋体"/>
          <w:sz w:val="24"/>
          <w:highlight w:val="none"/>
        </w:rPr>
        <w:t>会议中心40</w:t>
      </w:r>
      <w:r>
        <w:rPr>
          <w:rFonts w:hint="eastAsia" w:ascii="宋体" w:hAnsi="宋体"/>
          <w:sz w:val="24"/>
          <w:highlight w:val="none"/>
          <w:lang w:val="en-US" w:eastAsia="zh-CN"/>
        </w:rPr>
        <w:t>4</w:t>
      </w:r>
      <w:r>
        <w:rPr>
          <w:rFonts w:hint="eastAsia" w:ascii="宋体" w:hAnsi="宋体"/>
          <w:sz w:val="24"/>
          <w:highlight w:val="none"/>
        </w:rPr>
        <w:t>室</w:t>
      </w:r>
    </w:p>
    <w:p w14:paraId="5DBA5728">
      <w:pPr>
        <w:widowControl/>
        <w:spacing w:line="460" w:lineRule="exact"/>
        <w:ind w:left="560"/>
        <w:rPr>
          <w:rFonts w:ascii="宋体" w:hAnsi="宋体"/>
          <w:b/>
          <w:sz w:val="24"/>
          <w:highlight w:val="none"/>
        </w:rPr>
      </w:pPr>
      <w:r>
        <w:rPr>
          <w:rFonts w:hint="eastAsia" w:ascii="宋体" w:hAnsi="宋体"/>
          <w:b/>
          <w:sz w:val="24"/>
          <w:highlight w:val="none"/>
        </w:rPr>
        <w:t>五、采购信息发布及结果公告</w:t>
      </w:r>
    </w:p>
    <w:p w14:paraId="60462541">
      <w:pPr>
        <w:spacing w:line="460" w:lineRule="exact"/>
        <w:ind w:left="569"/>
        <w:rPr>
          <w:rFonts w:ascii="宋体" w:hAnsi="宋体"/>
          <w:sz w:val="24"/>
          <w:highlight w:val="none"/>
        </w:rPr>
      </w:pPr>
      <w:r>
        <w:rPr>
          <w:rFonts w:hint="eastAsia" w:ascii="宋体" w:hAnsi="宋体"/>
          <w:sz w:val="24"/>
          <w:highlight w:val="none"/>
        </w:rPr>
        <w:t>采用公告询比的方式进行，成交结果通过邮件形式告知。</w:t>
      </w:r>
    </w:p>
    <w:p w14:paraId="3ED3577A">
      <w:pPr>
        <w:spacing w:line="460" w:lineRule="exact"/>
        <w:ind w:left="569"/>
        <w:rPr>
          <w:rFonts w:ascii="宋体" w:hAnsi="宋体"/>
          <w:sz w:val="24"/>
          <w:highlight w:val="none"/>
        </w:rPr>
      </w:pPr>
      <w:r>
        <w:rPr>
          <w:rFonts w:hint="eastAsia" w:ascii="宋体" w:hAnsi="宋体"/>
          <w:sz w:val="24"/>
          <w:highlight w:val="none"/>
        </w:rPr>
        <w:t>采购人邮箱：p</w:t>
      </w:r>
      <w:r>
        <w:rPr>
          <w:rFonts w:ascii="宋体" w:hAnsi="宋体"/>
          <w:sz w:val="24"/>
          <w:highlight w:val="none"/>
        </w:rPr>
        <w:t>y_zcb@163.com</w:t>
      </w:r>
    </w:p>
    <w:p w14:paraId="3E10E1E4">
      <w:pPr>
        <w:widowControl/>
        <w:spacing w:line="460" w:lineRule="exact"/>
        <w:ind w:left="560"/>
        <w:rPr>
          <w:rFonts w:ascii="宋体" w:hAnsi="宋体"/>
          <w:b/>
          <w:sz w:val="24"/>
          <w:highlight w:val="none"/>
        </w:rPr>
      </w:pPr>
      <w:r>
        <w:rPr>
          <w:rFonts w:hint="eastAsia" w:ascii="宋体" w:hAnsi="宋体"/>
          <w:b/>
          <w:sz w:val="24"/>
          <w:highlight w:val="none"/>
        </w:rPr>
        <w:t>六、采购人的名称、地址和联系方式</w:t>
      </w:r>
    </w:p>
    <w:p w14:paraId="3055FA67">
      <w:pPr>
        <w:spacing w:line="460" w:lineRule="exact"/>
        <w:ind w:left="539" w:leftChars="257"/>
        <w:rPr>
          <w:rFonts w:ascii="宋体" w:hAnsi="宋体"/>
          <w:sz w:val="24"/>
          <w:highlight w:val="none"/>
        </w:rPr>
      </w:pPr>
      <w:r>
        <w:rPr>
          <w:rFonts w:hint="eastAsia" w:ascii="宋体" w:hAnsi="宋体"/>
          <w:sz w:val="24"/>
          <w:highlight w:val="none"/>
        </w:rPr>
        <w:t>采购人名称</w:t>
      </w:r>
      <w:r>
        <w:rPr>
          <w:rFonts w:hint="eastAsia" w:ascii="宋体" w:hAnsi="宋体" w:cs="Tahoma"/>
          <w:sz w:val="24"/>
          <w:highlight w:val="none"/>
        </w:rPr>
        <w:t>：</w:t>
      </w:r>
      <w:r>
        <w:rPr>
          <w:rFonts w:hint="eastAsia" w:ascii="宋体" w:hAnsi="宋体"/>
          <w:sz w:val="24"/>
          <w:highlight w:val="none"/>
        </w:rPr>
        <w:t>广州医科大学附属番禺中心医院</w:t>
      </w:r>
    </w:p>
    <w:p w14:paraId="4093140C">
      <w:pPr>
        <w:spacing w:line="460" w:lineRule="exact"/>
        <w:ind w:left="539" w:leftChars="257"/>
        <w:rPr>
          <w:rFonts w:ascii="宋体" w:hAnsi="宋体" w:cs="Tahoma"/>
          <w:sz w:val="24"/>
          <w:highlight w:val="none"/>
        </w:rPr>
      </w:pPr>
      <w:r>
        <w:rPr>
          <w:rFonts w:hint="eastAsia" w:ascii="宋体" w:hAnsi="宋体"/>
          <w:sz w:val="24"/>
          <w:highlight w:val="none"/>
        </w:rPr>
        <w:t>采购人地址</w:t>
      </w:r>
      <w:r>
        <w:rPr>
          <w:rFonts w:hint="eastAsia" w:ascii="宋体" w:hAnsi="宋体" w:cs="Tahoma"/>
          <w:sz w:val="24"/>
          <w:highlight w:val="none"/>
        </w:rPr>
        <w:t>：广州市番禺区桥南街福愉东路8号</w:t>
      </w:r>
    </w:p>
    <w:p w14:paraId="3D45E3DE">
      <w:pPr>
        <w:spacing w:line="460" w:lineRule="exact"/>
        <w:ind w:left="539" w:leftChars="257"/>
        <w:rPr>
          <w:rFonts w:ascii="宋体" w:hAnsi="宋体"/>
          <w:sz w:val="24"/>
          <w:highlight w:val="none"/>
        </w:rPr>
      </w:pPr>
      <w:r>
        <w:rPr>
          <w:rFonts w:hint="eastAsia" w:ascii="宋体" w:hAnsi="宋体"/>
          <w:sz w:val="24"/>
          <w:highlight w:val="none"/>
        </w:rPr>
        <w:t>联系人：黄工 联系电话：020-34858</w:t>
      </w:r>
      <w:r>
        <w:rPr>
          <w:rFonts w:ascii="宋体" w:hAnsi="宋体"/>
          <w:sz w:val="24"/>
          <w:highlight w:val="none"/>
        </w:rPr>
        <w:t>891</w:t>
      </w:r>
    </w:p>
    <w:p w14:paraId="247AE756">
      <w:pPr>
        <w:pStyle w:val="5"/>
        <w:rPr>
          <w:highlight w:val="none"/>
        </w:rPr>
      </w:pPr>
    </w:p>
    <w:p w14:paraId="585B857D">
      <w:pPr>
        <w:pStyle w:val="5"/>
        <w:rPr>
          <w:highlight w:val="none"/>
        </w:rPr>
      </w:pPr>
    </w:p>
    <w:p w14:paraId="4F7E68DA">
      <w:pPr>
        <w:pStyle w:val="5"/>
        <w:rPr>
          <w:highlight w:val="none"/>
        </w:rPr>
      </w:pPr>
    </w:p>
    <w:p w14:paraId="55435B54">
      <w:pPr>
        <w:pStyle w:val="5"/>
        <w:rPr>
          <w:highlight w:val="none"/>
        </w:rPr>
      </w:pPr>
    </w:p>
    <w:p w14:paraId="23FAE046">
      <w:pPr>
        <w:pStyle w:val="5"/>
        <w:rPr>
          <w:highlight w:val="none"/>
        </w:rPr>
      </w:pPr>
    </w:p>
    <w:p w14:paraId="28A8CEFE">
      <w:pPr>
        <w:pStyle w:val="5"/>
        <w:rPr>
          <w:highlight w:val="none"/>
        </w:rPr>
      </w:pPr>
    </w:p>
    <w:p w14:paraId="48FF98F3">
      <w:pPr>
        <w:pStyle w:val="5"/>
        <w:rPr>
          <w:highlight w:val="none"/>
        </w:rPr>
      </w:pPr>
    </w:p>
    <w:p w14:paraId="625B1442">
      <w:pPr>
        <w:pStyle w:val="5"/>
        <w:rPr>
          <w:highlight w:val="none"/>
        </w:rPr>
      </w:pPr>
    </w:p>
    <w:p w14:paraId="30A33F6C">
      <w:pPr>
        <w:pStyle w:val="5"/>
        <w:rPr>
          <w:highlight w:val="none"/>
        </w:rPr>
      </w:pPr>
    </w:p>
    <w:p w14:paraId="25847E81">
      <w:pPr>
        <w:pStyle w:val="5"/>
        <w:ind w:firstLine="0"/>
        <w:rPr>
          <w:highlight w:val="none"/>
        </w:rPr>
      </w:pPr>
      <w:r>
        <w:rPr>
          <w:highlight w:val="none"/>
        </w:rPr>
        <w:br w:type="page"/>
      </w:r>
    </w:p>
    <w:p w14:paraId="1911D5E2">
      <w:pPr>
        <w:spacing w:line="312" w:lineRule="auto"/>
        <w:jc w:val="center"/>
        <w:outlineLvl w:val="0"/>
        <w:rPr>
          <w:rFonts w:asciiTheme="minorEastAsia" w:hAnsiTheme="minorEastAsia" w:eastAsiaTheme="minorEastAsia"/>
          <w:b/>
          <w:sz w:val="32"/>
          <w:highlight w:val="none"/>
        </w:rPr>
      </w:pPr>
      <w:r>
        <w:rPr>
          <w:rFonts w:hint="eastAsia" w:asciiTheme="minorEastAsia" w:hAnsiTheme="minorEastAsia" w:eastAsiaTheme="minorEastAsia"/>
          <w:b/>
          <w:sz w:val="32"/>
          <w:highlight w:val="none"/>
        </w:rPr>
        <w:t>第二部分</w:t>
      </w:r>
      <w:r>
        <w:rPr>
          <w:rFonts w:hint="eastAsia" w:cs="宋体" w:asciiTheme="minorEastAsia" w:hAnsiTheme="minorEastAsia" w:eastAsiaTheme="minorEastAsia"/>
          <w:b/>
          <w:sz w:val="44"/>
          <w:szCs w:val="44"/>
          <w:highlight w:val="none"/>
        </w:rPr>
        <w:t xml:space="preserve"> </w:t>
      </w:r>
      <w:r>
        <w:rPr>
          <w:rFonts w:hint="eastAsia" w:asciiTheme="minorEastAsia" w:hAnsiTheme="minorEastAsia" w:eastAsiaTheme="minorEastAsia"/>
          <w:b/>
          <w:sz w:val="32"/>
          <w:highlight w:val="none"/>
        </w:rPr>
        <w:t>供应商须知</w:t>
      </w:r>
    </w:p>
    <w:p w14:paraId="70026CB5">
      <w:pPr>
        <w:pStyle w:val="5"/>
        <w:rPr>
          <w:highlight w:val="none"/>
        </w:rPr>
      </w:pPr>
    </w:p>
    <w:p w14:paraId="4B97AFEA">
      <w:pPr>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一、响应文件的构成</w:t>
      </w:r>
    </w:p>
    <w:p w14:paraId="2D75679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（一）响应文件须按照第六部分的要求分别单独装订成册。</w:t>
      </w:r>
    </w:p>
    <w:p w14:paraId="06C5845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（二）响应文件应装订牢固不可拆卸（如：胶订），如因装订不牢固导致的任何损失由响应供应商承担。</w:t>
      </w:r>
    </w:p>
    <w:p w14:paraId="02A1013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（三）响应文件数量：正本1份，副本</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份。</w:t>
      </w:r>
    </w:p>
    <w:p w14:paraId="628932D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（四）所有纸质响应文件（除特殊规格的图纸等外）应按A4规格制作；采用双面打印或复印。</w:t>
      </w:r>
    </w:p>
    <w:p w14:paraId="6A80AC7F">
      <w:pPr>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二、响应文件的编写</w:t>
      </w:r>
    </w:p>
    <w:p w14:paraId="65FC6E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★（一）响应供应商不得将项目内容拆开响应，否则其报价将被视为非实质性响应。</w:t>
      </w:r>
    </w:p>
    <w:p w14:paraId="6672DB9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响应供应商应按询比文件的规定及附件要求的内容和格式完整地填写和提供资料。响应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p w14:paraId="45CBD89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（三）询比文件中，凡标有“★”的地方均为须实质响应条款，响应供应商若有一项带“★”的条款未响应或不满足，将按无效响应处理。</w:t>
      </w:r>
    </w:p>
    <w:p w14:paraId="6D07BB9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★（四）响应供应商须对询比文件的对应要求给予唯一的实质性响应，否则将视为不响应。</w:t>
      </w:r>
    </w:p>
    <w:p w14:paraId="09B4C0A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（五）除在询比文件另有规定外，计量单位应使用中华人民共和国法定计量单位，以人民币填报所有报价。</w:t>
      </w:r>
    </w:p>
    <w:p w14:paraId="3FB9A99F">
      <w:pPr>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三、响应文件的标记和密封</w:t>
      </w:r>
    </w:p>
    <w:p w14:paraId="2E7298A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（一）响应文件的任何涂改或修正，必须由响应供应商代表签字确认。</w:t>
      </w:r>
    </w:p>
    <w:p w14:paraId="1865DDE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（二）响应文件封面标明“正本”或“副本”，并盖章。副本可采用正本的复印件，一旦正本与副本不符，以正本为准。</w:t>
      </w:r>
    </w:p>
    <w:p w14:paraId="2C55154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（三）正本、副本单独封装。封套表面标明“正本”或“副本”字样，在每一封套上按以下顺序标明如下字样：</w:t>
      </w:r>
    </w:p>
    <w:tbl>
      <w:tblPr>
        <w:tblStyle w:val="37"/>
        <w:tblW w:w="0" w:type="auto"/>
        <w:jc w:val="center"/>
        <w:shd w:val="clear" w:color="auto" w:fill="E6E6E6"/>
        <w:tblLayout w:type="fixed"/>
        <w:tblCellMar>
          <w:top w:w="0" w:type="dxa"/>
          <w:left w:w="108" w:type="dxa"/>
          <w:bottom w:w="0" w:type="dxa"/>
          <w:right w:w="108" w:type="dxa"/>
        </w:tblCellMar>
      </w:tblPr>
      <w:tblGrid>
        <w:gridCol w:w="7160"/>
      </w:tblGrid>
      <w:tr w14:paraId="7F2C98F0">
        <w:tblPrEx>
          <w:shd w:val="clear" w:color="auto" w:fill="E6E6E6"/>
          <w:tblCellMar>
            <w:top w:w="0" w:type="dxa"/>
            <w:left w:w="108" w:type="dxa"/>
            <w:bottom w:w="0" w:type="dxa"/>
            <w:right w:w="108" w:type="dxa"/>
          </w:tblCellMar>
        </w:tblPrEx>
        <w:trPr>
          <w:trHeight w:val="462" w:hRule="atLeast"/>
          <w:jc w:val="center"/>
        </w:trPr>
        <w:tc>
          <w:tcPr>
            <w:tcW w:w="7160" w:type="dxa"/>
            <w:shd w:val="clear" w:color="auto" w:fill="E6E6E6"/>
          </w:tcPr>
          <w:p w14:paraId="68B2C01B">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收件人：广州医科大学附属番禺中心医院</w:t>
            </w:r>
          </w:p>
          <w:p w14:paraId="46DB13CC">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rPr>
              <w:t>广州医科大学附属番禺中心医院2025年专利代理服务项目</w:t>
            </w:r>
          </w:p>
          <w:p w14:paraId="78C16C78">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响应供应商名称：X</w:t>
            </w:r>
            <w:r>
              <w:rPr>
                <w:rFonts w:hint="default" w:asciiTheme="minorEastAsia" w:hAnsiTheme="minorEastAsia" w:eastAsiaTheme="minorEastAsia"/>
                <w:sz w:val="24"/>
                <w:highlight w:val="none"/>
              </w:rPr>
              <w:t>XX</w:t>
            </w:r>
          </w:p>
          <w:p w14:paraId="018C1A7F">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响应供应商地址、联系人、电话及传真号码：</w:t>
            </w:r>
          </w:p>
          <w:p w14:paraId="38D33F91">
            <w:pPr>
              <w:pStyle w:val="5"/>
              <w:keepNext w:val="0"/>
              <w:keepLines w:val="0"/>
              <w:suppressLineNumbers w:val="0"/>
              <w:spacing w:before="0" w:beforeAutospacing="0" w:after="0" w:afterAutospacing="0"/>
              <w:ind w:left="0" w:right="0"/>
              <w:rPr>
                <w:rFonts w:hint="default"/>
                <w:highlight w:val="none"/>
              </w:rPr>
            </w:pPr>
            <w:r>
              <w:rPr>
                <w:rFonts w:hint="eastAsia" w:asciiTheme="minorEastAsia" w:hAnsiTheme="minorEastAsia" w:eastAsiaTheme="minorEastAsia"/>
                <w:sz w:val="24"/>
                <w:highlight w:val="none"/>
              </w:rPr>
              <w:t>X</w:t>
            </w:r>
            <w:r>
              <w:rPr>
                <w:rFonts w:hint="default" w:asciiTheme="minorEastAsia" w:hAnsiTheme="minorEastAsia" w:eastAsiaTheme="minorEastAsia"/>
                <w:sz w:val="24"/>
                <w:highlight w:val="none"/>
              </w:rPr>
              <w:t>XXX</w:t>
            </w:r>
          </w:p>
          <w:p w14:paraId="649C9ED9">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在规定的开标时间</w:t>
            </w:r>
            <w:r>
              <w:rPr>
                <w:rFonts w:hint="eastAsia" w:asciiTheme="minorEastAsia" w:hAnsiTheme="minorEastAsia" w:eastAsiaTheme="minorEastAsia"/>
                <w:sz w:val="24"/>
                <w:highlight w:val="none"/>
                <w:lang w:val="en-US" w:eastAsia="zh-CN"/>
              </w:rPr>
              <w:t>2025</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时</w:t>
            </w:r>
            <w:r>
              <w:rPr>
                <w:rFonts w:hint="eastAsia" w:asciiTheme="minorEastAsia" w:hAnsiTheme="minorEastAsia" w:eastAsiaTheme="minorEastAsia"/>
                <w:sz w:val="24"/>
                <w:highlight w:val="none"/>
                <w:lang w:val="en-US" w:eastAsia="zh-CN"/>
              </w:rPr>
              <w:t>30</w:t>
            </w:r>
            <w:r>
              <w:rPr>
                <w:rFonts w:hint="eastAsia" w:asciiTheme="minorEastAsia" w:hAnsiTheme="minorEastAsia" w:eastAsiaTheme="minorEastAsia"/>
                <w:sz w:val="24"/>
                <w:highlight w:val="none"/>
              </w:rPr>
              <w:t>分前不得启封</w:t>
            </w:r>
          </w:p>
        </w:tc>
      </w:tr>
    </w:tbl>
    <w:p w14:paraId="78F19F8C">
      <w:pPr>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四、响应文件的递交</w:t>
      </w:r>
    </w:p>
    <w:p w14:paraId="11AA52E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（一）所有响应文件应在响应截止时间前送达开标地点。</w:t>
      </w:r>
    </w:p>
    <w:p w14:paraId="4128004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（二）采购人将拒绝以下情况的响应文件：</w:t>
      </w:r>
    </w:p>
    <w:p w14:paraId="600C6BA6">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未按要求密封的。</w:t>
      </w:r>
    </w:p>
    <w:p w14:paraId="57B167FD">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迟于响应截止时间递交的。</w:t>
      </w:r>
    </w:p>
    <w:p w14:paraId="622E0D0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采购人不接受邮寄、电报、电话、传真方式响应。</w:t>
      </w:r>
    </w:p>
    <w:p w14:paraId="0594928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三</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采购人对因不可抗力事件造成的响应文件的损坏、丢失不承担责任。</w:t>
      </w:r>
    </w:p>
    <w:p w14:paraId="3C3E13BA">
      <w:pPr>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五、响应文件的修改与撤回</w:t>
      </w:r>
    </w:p>
    <w:p w14:paraId="1B58AC5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（一）在响应截止时间之前，响应供应商可以修改或撤回其响应文件。</w:t>
      </w:r>
    </w:p>
    <w:p w14:paraId="7920311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（二）在响应截止时间之后，采购人不接受响应供应商对响应文件做任何修改及撤回。</w:t>
      </w:r>
    </w:p>
    <w:p w14:paraId="13E0FCCE">
      <w:pPr>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六、响应有效期</w:t>
      </w:r>
    </w:p>
    <w:p w14:paraId="7B11EE2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（一）开启响应文件后90天。</w:t>
      </w:r>
    </w:p>
    <w:p w14:paraId="0F2D2CA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在特殊情况下，采购人可于响应有效期满之前要求响应供应商同意延长有效期，要求与答复均以书面形式进行。响应供应商可以拒绝上述要求，但其响应将会被拒绝；同意延期的响应供应商其权利与义务相应延至新的截止期。</w:t>
      </w:r>
    </w:p>
    <w:p w14:paraId="5D4881DF">
      <w:pPr>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七、询比文件的解释权</w:t>
      </w:r>
    </w:p>
    <w:p w14:paraId="448CE2C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本询比文件由广州医科大学附属番禺中心医院负责解释。</w:t>
      </w:r>
    </w:p>
    <w:p w14:paraId="18EB5108">
      <w:pPr>
        <w:spacing w:before="156" w:beforeLines="50" w:line="360" w:lineRule="auto"/>
        <w:ind w:firstLine="480" w:firstLineChars="200"/>
        <w:rPr>
          <w:rFonts w:asciiTheme="minorEastAsia" w:hAnsiTheme="minorEastAsia" w:eastAsiaTheme="minorEastAsia"/>
          <w:sz w:val="24"/>
          <w:highlight w:val="none"/>
        </w:rPr>
      </w:pPr>
    </w:p>
    <w:p w14:paraId="4179A524">
      <w:pPr>
        <w:spacing w:line="360" w:lineRule="auto"/>
        <w:ind w:left="1320" w:firstLine="1760" w:firstLineChars="550"/>
        <w:outlineLvl w:val="0"/>
        <w:rPr>
          <w:rFonts w:ascii="宋体" w:hAnsi="宋体"/>
          <w:b/>
          <w:sz w:val="32"/>
          <w:szCs w:val="32"/>
          <w:highlight w:val="none"/>
        </w:rPr>
      </w:pPr>
      <w:bookmarkStart w:id="2" w:name="_Toc31398"/>
      <w:bookmarkStart w:id="3" w:name="_Toc386099823"/>
      <w:bookmarkStart w:id="4" w:name="_Toc384824324"/>
      <w:r>
        <w:rPr>
          <w:rFonts w:asciiTheme="minorEastAsia" w:hAnsiTheme="minorEastAsia" w:eastAsiaTheme="minorEastAsia"/>
          <w:b/>
          <w:sz w:val="32"/>
          <w:highlight w:val="none"/>
        </w:rPr>
        <w:br w:type="page"/>
      </w:r>
      <w:r>
        <w:rPr>
          <w:rFonts w:hint="eastAsia" w:asciiTheme="minorEastAsia" w:hAnsiTheme="minorEastAsia" w:eastAsiaTheme="minorEastAsia"/>
          <w:b/>
          <w:sz w:val="32"/>
          <w:szCs w:val="32"/>
          <w:highlight w:val="none"/>
        </w:rPr>
        <w:t>第三部分</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用户需求书</w:t>
      </w:r>
      <w:bookmarkEnd w:id="2"/>
      <w:bookmarkEnd w:id="3"/>
      <w:bookmarkEnd w:id="4"/>
    </w:p>
    <w:p w14:paraId="570CB371">
      <w:pPr>
        <w:pStyle w:val="107"/>
        <w:numPr>
          <w:ilvl w:val="0"/>
          <w:numId w:val="3"/>
        </w:numPr>
        <w:tabs>
          <w:tab w:val="left" w:pos="709"/>
        </w:tabs>
        <w:ind w:left="0" w:firstLine="0" w:firstLineChars="0"/>
        <w:rPr>
          <w:rFonts w:ascii="宋体" w:hAnsi="宋体"/>
          <w:sz w:val="28"/>
          <w:szCs w:val="28"/>
          <w:highlight w:val="none"/>
        </w:rPr>
      </w:pPr>
      <w:r>
        <w:rPr>
          <w:rFonts w:hint="eastAsia" w:ascii="宋体" w:hAnsi="宋体"/>
          <w:sz w:val="28"/>
          <w:szCs w:val="28"/>
          <w:highlight w:val="none"/>
        </w:rPr>
        <w:t>项目</w:t>
      </w:r>
      <w:r>
        <w:rPr>
          <w:rFonts w:ascii="宋体" w:hAnsi="宋体"/>
          <w:sz w:val="28"/>
          <w:szCs w:val="28"/>
          <w:highlight w:val="none"/>
        </w:rPr>
        <w:t>概况</w:t>
      </w:r>
    </w:p>
    <w:tbl>
      <w:tblPr>
        <w:tblStyle w:val="37"/>
        <w:tblpPr w:leftFromText="180" w:rightFromText="180" w:vertAnchor="text" w:horzAnchor="margin" w:tblpXSpec="center" w:tblpY="71"/>
        <w:tblW w:w="8404"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875"/>
        <w:gridCol w:w="3077"/>
        <w:gridCol w:w="1189"/>
      </w:tblGrid>
      <w:tr w14:paraId="708A2B50">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29" w:type="dxa"/>
            <w:vAlign w:val="center"/>
          </w:tcPr>
          <w:p w14:paraId="027345C8">
            <w:pPr>
              <w:keepNext w:val="0"/>
              <w:keepLines w:val="0"/>
              <w:widowControl/>
              <w:suppressLineNumbers w:val="0"/>
              <w:spacing w:before="0" w:beforeAutospacing="0" w:after="0" w:afterAutospacing="0"/>
              <w:ind w:left="0" w:right="0"/>
              <w:jc w:val="center"/>
              <w:rPr>
                <w:rFonts w:hint="default" w:ascii="宋体" w:hAnsi="宋体" w:cs="宋体"/>
                <w:b/>
                <w:color w:val="000000"/>
                <w:szCs w:val="21"/>
                <w:highlight w:val="none"/>
              </w:rPr>
            </w:pPr>
            <w:r>
              <w:rPr>
                <w:rFonts w:hint="eastAsia" w:ascii="宋体" w:hAnsi="宋体" w:cs="宋体"/>
                <w:b/>
                <w:color w:val="000000"/>
                <w:szCs w:val="21"/>
                <w:highlight w:val="none"/>
              </w:rPr>
              <w:t>序号</w:t>
            </w:r>
          </w:p>
        </w:tc>
        <w:tc>
          <w:tcPr>
            <w:tcW w:w="1134" w:type="dxa"/>
            <w:vAlign w:val="center"/>
          </w:tcPr>
          <w:p w14:paraId="6DC06B6E">
            <w:pPr>
              <w:keepNext w:val="0"/>
              <w:keepLines w:val="0"/>
              <w:widowControl/>
              <w:suppressLineNumbers w:val="0"/>
              <w:spacing w:before="0" w:beforeAutospacing="0" w:after="0" w:afterAutospacing="0"/>
              <w:ind w:left="0" w:right="0"/>
              <w:jc w:val="center"/>
              <w:rPr>
                <w:rFonts w:hint="default" w:ascii="宋体" w:hAnsi="宋体" w:cs="宋体"/>
                <w:b/>
                <w:color w:val="000000"/>
                <w:szCs w:val="21"/>
                <w:highlight w:val="none"/>
              </w:rPr>
            </w:pPr>
            <w:r>
              <w:rPr>
                <w:rFonts w:hint="eastAsia" w:ascii="宋体" w:hAnsi="宋体" w:cs="宋体"/>
                <w:b/>
                <w:color w:val="000000"/>
                <w:szCs w:val="21"/>
                <w:highlight w:val="none"/>
              </w:rPr>
              <w:t>主管科室</w:t>
            </w:r>
          </w:p>
        </w:tc>
        <w:tc>
          <w:tcPr>
            <w:tcW w:w="1875" w:type="dxa"/>
            <w:vAlign w:val="center"/>
          </w:tcPr>
          <w:p w14:paraId="5A0818C9">
            <w:pPr>
              <w:keepNext w:val="0"/>
              <w:keepLines w:val="0"/>
              <w:widowControl/>
              <w:suppressLineNumbers w:val="0"/>
              <w:spacing w:before="0" w:beforeAutospacing="0" w:after="0" w:afterAutospacing="0"/>
              <w:ind w:left="0" w:right="0"/>
              <w:jc w:val="center"/>
              <w:rPr>
                <w:rFonts w:hint="default" w:ascii="宋体" w:hAnsi="宋体" w:cs="宋体"/>
                <w:b/>
                <w:color w:val="000000"/>
                <w:szCs w:val="21"/>
                <w:highlight w:val="none"/>
              </w:rPr>
            </w:pPr>
            <w:r>
              <w:rPr>
                <w:rFonts w:hint="eastAsia" w:ascii="宋体" w:hAnsi="宋体" w:cs="宋体"/>
                <w:b/>
                <w:color w:val="000000"/>
                <w:szCs w:val="21"/>
                <w:highlight w:val="none"/>
              </w:rPr>
              <w:t>服务名称</w:t>
            </w:r>
          </w:p>
        </w:tc>
        <w:tc>
          <w:tcPr>
            <w:tcW w:w="3077" w:type="dxa"/>
            <w:vAlign w:val="center"/>
          </w:tcPr>
          <w:p w14:paraId="1AC9008F">
            <w:pPr>
              <w:keepNext w:val="0"/>
              <w:keepLines w:val="0"/>
              <w:widowControl/>
              <w:suppressLineNumbers w:val="0"/>
              <w:spacing w:before="0" w:beforeAutospacing="0" w:after="0" w:afterAutospacing="0"/>
              <w:ind w:left="0" w:right="0"/>
              <w:jc w:val="center"/>
              <w:rPr>
                <w:rFonts w:hint="default" w:ascii="宋体" w:hAnsi="宋体" w:cs="宋体"/>
                <w:b/>
                <w:bCs/>
                <w:color w:val="000000"/>
                <w:szCs w:val="21"/>
                <w:highlight w:val="none"/>
              </w:rPr>
            </w:pPr>
            <w:r>
              <w:rPr>
                <w:rFonts w:hint="eastAsia" w:ascii="宋体" w:hAnsi="宋体" w:cs="宋体"/>
                <w:b/>
                <w:bCs/>
                <w:color w:val="000000"/>
                <w:szCs w:val="21"/>
                <w:highlight w:val="none"/>
              </w:rPr>
              <w:t>数量</w:t>
            </w:r>
          </w:p>
        </w:tc>
        <w:tc>
          <w:tcPr>
            <w:tcW w:w="1189" w:type="dxa"/>
            <w:vAlign w:val="center"/>
          </w:tcPr>
          <w:p w14:paraId="05144CA0">
            <w:pPr>
              <w:keepNext w:val="0"/>
              <w:keepLines w:val="0"/>
              <w:widowControl/>
              <w:suppressLineNumbers w:val="0"/>
              <w:spacing w:before="0" w:beforeAutospacing="0" w:after="0" w:afterAutospacing="0"/>
              <w:ind w:left="0" w:right="0"/>
              <w:jc w:val="center"/>
              <w:rPr>
                <w:rFonts w:hint="default" w:ascii="宋体" w:hAnsi="宋体" w:cs="宋体"/>
                <w:b/>
                <w:bCs/>
                <w:color w:val="000000"/>
                <w:szCs w:val="21"/>
                <w:highlight w:val="none"/>
              </w:rPr>
            </w:pPr>
            <w:r>
              <w:rPr>
                <w:rFonts w:hint="default" w:ascii="宋体" w:hAnsi="宋体" w:cs="宋体"/>
                <w:b/>
                <w:bCs/>
                <w:color w:val="000000"/>
                <w:szCs w:val="21"/>
                <w:highlight w:val="none"/>
              </w:rPr>
              <w:t>预算</w:t>
            </w:r>
          </w:p>
        </w:tc>
      </w:tr>
      <w:tr w14:paraId="3560EC4D">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29" w:type="dxa"/>
            <w:vAlign w:val="center"/>
          </w:tcPr>
          <w:p w14:paraId="3F4F018D">
            <w:pPr>
              <w:keepNext w:val="0"/>
              <w:keepLines w:val="0"/>
              <w:widowControl/>
              <w:suppressLineNumbers w:val="0"/>
              <w:spacing w:before="0" w:beforeAutospacing="0" w:after="0" w:afterAutospacing="0"/>
              <w:ind w:left="0" w:right="0"/>
              <w:jc w:val="center"/>
              <w:rPr>
                <w:rFonts w:hint="default" w:ascii="宋体" w:hAnsi="宋体" w:cs="宋体"/>
                <w:bCs/>
                <w:color w:val="000000"/>
                <w:szCs w:val="21"/>
                <w:highlight w:val="none"/>
              </w:rPr>
            </w:pPr>
            <w:r>
              <w:rPr>
                <w:rFonts w:hint="eastAsia" w:ascii="宋体" w:hAnsi="宋体" w:cs="宋体"/>
                <w:bCs/>
                <w:color w:val="000000"/>
                <w:szCs w:val="21"/>
                <w:highlight w:val="none"/>
              </w:rPr>
              <w:t>采购</w:t>
            </w:r>
            <w:r>
              <w:rPr>
                <w:rFonts w:hint="default" w:ascii="宋体" w:hAnsi="宋体" w:cs="宋体"/>
                <w:bCs/>
                <w:color w:val="000000"/>
                <w:szCs w:val="21"/>
                <w:highlight w:val="none"/>
              </w:rPr>
              <w:t>包</w:t>
            </w:r>
            <w:r>
              <w:rPr>
                <w:rFonts w:hint="eastAsia" w:ascii="宋体" w:hAnsi="宋体" w:cs="宋体"/>
                <w:bCs/>
                <w:color w:val="000000"/>
                <w:szCs w:val="21"/>
                <w:highlight w:val="none"/>
              </w:rPr>
              <w:t>1</w:t>
            </w:r>
          </w:p>
        </w:tc>
        <w:tc>
          <w:tcPr>
            <w:tcW w:w="1134" w:type="dxa"/>
            <w:vAlign w:val="center"/>
          </w:tcPr>
          <w:p w14:paraId="6CDB4042">
            <w:pPr>
              <w:keepNext w:val="0"/>
              <w:keepLines w:val="0"/>
              <w:widowControl/>
              <w:suppressLineNumbers w:val="0"/>
              <w:spacing w:before="0" w:beforeAutospacing="0" w:after="0" w:afterAutospacing="0"/>
              <w:ind w:left="0" w:right="0"/>
              <w:jc w:val="center"/>
              <w:rPr>
                <w:rFonts w:hint="default" w:ascii="宋体" w:hAnsi="宋体" w:cs="宋体"/>
                <w:bCs/>
                <w:color w:val="000000"/>
                <w:szCs w:val="21"/>
                <w:highlight w:val="none"/>
              </w:rPr>
            </w:pPr>
            <w:r>
              <w:rPr>
                <w:rFonts w:hint="eastAsia" w:ascii="宋体" w:hAnsi="宋体" w:cs="宋体"/>
                <w:bCs/>
                <w:color w:val="000000"/>
                <w:szCs w:val="21"/>
                <w:highlight w:val="none"/>
              </w:rPr>
              <w:t>科教科</w:t>
            </w:r>
          </w:p>
        </w:tc>
        <w:tc>
          <w:tcPr>
            <w:tcW w:w="1875" w:type="dxa"/>
            <w:vAlign w:val="center"/>
          </w:tcPr>
          <w:p w14:paraId="54A4BA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专利委托代理服务子包1</w:t>
            </w:r>
          </w:p>
        </w:tc>
        <w:tc>
          <w:tcPr>
            <w:tcW w:w="3077" w:type="dxa"/>
            <w:vAlign w:val="center"/>
          </w:tcPr>
          <w:p w14:paraId="35F8AC6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预计PCT国际专利1项，发明专利6项，实用新型专利20项，外观设计专利1项，软件著作权</w:t>
            </w:r>
            <w:r>
              <w:rPr>
                <w:rFonts w:hint="default" w:ascii="宋体" w:hAnsi="宋体" w:cs="宋体"/>
                <w:color w:val="000000"/>
                <w:kern w:val="0"/>
                <w:szCs w:val="21"/>
                <w:highlight w:val="none"/>
                <w:lang w:bidi="ar"/>
              </w:rPr>
              <w:t>3</w:t>
            </w:r>
            <w:r>
              <w:rPr>
                <w:rFonts w:hint="eastAsia" w:ascii="宋体" w:hAnsi="宋体" w:cs="宋体"/>
                <w:color w:val="000000"/>
                <w:kern w:val="0"/>
                <w:szCs w:val="21"/>
                <w:highlight w:val="none"/>
                <w:lang w:bidi="ar"/>
              </w:rPr>
              <w:t>项</w:t>
            </w:r>
          </w:p>
          <w:p w14:paraId="1C91E9D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lang w:bidi="ar"/>
              </w:rPr>
            </w:pPr>
          </w:p>
        </w:tc>
        <w:tc>
          <w:tcPr>
            <w:tcW w:w="1189" w:type="dxa"/>
            <w:tcBorders>
              <w:right w:val="single" w:color="auto" w:sz="4" w:space="0"/>
            </w:tcBorders>
            <w:vAlign w:val="center"/>
          </w:tcPr>
          <w:p w14:paraId="793EAE00">
            <w:pPr>
              <w:keepNext w:val="0"/>
              <w:keepLines w:val="0"/>
              <w:suppressLineNumbers w:val="0"/>
              <w:spacing w:before="0" w:beforeAutospacing="0" w:after="0" w:afterAutospacing="0"/>
              <w:ind w:left="0" w:right="0"/>
              <w:jc w:val="center"/>
              <w:rPr>
                <w:rFonts w:hint="default" w:ascii="宋体" w:hAnsi="宋体" w:cs="宋体"/>
                <w:bCs/>
                <w:color w:val="000000"/>
                <w:szCs w:val="21"/>
                <w:highlight w:val="none"/>
              </w:rPr>
            </w:pPr>
            <w:r>
              <w:rPr>
                <w:rFonts w:hint="eastAsia" w:ascii="宋体" w:hAnsi="宋体" w:cs="宋体"/>
                <w:bCs/>
                <w:color w:val="000000"/>
                <w:szCs w:val="21"/>
                <w:highlight w:val="none"/>
              </w:rPr>
              <w:t>总额15万元</w:t>
            </w:r>
          </w:p>
        </w:tc>
      </w:tr>
      <w:tr w14:paraId="10F8F67B">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29" w:type="dxa"/>
            <w:vAlign w:val="center"/>
          </w:tcPr>
          <w:p w14:paraId="744F16EE">
            <w:pPr>
              <w:keepNext w:val="0"/>
              <w:keepLines w:val="0"/>
              <w:widowControl/>
              <w:suppressLineNumbers w:val="0"/>
              <w:spacing w:before="0" w:beforeAutospacing="0" w:after="0" w:afterAutospacing="0"/>
              <w:ind w:left="0" w:right="0"/>
              <w:jc w:val="center"/>
              <w:rPr>
                <w:rFonts w:hint="default" w:ascii="宋体" w:hAnsi="宋体" w:cs="宋体"/>
                <w:bCs/>
                <w:color w:val="000000"/>
                <w:szCs w:val="21"/>
                <w:highlight w:val="none"/>
              </w:rPr>
            </w:pPr>
            <w:r>
              <w:rPr>
                <w:rFonts w:hint="eastAsia" w:ascii="宋体" w:hAnsi="宋体" w:cs="宋体"/>
                <w:bCs/>
                <w:color w:val="000000"/>
                <w:szCs w:val="21"/>
                <w:highlight w:val="none"/>
              </w:rPr>
              <w:t>采购</w:t>
            </w:r>
            <w:r>
              <w:rPr>
                <w:rFonts w:hint="default" w:ascii="宋体" w:hAnsi="宋体" w:cs="宋体"/>
                <w:bCs/>
                <w:color w:val="000000"/>
                <w:szCs w:val="21"/>
                <w:highlight w:val="none"/>
              </w:rPr>
              <w:t>包</w:t>
            </w:r>
            <w:r>
              <w:rPr>
                <w:rFonts w:hint="eastAsia" w:ascii="宋体" w:hAnsi="宋体" w:cs="宋体"/>
                <w:bCs/>
                <w:color w:val="000000"/>
                <w:szCs w:val="21"/>
                <w:highlight w:val="none"/>
              </w:rPr>
              <w:t>2</w:t>
            </w:r>
          </w:p>
        </w:tc>
        <w:tc>
          <w:tcPr>
            <w:tcW w:w="1134" w:type="dxa"/>
            <w:vAlign w:val="center"/>
          </w:tcPr>
          <w:p w14:paraId="266DF2AF">
            <w:pPr>
              <w:keepNext w:val="0"/>
              <w:keepLines w:val="0"/>
              <w:widowControl/>
              <w:suppressLineNumbers w:val="0"/>
              <w:spacing w:before="0" w:beforeAutospacing="0" w:after="0" w:afterAutospacing="0"/>
              <w:ind w:left="0" w:right="0"/>
              <w:jc w:val="center"/>
              <w:rPr>
                <w:rFonts w:hint="default" w:ascii="宋体" w:hAnsi="宋体" w:cs="宋体"/>
                <w:bCs/>
                <w:color w:val="000000"/>
                <w:szCs w:val="21"/>
                <w:highlight w:val="none"/>
              </w:rPr>
            </w:pPr>
            <w:r>
              <w:rPr>
                <w:rFonts w:hint="eastAsia" w:ascii="宋体" w:hAnsi="宋体" w:cs="宋体"/>
                <w:bCs/>
                <w:color w:val="000000"/>
                <w:szCs w:val="21"/>
                <w:highlight w:val="none"/>
              </w:rPr>
              <w:t>科教科</w:t>
            </w:r>
          </w:p>
        </w:tc>
        <w:tc>
          <w:tcPr>
            <w:tcW w:w="1875" w:type="dxa"/>
            <w:vAlign w:val="center"/>
          </w:tcPr>
          <w:p w14:paraId="0572B87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专利委托代理服务子包2</w:t>
            </w:r>
          </w:p>
        </w:tc>
        <w:tc>
          <w:tcPr>
            <w:tcW w:w="3077" w:type="dxa"/>
            <w:vAlign w:val="center"/>
          </w:tcPr>
          <w:p w14:paraId="6CAB7B2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预计PCT国际专利1项，发明专利6项，实用新型专利20项，外观设计专利1项，软件著作权</w:t>
            </w:r>
            <w:r>
              <w:rPr>
                <w:rFonts w:hint="default" w:ascii="宋体" w:hAnsi="宋体" w:cs="宋体"/>
                <w:color w:val="000000"/>
                <w:kern w:val="0"/>
                <w:szCs w:val="21"/>
                <w:highlight w:val="none"/>
                <w:lang w:bidi="ar"/>
              </w:rPr>
              <w:t>3</w:t>
            </w:r>
            <w:r>
              <w:rPr>
                <w:rFonts w:hint="eastAsia" w:ascii="宋体" w:hAnsi="宋体" w:cs="宋体"/>
                <w:color w:val="000000"/>
                <w:kern w:val="0"/>
                <w:szCs w:val="21"/>
                <w:highlight w:val="none"/>
                <w:lang w:bidi="ar"/>
              </w:rPr>
              <w:t>项</w:t>
            </w:r>
          </w:p>
          <w:p w14:paraId="1F906D9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lang w:bidi="ar"/>
              </w:rPr>
            </w:pPr>
          </w:p>
        </w:tc>
        <w:tc>
          <w:tcPr>
            <w:tcW w:w="1189" w:type="dxa"/>
            <w:tcBorders>
              <w:right w:val="single" w:color="auto" w:sz="4" w:space="0"/>
            </w:tcBorders>
            <w:vAlign w:val="center"/>
          </w:tcPr>
          <w:p w14:paraId="0F12DC59">
            <w:pPr>
              <w:keepNext w:val="0"/>
              <w:keepLines w:val="0"/>
              <w:suppressLineNumbers w:val="0"/>
              <w:spacing w:before="0" w:beforeAutospacing="0" w:after="0" w:afterAutospacing="0"/>
              <w:ind w:left="0" w:right="0"/>
              <w:jc w:val="center"/>
              <w:rPr>
                <w:rFonts w:hint="default" w:ascii="宋体" w:hAnsi="宋体" w:cs="宋体"/>
                <w:bCs/>
                <w:color w:val="000000"/>
                <w:szCs w:val="21"/>
                <w:highlight w:val="none"/>
              </w:rPr>
            </w:pPr>
            <w:r>
              <w:rPr>
                <w:rFonts w:hint="eastAsia" w:ascii="宋体" w:hAnsi="宋体" w:cs="宋体"/>
                <w:bCs/>
                <w:color w:val="000000"/>
                <w:szCs w:val="21"/>
                <w:highlight w:val="none"/>
              </w:rPr>
              <w:t>总额15万元</w:t>
            </w:r>
          </w:p>
        </w:tc>
      </w:tr>
    </w:tbl>
    <w:p w14:paraId="5B63C6BD">
      <w:pPr>
        <w:pStyle w:val="107"/>
        <w:tabs>
          <w:tab w:val="left" w:pos="709"/>
        </w:tabs>
        <w:ind w:firstLine="560"/>
        <w:rPr>
          <w:rFonts w:ascii="宋体" w:hAnsi="宋体"/>
          <w:color w:val="FF0000"/>
          <w:sz w:val="28"/>
          <w:szCs w:val="28"/>
          <w:highlight w:val="none"/>
        </w:rPr>
      </w:pPr>
    </w:p>
    <w:p w14:paraId="220946AE">
      <w:pPr>
        <w:pStyle w:val="107"/>
        <w:numPr>
          <w:ilvl w:val="0"/>
          <w:numId w:val="3"/>
        </w:numPr>
        <w:tabs>
          <w:tab w:val="left" w:pos="709"/>
        </w:tabs>
        <w:ind w:left="0" w:firstLine="0" w:firstLineChars="0"/>
        <w:rPr>
          <w:rFonts w:ascii="宋体" w:hAnsi="宋体"/>
          <w:sz w:val="28"/>
          <w:szCs w:val="28"/>
          <w:highlight w:val="none"/>
        </w:rPr>
      </w:pPr>
      <w:r>
        <w:rPr>
          <w:rFonts w:hint="eastAsia" w:ascii="宋体" w:hAnsi="宋体"/>
          <w:sz w:val="28"/>
          <w:szCs w:val="28"/>
          <w:highlight w:val="none"/>
        </w:rPr>
        <w:t>报价</w:t>
      </w:r>
    </w:p>
    <w:p w14:paraId="1940790B">
      <w:pPr>
        <w:tabs>
          <w:tab w:val="left" w:pos="709"/>
        </w:tabs>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1.发明专利、实用新型专利、外观设计专利委托申请代理总费用（含代理费及官费（官费按照标准、费减70%、费减85%分别列出）；</w:t>
      </w:r>
    </w:p>
    <w:p w14:paraId="5E8DBC8F">
      <w:pPr>
        <w:pStyle w:val="107"/>
        <w:tabs>
          <w:tab w:val="left" w:pos="709"/>
        </w:tabs>
        <w:ind w:firstLine="56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2.发明专利、实用新型专利、外观设计专利年费；</w:t>
      </w:r>
    </w:p>
    <w:p w14:paraId="109722D0">
      <w:pPr>
        <w:pStyle w:val="107"/>
        <w:tabs>
          <w:tab w:val="left" w:pos="709"/>
        </w:tabs>
        <w:ind w:firstLine="56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3.国际PCT专利、软件著作权申请费用；</w:t>
      </w:r>
    </w:p>
    <w:p w14:paraId="777EA4C1">
      <w:pPr>
        <w:pStyle w:val="107"/>
        <w:tabs>
          <w:tab w:val="left" w:pos="709"/>
        </w:tabs>
        <w:ind w:firstLine="56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4.其他附加服务费。</w:t>
      </w:r>
    </w:p>
    <w:p w14:paraId="7F307884">
      <w:pPr>
        <w:pStyle w:val="107"/>
        <w:tabs>
          <w:tab w:val="left" w:pos="709"/>
        </w:tabs>
        <w:ind w:firstLine="560"/>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5</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表格中</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代理费单价限价（元）</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为各项服务代理费的采购预算单价最高限价</w:t>
      </w:r>
      <w:r>
        <w:rPr>
          <w:rFonts w:hint="eastAsia" w:ascii="宋体" w:hAnsi="宋体"/>
          <w:color w:val="000000" w:themeColor="text1"/>
          <w:sz w:val="28"/>
          <w:szCs w:val="28"/>
          <w:highlight w:val="none"/>
          <w:lang w:eastAsia="zh-CN"/>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供应商须报代理费单价限价的折扣率，折扣率范围0%～100%，以百分比表示，保留2位小数，只允许有一个固定报价折扣率，不得为区间值（如60％-70％），采购人不接受有任何选择的报价折扣率。</w:t>
      </w:r>
    </w:p>
    <w:tbl>
      <w:tblPr>
        <w:tblStyle w:val="3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143"/>
        <w:gridCol w:w="1701"/>
        <w:gridCol w:w="2964"/>
        <w:gridCol w:w="1534"/>
      </w:tblGrid>
      <w:tr w14:paraId="4CE2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127" w:type="dxa"/>
            <w:gridSpan w:val="3"/>
            <w:vMerge w:val="restart"/>
            <w:shd w:val="clear" w:color="000000" w:fill="FFFFFF"/>
            <w:vAlign w:val="center"/>
          </w:tcPr>
          <w:p w14:paraId="60C1B0A8">
            <w:pPr>
              <w:pStyle w:val="107"/>
              <w:keepNext w:val="0"/>
              <w:keepLines w:val="0"/>
              <w:suppressLineNumbers w:val="0"/>
              <w:tabs>
                <w:tab w:val="left" w:pos="709"/>
              </w:tabs>
              <w:spacing w:before="0" w:beforeAutospacing="0" w:after="0" w:afterAutospacing="0" w:line="360" w:lineRule="auto"/>
              <w:ind w:left="0" w:right="0" w:firstLine="480"/>
              <w:rPr>
                <w:rFonts w:hint="default" w:cs="宋体" w:asciiTheme="minorEastAsia" w:hAnsiTheme="minorEastAsia"/>
                <w:bCs/>
                <w:color w:val="000000" w:themeColor="text1"/>
                <w:sz w:val="24"/>
                <w:szCs w:val="24"/>
                <w:highlight w:val="none"/>
                <w14:textFill>
                  <w14:solidFill>
                    <w14:schemeClr w14:val="tx1"/>
                  </w14:solidFill>
                </w14:textFill>
              </w:rPr>
            </w:pPr>
            <w:r>
              <w:rPr>
                <w:rFonts w:hint="eastAsia" w:cs="宋体" w:asciiTheme="minorEastAsia" w:hAnsiTheme="minorEastAsia"/>
                <w:bCs/>
                <w:color w:val="000000" w:themeColor="text1"/>
                <w:sz w:val="24"/>
                <w:szCs w:val="24"/>
                <w:highlight w:val="none"/>
                <w14:textFill>
                  <w14:solidFill>
                    <w14:schemeClr w14:val="tx1"/>
                  </w14:solidFill>
                </w14:textFill>
              </w:rPr>
              <w:t>项</w:t>
            </w:r>
            <w:r>
              <w:rPr>
                <w:rFonts w:hint="default" w:asciiTheme="minorEastAsia" w:hAnsiTheme="minorEastAsia"/>
                <w:bCs/>
                <w:color w:val="000000" w:themeColor="text1"/>
                <w:sz w:val="24"/>
                <w:szCs w:val="24"/>
                <w:highlight w:val="none"/>
                <w14:textFill>
                  <w14:solidFill>
                    <w14:schemeClr w14:val="tx1"/>
                  </w14:solidFill>
                </w14:textFill>
              </w:rPr>
              <w:t xml:space="preserve"> </w:t>
            </w:r>
            <w:r>
              <w:rPr>
                <w:rFonts w:hint="eastAsia" w:cs="宋体" w:asciiTheme="minorEastAsia" w:hAnsiTheme="minorEastAsia"/>
                <w:bCs/>
                <w:color w:val="000000" w:themeColor="text1"/>
                <w:sz w:val="24"/>
                <w:szCs w:val="24"/>
                <w:highlight w:val="none"/>
                <w14:textFill>
                  <w14:solidFill>
                    <w14:schemeClr w14:val="tx1"/>
                  </w14:solidFill>
                </w14:textFill>
              </w:rPr>
              <w:t>目</w:t>
            </w:r>
          </w:p>
        </w:tc>
        <w:tc>
          <w:tcPr>
            <w:tcW w:w="2964" w:type="dxa"/>
            <w:shd w:val="clear" w:color="000000" w:fill="FFFFFF"/>
            <w:vAlign w:val="center"/>
          </w:tcPr>
          <w:p w14:paraId="0826A851">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官费（元）</w:t>
            </w:r>
          </w:p>
        </w:tc>
        <w:tc>
          <w:tcPr>
            <w:tcW w:w="1534" w:type="dxa"/>
            <w:vMerge w:val="restart"/>
            <w:shd w:val="clear" w:color="000000" w:fill="FFFFFF"/>
            <w:vAlign w:val="center"/>
          </w:tcPr>
          <w:p w14:paraId="4A30E560">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代理费单价限价（元）</w:t>
            </w:r>
          </w:p>
        </w:tc>
      </w:tr>
      <w:tr w14:paraId="3648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127" w:type="dxa"/>
            <w:gridSpan w:val="3"/>
            <w:vMerge w:val="continue"/>
            <w:vAlign w:val="center"/>
          </w:tcPr>
          <w:p w14:paraId="43498853">
            <w:pPr>
              <w:keepNext w:val="0"/>
              <w:keepLines w:val="0"/>
              <w:widowControl/>
              <w:suppressLineNumbers w:val="0"/>
              <w:spacing w:before="0" w:beforeAutospacing="0" w:after="0" w:afterAutospacing="0" w:line="360" w:lineRule="auto"/>
              <w:ind w:left="0" w:right="0"/>
              <w:rPr>
                <w:rFonts w:hint="default" w:cs="宋体" w:asciiTheme="minorEastAsia" w:hAnsiTheme="minorEastAsia"/>
                <w:bCs/>
                <w:color w:val="000000" w:themeColor="text1"/>
                <w:kern w:val="0"/>
                <w:sz w:val="24"/>
                <w:highlight w:val="none"/>
                <w14:textFill>
                  <w14:solidFill>
                    <w14:schemeClr w14:val="tx1"/>
                  </w14:solidFill>
                </w14:textFill>
              </w:rPr>
            </w:pPr>
          </w:p>
        </w:tc>
        <w:tc>
          <w:tcPr>
            <w:tcW w:w="2964" w:type="dxa"/>
            <w:shd w:val="clear" w:color="000000" w:fill="FFFFFF"/>
            <w:vAlign w:val="center"/>
          </w:tcPr>
          <w:p w14:paraId="21D024BB">
            <w:pPr>
              <w:keepNext w:val="0"/>
              <w:keepLines w:val="0"/>
              <w:widowControl/>
              <w:suppressLineNumbers w:val="0"/>
              <w:spacing w:before="0" w:beforeAutospacing="0" w:after="0" w:afterAutospacing="0" w:line="360" w:lineRule="auto"/>
              <w:ind w:left="0" w:right="0"/>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&lt;</w:t>
            </w:r>
            <w:r>
              <w:rPr>
                <w:rFonts w:hint="eastAsia" w:asciiTheme="minorEastAsia" w:hAnsiTheme="minorEastAsia"/>
                <w:color w:val="000000" w:themeColor="text1"/>
                <w:kern w:val="0"/>
                <w:sz w:val="24"/>
                <w:highlight w:val="none"/>
                <w14:textFill>
                  <w14:solidFill>
                    <w14:schemeClr w14:val="tx1"/>
                  </w14:solidFill>
                </w14:textFill>
              </w:rPr>
              <w:t>标准</w:t>
            </w:r>
            <w:r>
              <w:rPr>
                <w:rFonts w:hint="default" w:asciiTheme="minorEastAsia" w:hAnsiTheme="minorEastAsia"/>
                <w:color w:val="000000" w:themeColor="text1"/>
                <w:kern w:val="0"/>
                <w:sz w:val="24"/>
                <w:highlight w:val="none"/>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费减</w:t>
            </w:r>
            <w:r>
              <w:rPr>
                <w:rFonts w:hint="default" w:asciiTheme="minorEastAsia" w:hAnsiTheme="minorEastAsia"/>
                <w:color w:val="000000" w:themeColor="text1"/>
                <w:kern w:val="0"/>
                <w:sz w:val="24"/>
                <w:highlight w:val="none"/>
                <w14:textFill>
                  <w14:solidFill>
                    <w14:schemeClr w14:val="tx1"/>
                  </w14:solidFill>
                </w14:textFill>
              </w:rPr>
              <w:t>70%/</w:t>
            </w:r>
            <w:r>
              <w:rPr>
                <w:rFonts w:hint="eastAsia" w:asciiTheme="minorEastAsia" w:hAnsiTheme="minorEastAsia"/>
                <w:color w:val="000000" w:themeColor="text1"/>
                <w:kern w:val="0"/>
                <w:sz w:val="24"/>
                <w:highlight w:val="none"/>
                <w14:textFill>
                  <w14:solidFill>
                    <w14:schemeClr w14:val="tx1"/>
                  </w14:solidFill>
                </w14:textFill>
              </w:rPr>
              <w:t>费减</w:t>
            </w:r>
            <w:r>
              <w:rPr>
                <w:rFonts w:hint="default" w:asciiTheme="minorEastAsia" w:hAnsiTheme="minorEastAsia"/>
                <w:color w:val="000000" w:themeColor="text1"/>
                <w:kern w:val="0"/>
                <w:sz w:val="24"/>
                <w:highlight w:val="none"/>
                <w14:textFill>
                  <w14:solidFill>
                    <w14:schemeClr w14:val="tx1"/>
                  </w14:solidFill>
                </w14:textFill>
              </w:rPr>
              <w:t>85%&gt;</w:t>
            </w:r>
          </w:p>
        </w:tc>
        <w:tc>
          <w:tcPr>
            <w:tcW w:w="1534" w:type="dxa"/>
            <w:vMerge w:val="continue"/>
            <w:vAlign w:val="center"/>
          </w:tcPr>
          <w:p w14:paraId="7FD92F96">
            <w:pPr>
              <w:keepNext w:val="0"/>
              <w:keepLines w:val="0"/>
              <w:widowControl/>
              <w:suppressLineNumbers w:val="0"/>
              <w:spacing w:before="0" w:beforeAutospacing="0" w:after="0" w:afterAutospacing="0" w:line="360" w:lineRule="auto"/>
              <w:ind w:left="0" w:right="0"/>
              <w:rPr>
                <w:rFonts w:hint="default" w:cs="宋体" w:asciiTheme="minorEastAsia" w:hAnsiTheme="minorEastAsia"/>
                <w:bCs/>
                <w:color w:val="000000" w:themeColor="text1"/>
                <w:kern w:val="0"/>
                <w:sz w:val="24"/>
                <w:highlight w:val="none"/>
                <w14:textFill>
                  <w14:solidFill>
                    <w14:schemeClr w14:val="tx1"/>
                  </w14:solidFill>
                </w14:textFill>
              </w:rPr>
            </w:pPr>
          </w:p>
        </w:tc>
      </w:tr>
      <w:tr w14:paraId="2CD7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restart"/>
            <w:shd w:val="clear" w:color="000000" w:fill="FFFFFF"/>
            <w:vAlign w:val="center"/>
          </w:tcPr>
          <w:p w14:paraId="21412D82">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发明专利</w:t>
            </w:r>
          </w:p>
        </w:tc>
        <w:tc>
          <w:tcPr>
            <w:tcW w:w="1143" w:type="dxa"/>
            <w:vMerge w:val="restart"/>
            <w:shd w:val="clear" w:color="000000" w:fill="FFFFFF"/>
            <w:vAlign w:val="center"/>
          </w:tcPr>
          <w:p w14:paraId="0CA3EECE">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申请阶段</w:t>
            </w:r>
          </w:p>
        </w:tc>
        <w:tc>
          <w:tcPr>
            <w:tcW w:w="1701" w:type="dxa"/>
            <w:shd w:val="clear" w:color="000000" w:fill="FFFFFF"/>
            <w:vAlign w:val="center"/>
          </w:tcPr>
          <w:p w14:paraId="31911151">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申请费</w:t>
            </w:r>
          </w:p>
        </w:tc>
        <w:tc>
          <w:tcPr>
            <w:tcW w:w="2964" w:type="dxa"/>
            <w:shd w:val="clear" w:color="000000" w:fill="FFFFFF"/>
            <w:vAlign w:val="center"/>
          </w:tcPr>
          <w:p w14:paraId="41AA2A7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bCs/>
                <w:color w:val="000000" w:themeColor="text1"/>
                <w:kern w:val="0"/>
                <w:sz w:val="24"/>
                <w:highlight w:val="none"/>
                <w14:textFill>
                  <w14:solidFill>
                    <w14:schemeClr w14:val="tx1"/>
                  </w14:solidFill>
                </w14:textFill>
              </w:rPr>
            </w:pPr>
            <w:r>
              <w:rPr>
                <w:rFonts w:hint="default" w:asciiTheme="minorEastAsia" w:hAnsiTheme="minorEastAsia"/>
                <w:bCs/>
                <w:color w:val="000000" w:themeColor="text1"/>
                <w:kern w:val="0"/>
                <w:sz w:val="24"/>
                <w:highlight w:val="none"/>
                <w14:textFill>
                  <w14:solidFill>
                    <w14:schemeClr w14:val="tx1"/>
                  </w14:solidFill>
                </w14:textFill>
              </w:rPr>
              <w:t>900/270/135</w:t>
            </w:r>
          </w:p>
        </w:tc>
        <w:tc>
          <w:tcPr>
            <w:tcW w:w="1534" w:type="dxa"/>
            <w:vMerge w:val="restart"/>
            <w:shd w:val="clear" w:color="000000" w:fill="FFFFFF"/>
            <w:vAlign w:val="center"/>
          </w:tcPr>
          <w:p w14:paraId="62FD4F6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bCs/>
                <w:color w:val="000000" w:themeColor="text1"/>
                <w:kern w:val="0"/>
                <w:sz w:val="24"/>
                <w:highlight w:val="none"/>
                <w14:textFill>
                  <w14:solidFill>
                    <w14:schemeClr w14:val="tx1"/>
                  </w14:solidFill>
                </w14:textFill>
              </w:rPr>
              <w:t>4138</w:t>
            </w:r>
          </w:p>
        </w:tc>
      </w:tr>
      <w:tr w14:paraId="580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5987AB4C">
            <w:pPr>
              <w:keepNext w:val="0"/>
              <w:keepLines w:val="0"/>
              <w:suppressLineNumbers w:val="0"/>
              <w:spacing w:before="0" w:beforeAutospacing="0" w:after="0" w:afterAutospacing="0" w:line="360" w:lineRule="auto"/>
              <w:ind w:left="0" w:right="0"/>
              <w:jc w:val="left"/>
              <w:rPr>
                <w:rFonts w:hint="default" w:asciiTheme="minorEastAsia" w:hAnsiTheme="minorEastAsia"/>
                <w:bCs/>
                <w:color w:val="000000" w:themeColor="text1"/>
                <w:kern w:val="0"/>
                <w:sz w:val="24"/>
                <w:highlight w:val="none"/>
                <w14:textFill>
                  <w14:solidFill>
                    <w14:schemeClr w14:val="tx1"/>
                  </w14:solidFill>
                </w14:textFill>
              </w:rPr>
            </w:pPr>
          </w:p>
        </w:tc>
        <w:tc>
          <w:tcPr>
            <w:tcW w:w="1143" w:type="dxa"/>
            <w:vMerge w:val="continue"/>
            <w:vAlign w:val="center"/>
          </w:tcPr>
          <w:p w14:paraId="35770DB7">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3CDBF42D">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印刷费</w:t>
            </w:r>
          </w:p>
        </w:tc>
        <w:tc>
          <w:tcPr>
            <w:tcW w:w="2964" w:type="dxa"/>
            <w:shd w:val="clear" w:color="000000" w:fill="FFFFFF"/>
            <w:vAlign w:val="center"/>
          </w:tcPr>
          <w:p w14:paraId="612EAAC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bCs/>
                <w:color w:val="000000" w:themeColor="text1"/>
                <w:kern w:val="0"/>
                <w:sz w:val="24"/>
                <w:highlight w:val="none"/>
                <w14:textFill>
                  <w14:solidFill>
                    <w14:schemeClr w14:val="tx1"/>
                  </w14:solidFill>
                </w14:textFill>
              </w:rPr>
            </w:pPr>
            <w:r>
              <w:rPr>
                <w:rFonts w:hint="default" w:asciiTheme="minorEastAsia" w:hAnsiTheme="minorEastAsia"/>
                <w:bCs/>
                <w:color w:val="000000" w:themeColor="text1"/>
                <w:kern w:val="0"/>
                <w:sz w:val="24"/>
                <w:highlight w:val="none"/>
                <w14:textFill>
                  <w14:solidFill>
                    <w14:schemeClr w14:val="tx1"/>
                  </w14:solidFill>
                </w14:textFill>
              </w:rPr>
              <w:t>50</w:t>
            </w:r>
          </w:p>
        </w:tc>
        <w:tc>
          <w:tcPr>
            <w:tcW w:w="1534" w:type="dxa"/>
            <w:vMerge w:val="continue"/>
            <w:vAlign w:val="center"/>
          </w:tcPr>
          <w:p w14:paraId="55FFB6AB">
            <w:pPr>
              <w:keepNext w:val="0"/>
              <w:keepLines w:val="0"/>
              <w:widowControl/>
              <w:suppressLineNumbers w:val="0"/>
              <w:spacing w:before="0" w:beforeAutospacing="0" w:after="0" w:afterAutospacing="0" w:line="360" w:lineRule="auto"/>
              <w:ind w:left="0" w:right="0"/>
              <w:jc w:val="left"/>
              <w:rPr>
                <w:rFonts w:hint="default" w:asciiTheme="minorEastAsia" w:hAnsiTheme="minorEastAsia"/>
                <w:bCs/>
                <w:color w:val="000000" w:themeColor="text1"/>
                <w:kern w:val="0"/>
                <w:sz w:val="24"/>
                <w:highlight w:val="none"/>
                <w14:textFill>
                  <w14:solidFill>
                    <w14:schemeClr w14:val="tx1"/>
                  </w14:solidFill>
                </w14:textFill>
              </w:rPr>
            </w:pPr>
          </w:p>
        </w:tc>
      </w:tr>
      <w:tr w14:paraId="09D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7B8FC697">
            <w:pPr>
              <w:keepNext w:val="0"/>
              <w:keepLines w:val="0"/>
              <w:suppressLineNumbers w:val="0"/>
              <w:spacing w:before="0" w:beforeAutospacing="0" w:after="0" w:afterAutospacing="0" w:line="360" w:lineRule="auto"/>
              <w:ind w:left="0" w:right="0"/>
              <w:jc w:val="left"/>
              <w:rPr>
                <w:rFonts w:hint="default" w:asciiTheme="minorEastAsia" w:hAnsiTheme="minorEastAsia"/>
                <w:bCs/>
                <w:color w:val="000000" w:themeColor="text1"/>
                <w:kern w:val="0"/>
                <w:sz w:val="24"/>
                <w:highlight w:val="none"/>
                <w14:textFill>
                  <w14:solidFill>
                    <w14:schemeClr w14:val="tx1"/>
                  </w14:solidFill>
                </w14:textFill>
              </w:rPr>
            </w:pPr>
          </w:p>
        </w:tc>
        <w:tc>
          <w:tcPr>
            <w:tcW w:w="1143" w:type="dxa"/>
            <w:vMerge w:val="continue"/>
            <w:vAlign w:val="center"/>
          </w:tcPr>
          <w:p w14:paraId="088F0DD8">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75F9BEF7">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实质审查费</w:t>
            </w:r>
          </w:p>
        </w:tc>
        <w:tc>
          <w:tcPr>
            <w:tcW w:w="2964" w:type="dxa"/>
            <w:shd w:val="clear" w:color="000000" w:fill="FFFFFF"/>
            <w:vAlign w:val="center"/>
          </w:tcPr>
          <w:p w14:paraId="2BA7136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bCs/>
                <w:color w:val="000000" w:themeColor="text1"/>
                <w:kern w:val="0"/>
                <w:sz w:val="24"/>
                <w:highlight w:val="none"/>
                <w14:textFill>
                  <w14:solidFill>
                    <w14:schemeClr w14:val="tx1"/>
                  </w14:solidFill>
                </w14:textFill>
              </w:rPr>
            </w:pPr>
            <w:r>
              <w:rPr>
                <w:rFonts w:hint="default" w:asciiTheme="minorEastAsia" w:hAnsiTheme="minorEastAsia"/>
                <w:bCs/>
                <w:color w:val="000000" w:themeColor="text1"/>
                <w:kern w:val="0"/>
                <w:sz w:val="24"/>
                <w:highlight w:val="none"/>
                <w14:textFill>
                  <w14:solidFill>
                    <w14:schemeClr w14:val="tx1"/>
                  </w14:solidFill>
                </w14:textFill>
              </w:rPr>
              <w:t>2500/750/375</w:t>
            </w:r>
          </w:p>
        </w:tc>
        <w:tc>
          <w:tcPr>
            <w:tcW w:w="1534" w:type="dxa"/>
            <w:vMerge w:val="continue"/>
            <w:vAlign w:val="center"/>
          </w:tcPr>
          <w:p w14:paraId="0E64D653">
            <w:pPr>
              <w:keepNext w:val="0"/>
              <w:keepLines w:val="0"/>
              <w:widowControl/>
              <w:suppressLineNumbers w:val="0"/>
              <w:spacing w:before="0" w:beforeAutospacing="0" w:after="0" w:afterAutospacing="0" w:line="360" w:lineRule="auto"/>
              <w:ind w:left="0" w:right="0"/>
              <w:jc w:val="left"/>
              <w:rPr>
                <w:rFonts w:hint="default" w:asciiTheme="minorEastAsia" w:hAnsiTheme="minorEastAsia"/>
                <w:bCs/>
                <w:color w:val="000000" w:themeColor="text1"/>
                <w:kern w:val="0"/>
                <w:sz w:val="24"/>
                <w:highlight w:val="none"/>
                <w14:textFill>
                  <w14:solidFill>
                    <w14:schemeClr w14:val="tx1"/>
                  </w14:solidFill>
                </w14:textFill>
              </w:rPr>
            </w:pPr>
          </w:p>
        </w:tc>
      </w:tr>
      <w:tr w14:paraId="7653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283" w:type="dxa"/>
            <w:vMerge w:val="continue"/>
            <w:shd w:val="clear" w:color="000000" w:fill="FFFFFF"/>
            <w:vAlign w:val="center"/>
          </w:tcPr>
          <w:p w14:paraId="7E581561">
            <w:pPr>
              <w:keepNext w:val="0"/>
              <w:keepLines w:val="0"/>
              <w:suppressLineNumbers w:val="0"/>
              <w:spacing w:before="0" w:beforeAutospacing="0" w:after="0" w:afterAutospacing="0" w:line="360" w:lineRule="auto"/>
              <w:ind w:left="0" w:right="0"/>
              <w:jc w:val="left"/>
              <w:rPr>
                <w:rFonts w:hint="default" w:cs="宋体" w:asciiTheme="minorEastAsia" w:hAnsiTheme="minorEastAsia"/>
                <w:bCs/>
                <w:color w:val="000000" w:themeColor="text1"/>
                <w:kern w:val="0"/>
                <w:sz w:val="24"/>
                <w:highlight w:val="none"/>
                <w14:textFill>
                  <w14:solidFill>
                    <w14:schemeClr w14:val="tx1"/>
                  </w14:solidFill>
                </w14:textFill>
              </w:rPr>
            </w:pPr>
          </w:p>
        </w:tc>
        <w:tc>
          <w:tcPr>
            <w:tcW w:w="1143" w:type="dxa"/>
            <w:shd w:val="clear" w:color="000000" w:fill="FFFFFF"/>
            <w:vAlign w:val="center"/>
          </w:tcPr>
          <w:p w14:paraId="3EC23201">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授权阶段</w:t>
            </w:r>
          </w:p>
        </w:tc>
        <w:tc>
          <w:tcPr>
            <w:tcW w:w="1701" w:type="dxa"/>
            <w:shd w:val="clear" w:color="000000" w:fill="FFFFFF"/>
            <w:vAlign w:val="center"/>
          </w:tcPr>
          <w:p w14:paraId="2C006F88">
            <w:pPr>
              <w:keepNext w:val="0"/>
              <w:keepLines w:val="0"/>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授权当年年费</w:t>
            </w:r>
          </w:p>
        </w:tc>
        <w:tc>
          <w:tcPr>
            <w:tcW w:w="2964" w:type="dxa"/>
            <w:shd w:val="clear" w:color="000000" w:fill="FFFFFF"/>
            <w:vAlign w:val="center"/>
          </w:tcPr>
          <w:p w14:paraId="7F3F63A6">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以</w:t>
            </w:r>
            <w:r>
              <w:rPr>
                <w:rFonts w:hint="eastAsia" w:asciiTheme="minorEastAsia" w:hAnsiTheme="minorEastAsia"/>
                <w:color w:val="000000" w:themeColor="text1"/>
                <w:kern w:val="0"/>
                <w:sz w:val="24"/>
                <w:highlight w:val="none"/>
                <w14:textFill>
                  <w14:solidFill>
                    <w14:schemeClr w14:val="tx1"/>
                  </w14:solidFill>
                </w14:textFill>
              </w:rPr>
              <w:t>办理登记手续通知书费用</w:t>
            </w:r>
            <w:r>
              <w:rPr>
                <w:rFonts w:hint="default" w:asciiTheme="minorEastAsia" w:hAnsiTheme="minorEastAsia"/>
                <w:color w:val="000000" w:themeColor="text1"/>
                <w:kern w:val="0"/>
                <w:sz w:val="24"/>
                <w:highlight w:val="none"/>
                <w14:textFill>
                  <w14:solidFill>
                    <w14:schemeClr w14:val="tx1"/>
                  </w14:solidFill>
                </w14:textFill>
              </w:rPr>
              <w:t>为准</w:t>
            </w:r>
          </w:p>
        </w:tc>
        <w:tc>
          <w:tcPr>
            <w:tcW w:w="1534" w:type="dxa"/>
            <w:shd w:val="clear" w:color="000000" w:fill="FFFFFF"/>
            <w:vAlign w:val="center"/>
          </w:tcPr>
          <w:p w14:paraId="568C5BD7">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p>
        </w:tc>
      </w:tr>
      <w:tr w14:paraId="4B20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4D876559">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restart"/>
            <w:shd w:val="clear" w:color="000000" w:fill="FFFFFF"/>
            <w:vAlign w:val="center"/>
          </w:tcPr>
          <w:p w14:paraId="72EC9365">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年费</w:t>
            </w:r>
          </w:p>
          <w:p w14:paraId="74233382">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阶段</w:t>
            </w:r>
          </w:p>
          <w:p w14:paraId="7B84889C">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（每年）</w:t>
            </w:r>
          </w:p>
        </w:tc>
        <w:tc>
          <w:tcPr>
            <w:tcW w:w="1701" w:type="dxa"/>
            <w:shd w:val="clear" w:color="000000" w:fill="FFFFFF"/>
            <w:vAlign w:val="center"/>
          </w:tcPr>
          <w:p w14:paraId="1CAA804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1-3</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7171FF1E">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900/270/135</w:t>
            </w:r>
          </w:p>
        </w:tc>
        <w:tc>
          <w:tcPr>
            <w:tcW w:w="1534" w:type="dxa"/>
            <w:vMerge w:val="restart"/>
            <w:shd w:val="clear" w:color="000000" w:fill="FFFFFF"/>
            <w:vAlign w:val="center"/>
          </w:tcPr>
          <w:p w14:paraId="1F655A1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p>
        </w:tc>
      </w:tr>
      <w:tr w14:paraId="5E01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0EA4BEB4">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7229E7B3">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70519C7B">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4-6</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153F0F9E">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1200/360/180</w:t>
            </w:r>
          </w:p>
        </w:tc>
        <w:tc>
          <w:tcPr>
            <w:tcW w:w="1534" w:type="dxa"/>
            <w:vMerge w:val="continue"/>
            <w:shd w:val="clear" w:color="000000" w:fill="FFFFFF"/>
            <w:vAlign w:val="center"/>
          </w:tcPr>
          <w:p w14:paraId="366D255A">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7485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2876D5DF">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082F7D61">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68AE9C2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7-9</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474741F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2000/600/300</w:t>
            </w:r>
          </w:p>
        </w:tc>
        <w:tc>
          <w:tcPr>
            <w:tcW w:w="1534" w:type="dxa"/>
            <w:vMerge w:val="continue"/>
            <w:shd w:val="clear" w:color="000000" w:fill="FFFFFF"/>
            <w:vAlign w:val="center"/>
          </w:tcPr>
          <w:p w14:paraId="6239857E">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13E3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2AD96FD9">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3A7D405C">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76C3F57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10-12</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51CD4C9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4000/1200/600</w:t>
            </w:r>
          </w:p>
        </w:tc>
        <w:tc>
          <w:tcPr>
            <w:tcW w:w="1534" w:type="dxa"/>
            <w:vMerge w:val="continue"/>
            <w:shd w:val="clear" w:color="000000" w:fill="FFFFFF"/>
            <w:vAlign w:val="center"/>
          </w:tcPr>
          <w:p w14:paraId="29545808">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3110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42B84AD1">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0FCD1ECC">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090E1B8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13-15</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7C8E534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6000/1800/900</w:t>
            </w:r>
          </w:p>
        </w:tc>
        <w:tc>
          <w:tcPr>
            <w:tcW w:w="1534" w:type="dxa"/>
            <w:vMerge w:val="continue"/>
            <w:shd w:val="clear" w:color="000000" w:fill="FFFFFF"/>
            <w:vAlign w:val="center"/>
          </w:tcPr>
          <w:p w14:paraId="330707C2">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54CF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2B39B3D2">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0650DBD9">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2033335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16-20</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3F87B76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8000/2400/1200</w:t>
            </w:r>
          </w:p>
        </w:tc>
        <w:tc>
          <w:tcPr>
            <w:tcW w:w="1534" w:type="dxa"/>
            <w:vMerge w:val="continue"/>
            <w:shd w:val="clear" w:color="000000" w:fill="FFFFFF"/>
            <w:vAlign w:val="center"/>
          </w:tcPr>
          <w:p w14:paraId="09DCF07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7785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83" w:type="dxa"/>
            <w:vMerge w:val="restart"/>
            <w:shd w:val="clear" w:color="000000" w:fill="FFFFFF"/>
            <w:vAlign w:val="center"/>
          </w:tcPr>
          <w:p w14:paraId="5A72437F">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实</w:t>
            </w:r>
          </w:p>
          <w:p w14:paraId="747A440A">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用</w:t>
            </w:r>
          </w:p>
          <w:p w14:paraId="3ADB8AA8">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新</w:t>
            </w:r>
          </w:p>
          <w:p w14:paraId="3B230976">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型</w:t>
            </w:r>
          </w:p>
        </w:tc>
        <w:tc>
          <w:tcPr>
            <w:tcW w:w="1143" w:type="dxa"/>
            <w:shd w:val="clear" w:color="000000" w:fill="FFFFFF"/>
            <w:vAlign w:val="center"/>
          </w:tcPr>
          <w:p w14:paraId="235B3CF5">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申请阶段</w:t>
            </w:r>
          </w:p>
        </w:tc>
        <w:tc>
          <w:tcPr>
            <w:tcW w:w="1701" w:type="dxa"/>
            <w:shd w:val="clear" w:color="000000" w:fill="FFFFFF"/>
            <w:vAlign w:val="center"/>
          </w:tcPr>
          <w:p w14:paraId="106DF446">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申请费</w:t>
            </w:r>
          </w:p>
        </w:tc>
        <w:tc>
          <w:tcPr>
            <w:tcW w:w="2964" w:type="dxa"/>
            <w:shd w:val="clear" w:color="000000" w:fill="FFFFFF"/>
            <w:vAlign w:val="center"/>
          </w:tcPr>
          <w:p w14:paraId="5BEB1DD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bCs/>
                <w:color w:val="000000" w:themeColor="text1"/>
                <w:kern w:val="0"/>
                <w:sz w:val="24"/>
                <w:highlight w:val="none"/>
                <w14:textFill>
                  <w14:solidFill>
                    <w14:schemeClr w14:val="tx1"/>
                  </w14:solidFill>
                </w14:textFill>
              </w:rPr>
            </w:pPr>
            <w:r>
              <w:rPr>
                <w:rFonts w:hint="default" w:asciiTheme="minorEastAsia" w:hAnsiTheme="minorEastAsia"/>
                <w:bCs/>
                <w:color w:val="000000" w:themeColor="text1"/>
                <w:kern w:val="0"/>
                <w:sz w:val="24"/>
                <w:highlight w:val="none"/>
                <w14:textFill>
                  <w14:solidFill>
                    <w14:schemeClr w14:val="tx1"/>
                  </w14:solidFill>
                </w14:textFill>
              </w:rPr>
              <w:t>500/150/75</w:t>
            </w:r>
          </w:p>
        </w:tc>
        <w:tc>
          <w:tcPr>
            <w:tcW w:w="1534" w:type="dxa"/>
            <w:shd w:val="clear" w:color="000000" w:fill="FFFFFF"/>
            <w:vAlign w:val="center"/>
          </w:tcPr>
          <w:p w14:paraId="0978E0B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bCs/>
                <w:color w:val="000000" w:themeColor="text1"/>
                <w:kern w:val="0"/>
                <w:sz w:val="24"/>
                <w:highlight w:val="none"/>
                <w14:textFill>
                  <w14:solidFill>
                    <w14:schemeClr w14:val="tx1"/>
                  </w14:solidFill>
                </w14:textFill>
              </w:rPr>
              <w:t>2063</w:t>
            </w:r>
          </w:p>
        </w:tc>
      </w:tr>
      <w:tr w14:paraId="31E2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283" w:type="dxa"/>
            <w:vMerge w:val="continue"/>
            <w:shd w:val="clear" w:color="000000" w:fill="FFFFFF"/>
            <w:vAlign w:val="center"/>
          </w:tcPr>
          <w:p w14:paraId="0C8586DE">
            <w:pPr>
              <w:keepNext w:val="0"/>
              <w:keepLines w:val="0"/>
              <w:suppressLineNumbers w:val="0"/>
              <w:spacing w:before="0" w:beforeAutospacing="0" w:after="0" w:afterAutospacing="0" w:line="360" w:lineRule="auto"/>
              <w:ind w:left="0" w:right="0"/>
              <w:jc w:val="left"/>
              <w:rPr>
                <w:rFonts w:hint="default" w:cs="宋体" w:asciiTheme="minorEastAsia" w:hAnsiTheme="minorEastAsia"/>
                <w:bCs/>
                <w:color w:val="000000" w:themeColor="text1"/>
                <w:kern w:val="0"/>
                <w:sz w:val="24"/>
                <w:highlight w:val="none"/>
                <w14:textFill>
                  <w14:solidFill>
                    <w14:schemeClr w14:val="tx1"/>
                  </w14:solidFill>
                </w14:textFill>
              </w:rPr>
            </w:pPr>
          </w:p>
        </w:tc>
        <w:tc>
          <w:tcPr>
            <w:tcW w:w="1143" w:type="dxa"/>
            <w:shd w:val="clear" w:color="000000" w:fill="FFFFFF"/>
            <w:vAlign w:val="center"/>
          </w:tcPr>
          <w:p w14:paraId="4329DCE4">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授权阶段</w:t>
            </w:r>
          </w:p>
        </w:tc>
        <w:tc>
          <w:tcPr>
            <w:tcW w:w="1701" w:type="dxa"/>
            <w:shd w:val="clear" w:color="000000" w:fill="FFFFFF"/>
            <w:vAlign w:val="center"/>
          </w:tcPr>
          <w:p w14:paraId="09CEF572">
            <w:pPr>
              <w:keepNext w:val="0"/>
              <w:keepLines w:val="0"/>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授权当年年费</w:t>
            </w:r>
          </w:p>
        </w:tc>
        <w:tc>
          <w:tcPr>
            <w:tcW w:w="2964" w:type="dxa"/>
            <w:shd w:val="clear" w:color="000000" w:fill="FFFFFF"/>
            <w:vAlign w:val="center"/>
          </w:tcPr>
          <w:p w14:paraId="5EBDE569">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600/180/90</w:t>
            </w:r>
          </w:p>
        </w:tc>
        <w:tc>
          <w:tcPr>
            <w:tcW w:w="1534" w:type="dxa"/>
            <w:shd w:val="clear" w:color="000000" w:fill="FFFFFF"/>
            <w:vAlign w:val="center"/>
          </w:tcPr>
          <w:p w14:paraId="4A3A8A0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p>
        </w:tc>
      </w:tr>
      <w:tr w14:paraId="675B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022C6E33">
            <w:pPr>
              <w:keepNext w:val="0"/>
              <w:keepLines w:val="0"/>
              <w:suppressLineNumbers w:val="0"/>
              <w:spacing w:before="0" w:beforeAutospacing="0" w:after="0" w:afterAutospacing="0" w:line="360" w:lineRule="auto"/>
              <w:ind w:left="0" w:right="0"/>
              <w:jc w:val="left"/>
              <w:rPr>
                <w:rFonts w:hint="default" w:cs="宋体" w:asciiTheme="minorEastAsia" w:hAnsiTheme="minorEastAsia"/>
                <w:bCs/>
                <w:color w:val="000000" w:themeColor="text1"/>
                <w:kern w:val="0"/>
                <w:sz w:val="24"/>
                <w:highlight w:val="none"/>
                <w14:textFill>
                  <w14:solidFill>
                    <w14:schemeClr w14:val="tx1"/>
                  </w14:solidFill>
                </w14:textFill>
              </w:rPr>
            </w:pPr>
          </w:p>
        </w:tc>
        <w:tc>
          <w:tcPr>
            <w:tcW w:w="1143" w:type="dxa"/>
            <w:vMerge w:val="restart"/>
            <w:shd w:val="clear" w:color="000000" w:fill="FFFFFF"/>
            <w:vAlign w:val="center"/>
          </w:tcPr>
          <w:p w14:paraId="26DC787D">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年费</w:t>
            </w:r>
          </w:p>
          <w:p w14:paraId="18BD147A">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阶段</w:t>
            </w:r>
          </w:p>
          <w:p w14:paraId="260E4C49">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（每年）</w:t>
            </w:r>
          </w:p>
        </w:tc>
        <w:tc>
          <w:tcPr>
            <w:tcW w:w="1701" w:type="dxa"/>
            <w:shd w:val="clear" w:color="000000" w:fill="FFFFFF"/>
            <w:vAlign w:val="center"/>
          </w:tcPr>
          <w:p w14:paraId="02EE7AA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1-3</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43A45E6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600/180/90</w:t>
            </w:r>
          </w:p>
        </w:tc>
        <w:tc>
          <w:tcPr>
            <w:tcW w:w="1534" w:type="dxa"/>
            <w:vMerge w:val="restart"/>
            <w:shd w:val="clear" w:color="000000" w:fill="FFFFFF"/>
            <w:vAlign w:val="center"/>
          </w:tcPr>
          <w:p w14:paraId="705C481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p>
        </w:tc>
      </w:tr>
      <w:tr w14:paraId="56A1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1DAF4A46">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37C81536">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67843C3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4-5</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66612C9B">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900/270/135</w:t>
            </w:r>
          </w:p>
        </w:tc>
        <w:tc>
          <w:tcPr>
            <w:tcW w:w="1534" w:type="dxa"/>
            <w:vMerge w:val="continue"/>
            <w:shd w:val="clear" w:color="000000" w:fill="FFFFFF"/>
            <w:vAlign w:val="center"/>
          </w:tcPr>
          <w:p w14:paraId="63C5C7C8">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141C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070F3A44">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6CCC5BFA">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2C1D7B6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6-8</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7ED9BC7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1200/360/180</w:t>
            </w:r>
          </w:p>
        </w:tc>
        <w:tc>
          <w:tcPr>
            <w:tcW w:w="1534" w:type="dxa"/>
            <w:vMerge w:val="continue"/>
            <w:shd w:val="clear" w:color="000000" w:fill="FFFFFF"/>
            <w:vAlign w:val="center"/>
          </w:tcPr>
          <w:p w14:paraId="11A2CCCE">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6238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772CC028">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6DB7F37E">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7581B37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9-10</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70108C0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2000/600/300</w:t>
            </w:r>
          </w:p>
        </w:tc>
        <w:tc>
          <w:tcPr>
            <w:tcW w:w="1534" w:type="dxa"/>
            <w:vMerge w:val="continue"/>
            <w:shd w:val="clear" w:color="000000" w:fill="FFFFFF"/>
            <w:vAlign w:val="center"/>
          </w:tcPr>
          <w:p w14:paraId="78BF0D5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492D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83" w:type="dxa"/>
            <w:vMerge w:val="restart"/>
            <w:shd w:val="clear" w:color="000000" w:fill="FFFFFF"/>
            <w:vAlign w:val="center"/>
          </w:tcPr>
          <w:p w14:paraId="7511F8BE">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外</w:t>
            </w:r>
          </w:p>
          <w:p w14:paraId="286EEEB5">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观</w:t>
            </w:r>
          </w:p>
          <w:p w14:paraId="1FCD8424">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设</w:t>
            </w:r>
          </w:p>
          <w:p w14:paraId="3D0343A3">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计</w:t>
            </w:r>
          </w:p>
        </w:tc>
        <w:tc>
          <w:tcPr>
            <w:tcW w:w="1143" w:type="dxa"/>
            <w:shd w:val="clear" w:color="000000" w:fill="FFFFFF"/>
            <w:vAlign w:val="center"/>
          </w:tcPr>
          <w:p w14:paraId="2A905D01">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申请阶段</w:t>
            </w:r>
          </w:p>
        </w:tc>
        <w:tc>
          <w:tcPr>
            <w:tcW w:w="1701" w:type="dxa"/>
            <w:shd w:val="clear" w:color="000000" w:fill="FFFFFF"/>
            <w:vAlign w:val="center"/>
          </w:tcPr>
          <w:p w14:paraId="22C5B7EF">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申请费</w:t>
            </w:r>
          </w:p>
        </w:tc>
        <w:tc>
          <w:tcPr>
            <w:tcW w:w="2964" w:type="dxa"/>
            <w:shd w:val="clear" w:color="000000" w:fill="FFFFFF"/>
            <w:vAlign w:val="center"/>
          </w:tcPr>
          <w:p w14:paraId="0991041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bCs/>
                <w:color w:val="000000" w:themeColor="text1"/>
                <w:kern w:val="0"/>
                <w:sz w:val="24"/>
                <w:highlight w:val="none"/>
                <w14:textFill>
                  <w14:solidFill>
                    <w14:schemeClr w14:val="tx1"/>
                  </w14:solidFill>
                </w14:textFill>
              </w:rPr>
            </w:pPr>
            <w:r>
              <w:rPr>
                <w:rFonts w:hint="default" w:asciiTheme="minorEastAsia" w:hAnsiTheme="minorEastAsia"/>
                <w:bCs/>
                <w:color w:val="000000" w:themeColor="text1"/>
                <w:kern w:val="0"/>
                <w:sz w:val="24"/>
                <w:highlight w:val="none"/>
                <w14:textFill>
                  <w14:solidFill>
                    <w14:schemeClr w14:val="tx1"/>
                  </w14:solidFill>
                </w14:textFill>
              </w:rPr>
              <w:t>500/150/75</w:t>
            </w:r>
          </w:p>
        </w:tc>
        <w:tc>
          <w:tcPr>
            <w:tcW w:w="1534" w:type="dxa"/>
            <w:shd w:val="clear" w:color="000000" w:fill="FFFFFF"/>
            <w:vAlign w:val="center"/>
          </w:tcPr>
          <w:p w14:paraId="400B9FD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bCs/>
                <w:color w:val="000000" w:themeColor="text1"/>
                <w:kern w:val="0"/>
                <w:sz w:val="24"/>
                <w:highlight w:val="none"/>
                <w14:textFill>
                  <w14:solidFill>
                    <w14:schemeClr w14:val="tx1"/>
                  </w14:solidFill>
                </w14:textFill>
              </w:rPr>
              <w:t>649</w:t>
            </w:r>
          </w:p>
        </w:tc>
      </w:tr>
      <w:tr w14:paraId="0D14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283" w:type="dxa"/>
            <w:vMerge w:val="continue"/>
            <w:shd w:val="clear" w:color="000000" w:fill="FFFFFF"/>
            <w:vAlign w:val="center"/>
          </w:tcPr>
          <w:p w14:paraId="4E5634F1">
            <w:pPr>
              <w:keepNext w:val="0"/>
              <w:keepLines w:val="0"/>
              <w:suppressLineNumbers w:val="0"/>
              <w:spacing w:before="0" w:beforeAutospacing="0" w:after="0" w:afterAutospacing="0" w:line="360" w:lineRule="auto"/>
              <w:ind w:left="0" w:right="0"/>
              <w:jc w:val="left"/>
              <w:rPr>
                <w:rFonts w:hint="default" w:cs="宋体" w:asciiTheme="minorEastAsia" w:hAnsiTheme="minorEastAsia"/>
                <w:bCs/>
                <w:color w:val="000000" w:themeColor="text1"/>
                <w:kern w:val="0"/>
                <w:sz w:val="24"/>
                <w:highlight w:val="none"/>
                <w14:textFill>
                  <w14:solidFill>
                    <w14:schemeClr w14:val="tx1"/>
                  </w14:solidFill>
                </w14:textFill>
              </w:rPr>
            </w:pPr>
          </w:p>
        </w:tc>
        <w:tc>
          <w:tcPr>
            <w:tcW w:w="1143" w:type="dxa"/>
            <w:shd w:val="clear" w:color="000000" w:fill="FFFFFF"/>
            <w:vAlign w:val="center"/>
          </w:tcPr>
          <w:p w14:paraId="24FA6031">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授权阶段</w:t>
            </w:r>
          </w:p>
        </w:tc>
        <w:tc>
          <w:tcPr>
            <w:tcW w:w="1701" w:type="dxa"/>
            <w:shd w:val="clear" w:color="000000" w:fill="FFFFFF"/>
            <w:vAlign w:val="center"/>
          </w:tcPr>
          <w:p w14:paraId="05130346">
            <w:pPr>
              <w:keepNext w:val="0"/>
              <w:keepLines w:val="0"/>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授权当年年费</w:t>
            </w:r>
          </w:p>
        </w:tc>
        <w:tc>
          <w:tcPr>
            <w:tcW w:w="2964" w:type="dxa"/>
            <w:shd w:val="clear" w:color="000000" w:fill="FFFFFF"/>
            <w:vAlign w:val="center"/>
          </w:tcPr>
          <w:p w14:paraId="4071A164">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以办理登记手续通知书费用为准</w:t>
            </w:r>
          </w:p>
        </w:tc>
        <w:tc>
          <w:tcPr>
            <w:tcW w:w="1534" w:type="dxa"/>
            <w:shd w:val="clear" w:color="000000" w:fill="FFFFFF"/>
            <w:vAlign w:val="center"/>
          </w:tcPr>
          <w:p w14:paraId="5E278A7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p>
        </w:tc>
      </w:tr>
      <w:tr w14:paraId="511E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4EEAADFA">
            <w:pPr>
              <w:keepNext w:val="0"/>
              <w:keepLines w:val="0"/>
              <w:suppressLineNumbers w:val="0"/>
              <w:spacing w:before="0" w:beforeAutospacing="0" w:after="0" w:afterAutospacing="0" w:line="360" w:lineRule="auto"/>
              <w:ind w:left="0" w:right="0"/>
              <w:jc w:val="left"/>
              <w:rPr>
                <w:rFonts w:hint="default" w:cs="宋体" w:asciiTheme="minorEastAsia" w:hAnsiTheme="minorEastAsia"/>
                <w:bCs/>
                <w:color w:val="000000" w:themeColor="text1"/>
                <w:kern w:val="0"/>
                <w:sz w:val="24"/>
                <w:highlight w:val="none"/>
                <w14:textFill>
                  <w14:solidFill>
                    <w14:schemeClr w14:val="tx1"/>
                  </w14:solidFill>
                </w14:textFill>
              </w:rPr>
            </w:pPr>
          </w:p>
        </w:tc>
        <w:tc>
          <w:tcPr>
            <w:tcW w:w="1143" w:type="dxa"/>
            <w:vMerge w:val="restart"/>
            <w:shd w:val="clear" w:color="000000" w:fill="FFFFFF"/>
            <w:vAlign w:val="center"/>
          </w:tcPr>
          <w:p w14:paraId="6A69A07B">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年费</w:t>
            </w:r>
          </w:p>
          <w:p w14:paraId="0096407F">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阶段</w:t>
            </w:r>
          </w:p>
          <w:p w14:paraId="01808709">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（每年）</w:t>
            </w:r>
          </w:p>
        </w:tc>
        <w:tc>
          <w:tcPr>
            <w:tcW w:w="1701" w:type="dxa"/>
            <w:shd w:val="clear" w:color="000000" w:fill="FFFFFF"/>
            <w:vAlign w:val="center"/>
          </w:tcPr>
          <w:p w14:paraId="13C7499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1-3</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3758859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600/180/90</w:t>
            </w:r>
          </w:p>
        </w:tc>
        <w:tc>
          <w:tcPr>
            <w:tcW w:w="1534" w:type="dxa"/>
            <w:vMerge w:val="restart"/>
            <w:shd w:val="clear" w:color="000000" w:fill="FFFFFF"/>
            <w:vAlign w:val="center"/>
          </w:tcPr>
          <w:p w14:paraId="25797B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p>
        </w:tc>
      </w:tr>
      <w:tr w14:paraId="29FC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1C3EA7DC">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07EE387A">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672E6E1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4-5</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51922C0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900/270/135</w:t>
            </w:r>
          </w:p>
        </w:tc>
        <w:tc>
          <w:tcPr>
            <w:tcW w:w="1534" w:type="dxa"/>
            <w:vMerge w:val="continue"/>
            <w:shd w:val="clear" w:color="000000" w:fill="FFFFFF"/>
            <w:vAlign w:val="center"/>
          </w:tcPr>
          <w:p w14:paraId="56C94D25">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6FE0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7524D949">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712D715A">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7D3F28F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6-8</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470AC39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1200/360/180</w:t>
            </w:r>
          </w:p>
        </w:tc>
        <w:tc>
          <w:tcPr>
            <w:tcW w:w="1534" w:type="dxa"/>
            <w:vMerge w:val="continue"/>
            <w:shd w:val="clear" w:color="000000" w:fill="FFFFFF"/>
            <w:vAlign w:val="center"/>
          </w:tcPr>
          <w:p w14:paraId="52628C39">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1F42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79AC34C7">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shd w:val="clear" w:color="000000" w:fill="FFFFFF"/>
            <w:vAlign w:val="center"/>
          </w:tcPr>
          <w:p w14:paraId="2914904F">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7A7862C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9-10</w:t>
            </w:r>
            <w:r>
              <w:rPr>
                <w:rFonts w:hint="eastAsia" w:asciiTheme="minorEastAsia" w:hAnsiTheme="minorEastAsia"/>
                <w:color w:val="000000" w:themeColor="text1"/>
                <w:kern w:val="0"/>
                <w:sz w:val="24"/>
                <w:highlight w:val="none"/>
                <w14:textFill>
                  <w14:solidFill>
                    <w14:schemeClr w14:val="tx1"/>
                  </w14:solidFill>
                </w14:textFill>
              </w:rPr>
              <w:t>年</w:t>
            </w:r>
          </w:p>
        </w:tc>
        <w:tc>
          <w:tcPr>
            <w:tcW w:w="2964" w:type="dxa"/>
            <w:shd w:val="clear" w:color="000000" w:fill="FFFFFF"/>
            <w:vAlign w:val="center"/>
          </w:tcPr>
          <w:p w14:paraId="2F3F99C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2000/600/300</w:t>
            </w:r>
          </w:p>
        </w:tc>
        <w:tc>
          <w:tcPr>
            <w:tcW w:w="1534" w:type="dxa"/>
            <w:vMerge w:val="continue"/>
            <w:shd w:val="clear" w:color="000000" w:fill="FFFFFF"/>
            <w:vAlign w:val="center"/>
          </w:tcPr>
          <w:p w14:paraId="29965BA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27A5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3" w:type="dxa"/>
            <w:vMerge w:val="restart"/>
            <w:shd w:val="clear" w:color="000000" w:fill="FFFFFF"/>
            <w:vAlign w:val="center"/>
          </w:tcPr>
          <w:p w14:paraId="0EE40036">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其</w:t>
            </w:r>
          </w:p>
          <w:p w14:paraId="7239E81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bCs/>
                <w:color w:val="000000" w:themeColor="text1"/>
                <w:kern w:val="0"/>
                <w:sz w:val="24"/>
                <w:highlight w:val="none"/>
                <w14:textFill>
                  <w14:solidFill>
                    <w14:schemeClr w14:val="tx1"/>
                  </w14:solidFill>
                </w14:textFill>
              </w:rPr>
            </w:pPr>
            <w:r>
              <w:rPr>
                <w:rFonts w:hint="default" w:asciiTheme="minorEastAsia" w:hAnsiTheme="minorEastAsia"/>
                <w:bCs/>
                <w:color w:val="000000" w:themeColor="text1"/>
                <w:kern w:val="0"/>
                <w:sz w:val="24"/>
                <w:highlight w:val="none"/>
                <w14:textFill>
                  <w14:solidFill>
                    <w14:schemeClr w14:val="tx1"/>
                  </w14:solidFill>
                </w14:textFill>
              </w:rPr>
              <w:t>　</w:t>
            </w:r>
          </w:p>
          <w:p w14:paraId="34525ABA">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bCs/>
                <w:color w:val="000000" w:themeColor="text1"/>
                <w:kern w:val="0"/>
                <w:sz w:val="24"/>
                <w:highlight w:val="none"/>
                <w14:textFill>
                  <w14:solidFill>
                    <w14:schemeClr w14:val="tx1"/>
                  </w14:solidFill>
                </w14:textFill>
              </w:rPr>
            </w:pPr>
            <w:r>
              <w:rPr>
                <w:rFonts w:hint="eastAsia" w:cs="宋体" w:asciiTheme="minorEastAsia" w:hAnsiTheme="minorEastAsia"/>
                <w:bCs/>
                <w:color w:val="000000" w:themeColor="text1"/>
                <w:kern w:val="0"/>
                <w:sz w:val="24"/>
                <w:highlight w:val="none"/>
                <w14:textFill>
                  <w14:solidFill>
                    <w14:schemeClr w14:val="tx1"/>
                  </w14:solidFill>
                </w14:textFill>
              </w:rPr>
              <w:t>它</w:t>
            </w:r>
          </w:p>
        </w:tc>
        <w:tc>
          <w:tcPr>
            <w:tcW w:w="1143" w:type="dxa"/>
            <w:shd w:val="clear" w:color="000000" w:fill="FFFFFF"/>
            <w:vAlign w:val="center"/>
          </w:tcPr>
          <w:p w14:paraId="379CFB69">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申请</w:t>
            </w:r>
          </w:p>
        </w:tc>
        <w:tc>
          <w:tcPr>
            <w:tcW w:w="1701" w:type="dxa"/>
            <w:shd w:val="clear" w:color="000000" w:fill="FFFFFF"/>
            <w:vAlign w:val="center"/>
          </w:tcPr>
          <w:p w14:paraId="52CB2832">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说明书超页费</w:t>
            </w:r>
          </w:p>
        </w:tc>
        <w:tc>
          <w:tcPr>
            <w:tcW w:w="2964" w:type="dxa"/>
            <w:vMerge w:val="restart"/>
            <w:shd w:val="clear" w:color="000000" w:fill="FFFFFF"/>
            <w:vAlign w:val="center"/>
          </w:tcPr>
          <w:p w14:paraId="0755728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50/</w:t>
            </w:r>
            <w:r>
              <w:rPr>
                <w:rFonts w:hint="eastAsia" w:asciiTheme="minorEastAsia" w:hAnsiTheme="minorEastAsia"/>
                <w:color w:val="000000" w:themeColor="text1"/>
                <w:kern w:val="0"/>
                <w:sz w:val="24"/>
                <w:highlight w:val="none"/>
                <w14:textFill>
                  <w14:solidFill>
                    <w14:schemeClr w14:val="tx1"/>
                  </w14:solidFill>
                </w14:textFill>
              </w:rPr>
              <w:t>页</w:t>
            </w:r>
          </w:p>
        </w:tc>
        <w:tc>
          <w:tcPr>
            <w:tcW w:w="1534" w:type="dxa"/>
            <w:vMerge w:val="restart"/>
            <w:shd w:val="clear" w:color="000000" w:fill="FFFFFF"/>
            <w:vAlign w:val="center"/>
          </w:tcPr>
          <w:p w14:paraId="4A15A0B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r>
              <w:rPr>
                <w:rFonts w:hint="default" w:asciiTheme="minorEastAsia" w:hAnsiTheme="minorEastAsia"/>
                <w:color w:val="000000" w:themeColor="text1"/>
                <w:kern w:val="0"/>
                <w:sz w:val="24"/>
                <w:highlight w:val="none"/>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页</w:t>
            </w:r>
          </w:p>
        </w:tc>
      </w:tr>
      <w:tr w14:paraId="7FBA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04D3AB08">
            <w:pPr>
              <w:keepNext w:val="0"/>
              <w:keepLines w:val="0"/>
              <w:suppressLineNumbers w:val="0"/>
              <w:spacing w:before="0" w:beforeAutospacing="0" w:after="0" w:afterAutospacing="0" w:line="360" w:lineRule="auto"/>
              <w:ind w:left="0" w:right="0"/>
              <w:jc w:val="left"/>
              <w:rPr>
                <w:rFonts w:hint="default" w:asciiTheme="minorEastAsia" w:hAnsiTheme="minorEastAsia"/>
                <w:bCs/>
                <w:color w:val="000000" w:themeColor="text1"/>
                <w:kern w:val="0"/>
                <w:sz w:val="24"/>
                <w:highlight w:val="none"/>
                <w14:textFill>
                  <w14:solidFill>
                    <w14:schemeClr w14:val="tx1"/>
                  </w14:solidFill>
                </w14:textFill>
              </w:rPr>
            </w:pPr>
          </w:p>
        </w:tc>
        <w:tc>
          <w:tcPr>
            <w:tcW w:w="1143" w:type="dxa"/>
            <w:shd w:val="clear" w:color="000000" w:fill="FFFFFF"/>
            <w:vAlign w:val="center"/>
          </w:tcPr>
          <w:p w14:paraId="3261C42F">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附加费</w:t>
            </w:r>
          </w:p>
        </w:tc>
        <w:tc>
          <w:tcPr>
            <w:tcW w:w="1701" w:type="dxa"/>
            <w:shd w:val="clear" w:color="000000" w:fill="FFFFFF"/>
            <w:vAlign w:val="center"/>
          </w:tcPr>
          <w:p w14:paraId="1E35AFA7">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（超过</w:t>
            </w:r>
            <w:r>
              <w:rPr>
                <w:rFonts w:hint="default" w:asciiTheme="minorEastAsia" w:hAnsiTheme="minorEastAsia"/>
                <w:color w:val="000000" w:themeColor="text1"/>
                <w:kern w:val="0"/>
                <w:sz w:val="24"/>
                <w:highlight w:val="none"/>
                <w14:textFill>
                  <w14:solidFill>
                    <w14:schemeClr w14:val="tx1"/>
                  </w14:solidFill>
                </w14:textFill>
              </w:rPr>
              <w:t>30</w:t>
            </w:r>
            <w:r>
              <w:rPr>
                <w:rFonts w:hint="eastAsia" w:cs="宋体" w:asciiTheme="minorEastAsia" w:hAnsiTheme="minorEastAsia"/>
                <w:color w:val="000000" w:themeColor="text1"/>
                <w:kern w:val="0"/>
                <w:sz w:val="24"/>
                <w:highlight w:val="none"/>
                <w14:textFill>
                  <w14:solidFill>
                    <w14:schemeClr w14:val="tx1"/>
                  </w14:solidFill>
                </w14:textFill>
              </w:rPr>
              <w:t>页）</w:t>
            </w:r>
          </w:p>
        </w:tc>
        <w:tc>
          <w:tcPr>
            <w:tcW w:w="2964" w:type="dxa"/>
            <w:vMerge w:val="continue"/>
            <w:vAlign w:val="center"/>
          </w:tcPr>
          <w:p w14:paraId="5F4F600E">
            <w:pPr>
              <w:keepNext w:val="0"/>
              <w:keepLines w:val="0"/>
              <w:widowControl/>
              <w:suppressLineNumbers w:val="0"/>
              <w:spacing w:before="0" w:beforeAutospacing="0" w:after="0" w:afterAutospacing="0" w:line="360" w:lineRule="auto"/>
              <w:ind w:left="0" w:right="0"/>
              <w:jc w:val="left"/>
              <w:rPr>
                <w:rFonts w:hint="default" w:asciiTheme="minorEastAsia" w:hAnsiTheme="minorEastAsia"/>
                <w:color w:val="000000" w:themeColor="text1"/>
                <w:kern w:val="0"/>
                <w:sz w:val="24"/>
                <w:highlight w:val="none"/>
                <w14:textFill>
                  <w14:solidFill>
                    <w14:schemeClr w14:val="tx1"/>
                  </w14:solidFill>
                </w14:textFill>
              </w:rPr>
            </w:pPr>
          </w:p>
        </w:tc>
        <w:tc>
          <w:tcPr>
            <w:tcW w:w="1534" w:type="dxa"/>
            <w:vMerge w:val="continue"/>
            <w:vAlign w:val="center"/>
          </w:tcPr>
          <w:p w14:paraId="3CE88F93">
            <w:pPr>
              <w:keepNext w:val="0"/>
              <w:keepLines w:val="0"/>
              <w:widowControl/>
              <w:suppressLineNumbers w:val="0"/>
              <w:spacing w:before="0" w:beforeAutospacing="0" w:after="0" w:afterAutospacing="0" w:line="360" w:lineRule="auto"/>
              <w:ind w:left="0" w:right="0"/>
              <w:jc w:val="left"/>
              <w:rPr>
                <w:rFonts w:hint="default" w:asciiTheme="minorEastAsia" w:hAnsiTheme="minorEastAsia"/>
                <w:color w:val="000000" w:themeColor="text1"/>
                <w:kern w:val="0"/>
                <w:sz w:val="24"/>
                <w:highlight w:val="none"/>
                <w14:textFill>
                  <w14:solidFill>
                    <w14:schemeClr w14:val="tx1"/>
                  </w14:solidFill>
                </w14:textFill>
              </w:rPr>
            </w:pPr>
          </w:p>
        </w:tc>
      </w:tr>
      <w:tr w14:paraId="0B8A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83" w:type="dxa"/>
            <w:vMerge w:val="continue"/>
            <w:shd w:val="clear" w:color="000000" w:fill="FFFFFF"/>
            <w:vAlign w:val="center"/>
          </w:tcPr>
          <w:p w14:paraId="3D979E45">
            <w:pPr>
              <w:keepNext w:val="0"/>
              <w:keepLines w:val="0"/>
              <w:suppressLineNumbers w:val="0"/>
              <w:spacing w:before="0" w:beforeAutospacing="0" w:after="0" w:afterAutospacing="0" w:line="360" w:lineRule="auto"/>
              <w:ind w:left="0" w:right="0"/>
              <w:jc w:val="left"/>
              <w:rPr>
                <w:rFonts w:hint="default" w:cs="宋体" w:asciiTheme="minorEastAsia" w:hAnsiTheme="minorEastAsia"/>
                <w:bCs/>
                <w:color w:val="000000" w:themeColor="text1"/>
                <w:kern w:val="0"/>
                <w:sz w:val="24"/>
                <w:highlight w:val="none"/>
                <w14:textFill>
                  <w14:solidFill>
                    <w14:schemeClr w14:val="tx1"/>
                  </w14:solidFill>
                </w14:textFill>
              </w:rPr>
            </w:pPr>
          </w:p>
        </w:tc>
        <w:tc>
          <w:tcPr>
            <w:tcW w:w="1143" w:type="dxa"/>
            <w:shd w:val="clear" w:color="000000" w:fill="FFFFFF"/>
            <w:vAlign w:val="center"/>
          </w:tcPr>
          <w:p w14:paraId="342281E1">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　</w:t>
            </w:r>
            <w:r>
              <w:rPr>
                <w:rFonts w:hint="eastAsia"/>
                <w:highlight w:val="none"/>
              </w:rPr>
              <w:t>其它</w:t>
            </w:r>
          </w:p>
        </w:tc>
        <w:tc>
          <w:tcPr>
            <w:tcW w:w="1701" w:type="dxa"/>
            <w:shd w:val="clear" w:color="000000" w:fill="FFFFFF"/>
            <w:vAlign w:val="center"/>
          </w:tcPr>
          <w:p w14:paraId="33A553C9">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权利要求超项费（超过</w:t>
            </w:r>
            <w:r>
              <w:rPr>
                <w:rFonts w:hint="default" w:asciiTheme="minorEastAsia" w:hAnsiTheme="minorEastAsia"/>
                <w:color w:val="000000" w:themeColor="text1"/>
                <w:kern w:val="0"/>
                <w:sz w:val="24"/>
                <w:highlight w:val="none"/>
                <w14:textFill>
                  <w14:solidFill>
                    <w14:schemeClr w14:val="tx1"/>
                  </w14:solidFill>
                </w14:textFill>
              </w:rPr>
              <w:t>10</w:t>
            </w:r>
            <w:r>
              <w:rPr>
                <w:rFonts w:hint="eastAsia" w:cs="宋体" w:asciiTheme="minorEastAsia" w:hAnsiTheme="minorEastAsia"/>
                <w:color w:val="000000" w:themeColor="text1"/>
                <w:kern w:val="0"/>
                <w:sz w:val="24"/>
                <w:highlight w:val="none"/>
                <w14:textFill>
                  <w14:solidFill>
                    <w14:schemeClr w14:val="tx1"/>
                  </w14:solidFill>
                </w14:textFill>
              </w:rPr>
              <w:t>项）</w:t>
            </w:r>
          </w:p>
        </w:tc>
        <w:tc>
          <w:tcPr>
            <w:tcW w:w="2964" w:type="dxa"/>
            <w:shd w:val="clear" w:color="000000" w:fill="FFFFFF"/>
            <w:vAlign w:val="center"/>
          </w:tcPr>
          <w:p w14:paraId="43B3480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150/</w:t>
            </w:r>
            <w:r>
              <w:rPr>
                <w:rFonts w:hint="eastAsia" w:asciiTheme="minorEastAsia" w:hAnsiTheme="minorEastAsia"/>
                <w:color w:val="000000" w:themeColor="text1"/>
                <w:kern w:val="0"/>
                <w:sz w:val="24"/>
                <w:highlight w:val="none"/>
                <w14:textFill>
                  <w14:solidFill>
                    <w14:schemeClr w14:val="tx1"/>
                  </w14:solidFill>
                </w14:textFill>
              </w:rPr>
              <w:t>项</w:t>
            </w:r>
          </w:p>
        </w:tc>
        <w:tc>
          <w:tcPr>
            <w:tcW w:w="1534" w:type="dxa"/>
            <w:shd w:val="clear" w:color="000000" w:fill="FFFFFF"/>
            <w:vAlign w:val="center"/>
          </w:tcPr>
          <w:p w14:paraId="426486D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r>
              <w:rPr>
                <w:rFonts w:hint="default" w:asciiTheme="minorEastAsia" w:hAnsiTheme="minorEastAsia"/>
                <w:color w:val="000000" w:themeColor="text1"/>
                <w:kern w:val="0"/>
                <w:sz w:val="24"/>
                <w:highlight w:val="none"/>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项</w:t>
            </w:r>
          </w:p>
        </w:tc>
      </w:tr>
      <w:tr w14:paraId="2561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1DDDE42C">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shd w:val="clear" w:color="000000" w:fill="FFFFFF"/>
            <w:vAlign w:val="center"/>
          </w:tcPr>
          <w:p w14:paraId="5DB9139F">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　</w:t>
            </w:r>
            <w:r>
              <w:rPr>
                <w:rFonts w:hint="eastAsia"/>
                <w:highlight w:val="none"/>
              </w:rPr>
              <w:t>其它</w:t>
            </w:r>
          </w:p>
        </w:tc>
        <w:tc>
          <w:tcPr>
            <w:tcW w:w="1701" w:type="dxa"/>
            <w:shd w:val="clear" w:color="000000" w:fill="FFFFFF"/>
            <w:vAlign w:val="center"/>
          </w:tcPr>
          <w:p w14:paraId="374E6BDE">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优先权要求费</w:t>
            </w:r>
          </w:p>
        </w:tc>
        <w:tc>
          <w:tcPr>
            <w:tcW w:w="2964" w:type="dxa"/>
            <w:shd w:val="clear" w:color="000000" w:fill="FFFFFF"/>
            <w:vAlign w:val="center"/>
          </w:tcPr>
          <w:p w14:paraId="11FA658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80/</w:t>
            </w:r>
            <w:r>
              <w:rPr>
                <w:rFonts w:hint="eastAsia" w:asciiTheme="minorEastAsia" w:hAnsiTheme="minorEastAsia"/>
                <w:color w:val="000000" w:themeColor="text1"/>
                <w:kern w:val="0"/>
                <w:sz w:val="24"/>
                <w:highlight w:val="none"/>
                <w14:textFill>
                  <w14:solidFill>
                    <w14:schemeClr w14:val="tx1"/>
                  </w14:solidFill>
                </w14:textFill>
              </w:rPr>
              <w:t>项</w:t>
            </w:r>
          </w:p>
        </w:tc>
        <w:tc>
          <w:tcPr>
            <w:tcW w:w="1534" w:type="dxa"/>
            <w:shd w:val="clear" w:color="000000" w:fill="FFFFFF"/>
            <w:vAlign w:val="center"/>
          </w:tcPr>
          <w:p w14:paraId="214F3657">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62</w:t>
            </w:r>
            <w:r>
              <w:rPr>
                <w:rFonts w:hint="default" w:asciiTheme="minorEastAsia" w:hAnsiTheme="minorEastAsia"/>
                <w:color w:val="000000" w:themeColor="text1"/>
                <w:kern w:val="0"/>
                <w:sz w:val="24"/>
                <w:highlight w:val="none"/>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项</w:t>
            </w:r>
          </w:p>
        </w:tc>
      </w:tr>
      <w:tr w14:paraId="6693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3" w:type="dxa"/>
            <w:vMerge w:val="continue"/>
            <w:shd w:val="clear" w:color="000000" w:fill="FFFFFF"/>
            <w:vAlign w:val="center"/>
          </w:tcPr>
          <w:p w14:paraId="5BFAB1A3">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restart"/>
            <w:shd w:val="clear" w:color="000000" w:fill="FFFFFF"/>
            <w:vAlign w:val="center"/>
          </w:tcPr>
          <w:p w14:paraId="45FB4E12">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著录项目变更费</w:t>
            </w:r>
          </w:p>
        </w:tc>
        <w:tc>
          <w:tcPr>
            <w:tcW w:w="1701" w:type="dxa"/>
            <w:shd w:val="clear" w:color="000000" w:fill="FFFFFF"/>
            <w:vAlign w:val="center"/>
          </w:tcPr>
          <w:p w14:paraId="32E27D25">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申请人发明人变更</w:t>
            </w:r>
          </w:p>
        </w:tc>
        <w:tc>
          <w:tcPr>
            <w:tcW w:w="2964" w:type="dxa"/>
            <w:shd w:val="clear" w:color="000000" w:fill="FFFFFF"/>
            <w:vAlign w:val="center"/>
          </w:tcPr>
          <w:p w14:paraId="6425D8B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200</w:t>
            </w:r>
          </w:p>
        </w:tc>
        <w:tc>
          <w:tcPr>
            <w:tcW w:w="1534" w:type="dxa"/>
            <w:shd w:val="clear" w:color="000000" w:fill="FFFFFF"/>
            <w:vAlign w:val="center"/>
          </w:tcPr>
          <w:p w14:paraId="17FCF30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655</w:t>
            </w:r>
          </w:p>
        </w:tc>
      </w:tr>
      <w:tr w14:paraId="0788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23D68BF8">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vAlign w:val="center"/>
          </w:tcPr>
          <w:p w14:paraId="6898C4CB">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4E5D488C">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代理机构变更</w:t>
            </w:r>
          </w:p>
        </w:tc>
        <w:tc>
          <w:tcPr>
            <w:tcW w:w="2964" w:type="dxa"/>
            <w:shd w:val="clear" w:color="000000" w:fill="FFFFFF"/>
            <w:vAlign w:val="center"/>
          </w:tcPr>
          <w:p w14:paraId="3597629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w:t>
            </w:r>
          </w:p>
        </w:tc>
        <w:tc>
          <w:tcPr>
            <w:tcW w:w="1534" w:type="dxa"/>
            <w:shd w:val="clear" w:color="000000" w:fill="FFFFFF"/>
            <w:vAlign w:val="center"/>
          </w:tcPr>
          <w:p w14:paraId="363A7B8E">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76</w:t>
            </w:r>
          </w:p>
        </w:tc>
      </w:tr>
      <w:tr w14:paraId="0741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vMerge w:val="continue"/>
            <w:shd w:val="clear" w:color="000000" w:fill="FFFFFF"/>
            <w:vAlign w:val="center"/>
          </w:tcPr>
          <w:p w14:paraId="08E2CB9E">
            <w:pPr>
              <w:keepNext w:val="0"/>
              <w:keepLines w:val="0"/>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restart"/>
            <w:shd w:val="clear" w:color="000000" w:fill="FFFFFF"/>
            <w:vAlign w:val="center"/>
          </w:tcPr>
          <w:p w14:paraId="2CF7C616">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复审</w:t>
            </w:r>
          </w:p>
        </w:tc>
        <w:tc>
          <w:tcPr>
            <w:tcW w:w="1701" w:type="dxa"/>
            <w:shd w:val="clear" w:color="000000" w:fill="FFFFFF"/>
            <w:vAlign w:val="center"/>
          </w:tcPr>
          <w:p w14:paraId="1180B5BC">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复审（发明）</w:t>
            </w:r>
          </w:p>
        </w:tc>
        <w:tc>
          <w:tcPr>
            <w:tcW w:w="2964" w:type="dxa"/>
            <w:shd w:val="clear" w:color="000000" w:fill="FFFFFF"/>
            <w:vAlign w:val="center"/>
          </w:tcPr>
          <w:p w14:paraId="4E7031FB">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1000/300/150</w:t>
            </w:r>
          </w:p>
        </w:tc>
        <w:tc>
          <w:tcPr>
            <w:tcW w:w="1534" w:type="dxa"/>
            <w:shd w:val="clear" w:color="000000" w:fill="FFFFFF"/>
            <w:vAlign w:val="center"/>
          </w:tcPr>
          <w:p w14:paraId="47ADA1E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3245</w:t>
            </w:r>
          </w:p>
        </w:tc>
      </w:tr>
      <w:tr w14:paraId="36E8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vMerge w:val="continue"/>
            <w:shd w:val="clear" w:color="000000" w:fill="FFFFFF"/>
            <w:vAlign w:val="center"/>
          </w:tcPr>
          <w:p w14:paraId="7812CC82">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vAlign w:val="center"/>
          </w:tcPr>
          <w:p w14:paraId="31292C04">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151D31E9">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复审（实用</w:t>
            </w:r>
            <w:r>
              <w:rPr>
                <w:rFonts w:hint="default" w:asciiTheme="minorEastAsia" w:hAnsiTheme="minorEastAsia"/>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外观）</w:t>
            </w:r>
          </w:p>
        </w:tc>
        <w:tc>
          <w:tcPr>
            <w:tcW w:w="2964" w:type="dxa"/>
            <w:shd w:val="clear" w:color="000000" w:fill="FFFFFF"/>
            <w:vAlign w:val="center"/>
          </w:tcPr>
          <w:p w14:paraId="5DFF6CF7">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default" w:asciiTheme="minorEastAsia" w:hAnsiTheme="minorEastAsia"/>
                <w:color w:val="000000" w:themeColor="text1"/>
                <w:kern w:val="0"/>
                <w:sz w:val="24"/>
                <w:highlight w:val="none"/>
                <w14:textFill>
                  <w14:solidFill>
                    <w14:schemeClr w14:val="tx1"/>
                  </w14:solidFill>
                </w14:textFill>
              </w:rPr>
              <w:t>300/90/45</w:t>
            </w:r>
          </w:p>
        </w:tc>
        <w:tc>
          <w:tcPr>
            <w:tcW w:w="1534" w:type="dxa"/>
            <w:shd w:val="clear" w:color="000000" w:fill="FFFFFF"/>
            <w:vAlign w:val="center"/>
          </w:tcPr>
          <w:p w14:paraId="314AEDC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1635</w:t>
            </w:r>
          </w:p>
        </w:tc>
      </w:tr>
      <w:tr w14:paraId="47CC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vMerge w:val="continue"/>
            <w:shd w:val="clear" w:color="000000" w:fill="FFFFFF"/>
            <w:vAlign w:val="center"/>
          </w:tcPr>
          <w:p w14:paraId="43BBF30F">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Align w:val="center"/>
          </w:tcPr>
          <w:p w14:paraId="06CEDF84">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优先审查</w:t>
            </w:r>
          </w:p>
        </w:tc>
        <w:tc>
          <w:tcPr>
            <w:tcW w:w="1701" w:type="dxa"/>
            <w:shd w:val="clear" w:color="000000" w:fill="FFFFFF"/>
            <w:vAlign w:val="center"/>
          </w:tcPr>
          <w:p w14:paraId="390D5874">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每项</w:t>
            </w:r>
          </w:p>
        </w:tc>
        <w:tc>
          <w:tcPr>
            <w:tcW w:w="2964" w:type="dxa"/>
            <w:shd w:val="clear" w:color="000000" w:fill="FFFFFF"/>
            <w:vAlign w:val="center"/>
          </w:tcPr>
          <w:p w14:paraId="2AE6AB1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w:t>
            </w:r>
          </w:p>
        </w:tc>
        <w:tc>
          <w:tcPr>
            <w:tcW w:w="1534" w:type="dxa"/>
            <w:shd w:val="clear" w:color="000000" w:fill="FFFFFF"/>
            <w:vAlign w:val="center"/>
          </w:tcPr>
          <w:p w14:paraId="2DFD8F1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2013</w:t>
            </w:r>
          </w:p>
        </w:tc>
      </w:tr>
      <w:tr w14:paraId="1175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vMerge w:val="continue"/>
            <w:shd w:val="clear" w:color="000000" w:fill="FFFFFF"/>
            <w:vAlign w:val="center"/>
          </w:tcPr>
          <w:p w14:paraId="4FBC7CE0">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Align w:val="center"/>
          </w:tcPr>
          <w:p w14:paraId="605E83B8">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快速预审</w:t>
            </w:r>
          </w:p>
        </w:tc>
        <w:tc>
          <w:tcPr>
            <w:tcW w:w="1701" w:type="dxa"/>
            <w:shd w:val="clear" w:color="000000" w:fill="FFFFFF"/>
            <w:vAlign w:val="center"/>
          </w:tcPr>
          <w:p w14:paraId="5876B803">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每项</w:t>
            </w:r>
          </w:p>
        </w:tc>
        <w:tc>
          <w:tcPr>
            <w:tcW w:w="2964" w:type="dxa"/>
            <w:shd w:val="clear" w:color="000000" w:fill="FFFFFF"/>
            <w:vAlign w:val="center"/>
          </w:tcPr>
          <w:p w14:paraId="7FAED2B7">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w:t>
            </w:r>
          </w:p>
        </w:tc>
        <w:tc>
          <w:tcPr>
            <w:tcW w:w="1534" w:type="dxa"/>
            <w:shd w:val="clear" w:color="000000" w:fill="FFFFFF"/>
            <w:vAlign w:val="center"/>
          </w:tcPr>
          <w:p w14:paraId="3B88764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2543</w:t>
            </w:r>
          </w:p>
        </w:tc>
      </w:tr>
      <w:tr w14:paraId="7075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vMerge w:val="restart"/>
            <w:shd w:val="clear" w:color="000000" w:fill="FFFFFF"/>
            <w:vAlign w:val="center"/>
          </w:tcPr>
          <w:p w14:paraId="68943E1D">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国际PCT</w:t>
            </w:r>
          </w:p>
        </w:tc>
        <w:tc>
          <w:tcPr>
            <w:tcW w:w="1143" w:type="dxa"/>
            <w:vMerge w:val="restart"/>
            <w:vAlign w:val="center"/>
          </w:tcPr>
          <w:p w14:paraId="49D7C760">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代国际局收取的国际申请费</w:t>
            </w:r>
          </w:p>
        </w:tc>
        <w:tc>
          <w:tcPr>
            <w:tcW w:w="1701" w:type="dxa"/>
            <w:shd w:val="clear" w:color="000000" w:fill="FFFFFF"/>
            <w:vAlign w:val="center"/>
          </w:tcPr>
          <w:p w14:paraId="18CD442E">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国际申请文件不超过30页</w:t>
            </w:r>
          </w:p>
        </w:tc>
        <w:tc>
          <w:tcPr>
            <w:tcW w:w="2964" w:type="dxa"/>
            <w:shd w:val="clear" w:color="000000" w:fill="FFFFFF"/>
            <w:vAlign w:val="center"/>
          </w:tcPr>
          <w:p w14:paraId="5182F35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10990</w:t>
            </w:r>
          </w:p>
        </w:tc>
        <w:tc>
          <w:tcPr>
            <w:tcW w:w="1534" w:type="dxa"/>
            <w:vMerge w:val="restart"/>
            <w:shd w:val="clear" w:color="000000" w:fill="FFFFFF"/>
            <w:vAlign w:val="center"/>
          </w:tcPr>
          <w:p w14:paraId="02AF28A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3900</w:t>
            </w:r>
          </w:p>
        </w:tc>
      </w:tr>
      <w:tr w14:paraId="09DA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vMerge w:val="continue"/>
            <w:shd w:val="clear" w:color="000000" w:fill="FFFFFF"/>
            <w:vAlign w:val="center"/>
          </w:tcPr>
          <w:p w14:paraId="2B66772F">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vAlign w:val="center"/>
          </w:tcPr>
          <w:p w14:paraId="64537AE4">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72DB13CA">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超出30页每页加收</w:t>
            </w:r>
          </w:p>
        </w:tc>
        <w:tc>
          <w:tcPr>
            <w:tcW w:w="2964" w:type="dxa"/>
            <w:shd w:val="clear" w:color="000000" w:fill="FFFFFF"/>
            <w:vAlign w:val="center"/>
          </w:tcPr>
          <w:p w14:paraId="118305C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120</w:t>
            </w:r>
          </w:p>
        </w:tc>
        <w:tc>
          <w:tcPr>
            <w:tcW w:w="1534" w:type="dxa"/>
            <w:vMerge w:val="continue"/>
            <w:shd w:val="clear" w:color="000000" w:fill="FFFFFF"/>
            <w:vAlign w:val="center"/>
          </w:tcPr>
          <w:p w14:paraId="550CCF2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705B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vMerge w:val="continue"/>
            <w:shd w:val="clear" w:color="000000" w:fill="FFFFFF"/>
            <w:vAlign w:val="center"/>
          </w:tcPr>
          <w:p w14:paraId="13D17242">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vAlign w:val="center"/>
          </w:tcPr>
          <w:p w14:paraId="0D155F30">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0617AF66">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电子方式提交减缴（PDF格式）</w:t>
            </w:r>
          </w:p>
        </w:tc>
        <w:tc>
          <w:tcPr>
            <w:tcW w:w="2964" w:type="dxa"/>
            <w:shd w:val="clear" w:color="000000" w:fill="FFFFFF"/>
            <w:vAlign w:val="center"/>
          </w:tcPr>
          <w:p w14:paraId="1D63143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1650</w:t>
            </w:r>
          </w:p>
        </w:tc>
        <w:tc>
          <w:tcPr>
            <w:tcW w:w="1534" w:type="dxa"/>
            <w:vMerge w:val="continue"/>
            <w:shd w:val="clear" w:color="000000" w:fill="FFFFFF"/>
            <w:vAlign w:val="center"/>
          </w:tcPr>
          <w:p w14:paraId="3A3334A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40B6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vMerge w:val="continue"/>
            <w:shd w:val="clear" w:color="000000" w:fill="FFFFFF"/>
            <w:vAlign w:val="center"/>
          </w:tcPr>
          <w:p w14:paraId="65F810AE">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Merge w:val="continue"/>
            <w:vAlign w:val="center"/>
          </w:tcPr>
          <w:p w14:paraId="2941E521">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701" w:type="dxa"/>
            <w:shd w:val="clear" w:color="000000" w:fill="FFFFFF"/>
            <w:vAlign w:val="center"/>
          </w:tcPr>
          <w:p w14:paraId="52D1DDFF">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电子方式提交减缴（XML格式）</w:t>
            </w:r>
          </w:p>
        </w:tc>
        <w:tc>
          <w:tcPr>
            <w:tcW w:w="2964" w:type="dxa"/>
            <w:shd w:val="clear" w:color="000000" w:fill="FFFFFF"/>
            <w:vAlign w:val="center"/>
          </w:tcPr>
          <w:p w14:paraId="2379997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2480</w:t>
            </w:r>
          </w:p>
        </w:tc>
        <w:tc>
          <w:tcPr>
            <w:tcW w:w="1534" w:type="dxa"/>
            <w:vMerge w:val="continue"/>
            <w:shd w:val="clear" w:color="000000" w:fill="FFFFFF"/>
            <w:vAlign w:val="center"/>
          </w:tcPr>
          <w:p w14:paraId="402F589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77A0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vMerge w:val="continue"/>
            <w:shd w:val="clear" w:color="000000" w:fill="FFFFFF"/>
            <w:vAlign w:val="center"/>
          </w:tcPr>
          <w:p w14:paraId="64227903">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p>
        </w:tc>
        <w:tc>
          <w:tcPr>
            <w:tcW w:w="1143" w:type="dxa"/>
            <w:vAlign w:val="center"/>
          </w:tcPr>
          <w:p w14:paraId="23B6DCDE">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代国际局收取的手续费</w:t>
            </w:r>
          </w:p>
        </w:tc>
        <w:tc>
          <w:tcPr>
            <w:tcW w:w="1701" w:type="dxa"/>
            <w:shd w:val="clear" w:color="000000" w:fill="FFFFFF"/>
            <w:vAlign w:val="center"/>
          </w:tcPr>
          <w:p w14:paraId="7ABACE5D">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手续费</w:t>
            </w:r>
          </w:p>
        </w:tc>
        <w:tc>
          <w:tcPr>
            <w:tcW w:w="2964" w:type="dxa"/>
            <w:shd w:val="clear" w:color="000000" w:fill="FFFFFF"/>
            <w:vAlign w:val="center"/>
          </w:tcPr>
          <w:p w14:paraId="2B4B6D37">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1650</w:t>
            </w:r>
          </w:p>
        </w:tc>
        <w:tc>
          <w:tcPr>
            <w:tcW w:w="1534" w:type="dxa"/>
            <w:vMerge w:val="continue"/>
            <w:shd w:val="clear" w:color="000000" w:fill="FFFFFF"/>
            <w:vAlign w:val="center"/>
          </w:tcPr>
          <w:p w14:paraId="5FDE7C7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kern w:val="0"/>
                <w:sz w:val="24"/>
                <w:highlight w:val="none"/>
                <w14:textFill>
                  <w14:solidFill>
                    <w14:schemeClr w14:val="tx1"/>
                  </w14:solidFill>
                </w14:textFill>
              </w:rPr>
            </w:pPr>
          </w:p>
        </w:tc>
      </w:tr>
      <w:tr w14:paraId="14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shd w:val="clear" w:color="000000" w:fill="FFFFFF"/>
            <w:vAlign w:val="center"/>
          </w:tcPr>
          <w:p w14:paraId="16DAD6F0">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计算机软件著作权</w:t>
            </w:r>
          </w:p>
        </w:tc>
        <w:tc>
          <w:tcPr>
            <w:tcW w:w="1143" w:type="dxa"/>
            <w:vAlign w:val="center"/>
          </w:tcPr>
          <w:p w14:paraId="29AC77FF">
            <w:pPr>
              <w:keepNext w:val="0"/>
              <w:keepLines w:val="0"/>
              <w:widowControl/>
              <w:suppressLineNumbers w:val="0"/>
              <w:spacing w:before="0" w:beforeAutospacing="0" w:after="0" w:afterAutospacing="0" w:line="360" w:lineRule="auto"/>
              <w:ind w:left="0" w:right="0"/>
              <w:jc w:val="left"/>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代理申请费用</w:t>
            </w:r>
          </w:p>
        </w:tc>
        <w:tc>
          <w:tcPr>
            <w:tcW w:w="1701" w:type="dxa"/>
            <w:shd w:val="clear" w:color="000000" w:fill="FFFFFF"/>
            <w:vAlign w:val="center"/>
          </w:tcPr>
          <w:p w14:paraId="1C0FAD30">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每项</w:t>
            </w:r>
          </w:p>
        </w:tc>
        <w:tc>
          <w:tcPr>
            <w:tcW w:w="2964" w:type="dxa"/>
            <w:shd w:val="clear" w:color="000000" w:fill="FFFFFF"/>
            <w:vAlign w:val="center"/>
          </w:tcPr>
          <w:p w14:paraId="59650D9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w:t>
            </w:r>
          </w:p>
        </w:tc>
        <w:tc>
          <w:tcPr>
            <w:tcW w:w="1534" w:type="dxa"/>
            <w:shd w:val="clear" w:color="000000" w:fill="FFFFFF"/>
            <w:vAlign w:val="center"/>
          </w:tcPr>
          <w:p w14:paraId="519ED0F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780</w:t>
            </w:r>
          </w:p>
        </w:tc>
      </w:tr>
    </w:tbl>
    <w:p w14:paraId="42281687">
      <w:pPr>
        <w:pStyle w:val="107"/>
        <w:tabs>
          <w:tab w:val="left" w:pos="709"/>
        </w:tabs>
        <w:ind w:firstLine="0" w:firstLineChars="0"/>
        <w:rPr>
          <w:rFonts w:ascii="宋体" w:hAnsi="宋体"/>
          <w:sz w:val="28"/>
          <w:szCs w:val="28"/>
          <w:highlight w:val="none"/>
        </w:rPr>
      </w:pPr>
    </w:p>
    <w:p w14:paraId="6E8F8695">
      <w:pPr>
        <w:pStyle w:val="107"/>
        <w:numPr>
          <w:ilvl w:val="255"/>
          <w:numId w:val="0"/>
        </w:numPr>
        <w:tabs>
          <w:tab w:val="left" w:pos="709"/>
        </w:tabs>
        <w:rPr>
          <w:rFonts w:ascii="宋体" w:hAnsi="宋体" w:eastAsiaTheme="minorEastAsia"/>
          <w:sz w:val="28"/>
          <w:szCs w:val="28"/>
          <w:highlight w:val="none"/>
        </w:rPr>
      </w:pPr>
      <w:r>
        <w:rPr>
          <w:rFonts w:hint="eastAsia" w:ascii="宋体" w:hAnsi="宋体"/>
          <w:sz w:val="28"/>
          <w:szCs w:val="28"/>
          <w:highlight w:val="none"/>
        </w:rPr>
        <w:t>三</w:t>
      </w:r>
      <w:r>
        <w:rPr>
          <w:rFonts w:ascii="宋体" w:hAnsi="宋体"/>
          <w:sz w:val="28"/>
          <w:szCs w:val="28"/>
          <w:highlight w:val="none"/>
        </w:rPr>
        <w:t>、</w:t>
      </w:r>
      <w:r>
        <w:rPr>
          <w:rFonts w:hint="eastAsia" w:ascii="宋体" w:hAnsi="宋体"/>
          <w:sz w:val="28"/>
          <w:szCs w:val="28"/>
          <w:highlight w:val="none"/>
        </w:rPr>
        <w:t>服务要求</w:t>
      </w:r>
    </w:p>
    <w:tbl>
      <w:tblPr>
        <w:tblStyle w:val="38"/>
        <w:tblW w:w="949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26"/>
        <w:gridCol w:w="3969"/>
        <w:gridCol w:w="2554"/>
      </w:tblGrid>
      <w:tr w14:paraId="722B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32736154">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b/>
                <w:sz w:val="28"/>
                <w:szCs w:val="28"/>
                <w:highlight w:val="none"/>
              </w:rPr>
            </w:pPr>
            <w:r>
              <w:rPr>
                <w:rFonts w:hint="eastAsia" w:ascii="宋体" w:hAnsi="宋体"/>
                <w:b/>
                <w:sz w:val="28"/>
                <w:szCs w:val="28"/>
                <w:highlight w:val="none"/>
              </w:rPr>
              <w:t>序号</w:t>
            </w:r>
          </w:p>
        </w:tc>
        <w:tc>
          <w:tcPr>
            <w:tcW w:w="2126" w:type="dxa"/>
            <w:vAlign w:val="center"/>
          </w:tcPr>
          <w:p w14:paraId="58FD6526">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b/>
                <w:sz w:val="28"/>
                <w:szCs w:val="28"/>
                <w:highlight w:val="none"/>
              </w:rPr>
            </w:pPr>
            <w:r>
              <w:rPr>
                <w:rFonts w:hint="eastAsia" w:ascii="宋体" w:hAnsi="宋体"/>
                <w:b/>
                <w:sz w:val="28"/>
                <w:szCs w:val="28"/>
                <w:highlight w:val="none"/>
              </w:rPr>
              <w:t>技术/服务内容</w:t>
            </w:r>
          </w:p>
        </w:tc>
        <w:tc>
          <w:tcPr>
            <w:tcW w:w="3969" w:type="dxa"/>
            <w:vAlign w:val="center"/>
          </w:tcPr>
          <w:p w14:paraId="4E3D7D54">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b/>
                <w:sz w:val="28"/>
                <w:szCs w:val="28"/>
                <w:highlight w:val="none"/>
              </w:rPr>
            </w:pPr>
            <w:r>
              <w:rPr>
                <w:rFonts w:hint="eastAsia" w:ascii="宋体" w:hAnsi="宋体"/>
                <w:b/>
                <w:sz w:val="28"/>
                <w:szCs w:val="28"/>
                <w:highlight w:val="none"/>
              </w:rPr>
              <w:t>技术/服务要求标准</w:t>
            </w:r>
          </w:p>
        </w:tc>
        <w:tc>
          <w:tcPr>
            <w:tcW w:w="2554" w:type="dxa"/>
            <w:vAlign w:val="center"/>
          </w:tcPr>
          <w:p w14:paraId="0CFA1A2C">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b/>
                <w:sz w:val="28"/>
                <w:szCs w:val="28"/>
                <w:highlight w:val="none"/>
              </w:rPr>
            </w:pPr>
            <w:r>
              <w:rPr>
                <w:rFonts w:hint="eastAsia" w:ascii="宋体" w:hAnsi="宋体"/>
                <w:b/>
                <w:sz w:val="28"/>
                <w:szCs w:val="28"/>
                <w:highlight w:val="none"/>
              </w:rPr>
              <w:t>考核</w:t>
            </w:r>
            <w:r>
              <w:rPr>
                <w:rFonts w:hint="default" w:ascii="宋体" w:hAnsi="宋体"/>
                <w:b/>
                <w:sz w:val="28"/>
                <w:szCs w:val="28"/>
                <w:highlight w:val="none"/>
              </w:rPr>
              <w:t>材料</w:t>
            </w:r>
          </w:p>
        </w:tc>
      </w:tr>
      <w:tr w14:paraId="7D5C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224154A4">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1</w:t>
            </w:r>
          </w:p>
        </w:tc>
        <w:tc>
          <w:tcPr>
            <w:tcW w:w="2126" w:type="dxa"/>
            <w:vAlign w:val="center"/>
          </w:tcPr>
          <w:p w14:paraId="6E98BC1D">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非正常专利前置评估</w:t>
            </w:r>
          </w:p>
        </w:tc>
        <w:tc>
          <w:tcPr>
            <w:tcW w:w="3969" w:type="dxa"/>
            <w:vAlign w:val="center"/>
          </w:tcPr>
          <w:p w14:paraId="3924810E">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对医院提交的专利进行前置审查，不得出现被认定的非正常专利</w:t>
            </w:r>
          </w:p>
        </w:tc>
        <w:tc>
          <w:tcPr>
            <w:tcW w:w="2554" w:type="dxa"/>
            <w:vAlign w:val="center"/>
          </w:tcPr>
          <w:p w14:paraId="3C8A54E1">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w:t>
            </w:r>
          </w:p>
        </w:tc>
      </w:tr>
      <w:tr w14:paraId="3E34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0B5C2F79">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2</w:t>
            </w:r>
          </w:p>
        </w:tc>
        <w:tc>
          <w:tcPr>
            <w:tcW w:w="2126" w:type="dxa"/>
            <w:vAlign w:val="center"/>
          </w:tcPr>
          <w:p w14:paraId="691BEE9A">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专利价值评估</w:t>
            </w:r>
          </w:p>
        </w:tc>
        <w:tc>
          <w:tcPr>
            <w:tcW w:w="3969" w:type="dxa"/>
            <w:vAlign w:val="center"/>
          </w:tcPr>
          <w:p w14:paraId="7D2D1DCC">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default" w:ascii="宋体" w:hAnsi="宋体"/>
                <w:sz w:val="28"/>
                <w:szCs w:val="28"/>
                <w:highlight w:val="none"/>
              </w:rPr>
              <w:t>医院提供3项专利成果，专利代理公司评估专利成果转化应用的市场价值</w:t>
            </w:r>
          </w:p>
        </w:tc>
        <w:tc>
          <w:tcPr>
            <w:tcW w:w="2554" w:type="dxa"/>
            <w:vAlign w:val="center"/>
          </w:tcPr>
          <w:p w14:paraId="2ABBF9D4">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default" w:ascii="宋体" w:hAnsi="宋体"/>
                <w:sz w:val="28"/>
                <w:szCs w:val="28"/>
                <w:highlight w:val="none"/>
              </w:rPr>
              <w:t>专利代理公司</w:t>
            </w:r>
            <w:r>
              <w:rPr>
                <w:rFonts w:hint="eastAsia" w:ascii="宋体" w:hAnsi="宋体"/>
                <w:sz w:val="28"/>
                <w:szCs w:val="28"/>
                <w:highlight w:val="none"/>
              </w:rPr>
              <w:t>提交1个月内出具转化可行性报告</w:t>
            </w:r>
          </w:p>
        </w:tc>
      </w:tr>
      <w:tr w14:paraId="0A08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6552FCF8">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3</w:t>
            </w:r>
          </w:p>
        </w:tc>
        <w:tc>
          <w:tcPr>
            <w:tcW w:w="2126" w:type="dxa"/>
            <w:vAlign w:val="center"/>
          </w:tcPr>
          <w:p w14:paraId="1E29339F">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科技成果转化</w:t>
            </w:r>
          </w:p>
        </w:tc>
        <w:tc>
          <w:tcPr>
            <w:tcW w:w="3969" w:type="dxa"/>
            <w:vAlign w:val="center"/>
          </w:tcPr>
          <w:p w14:paraId="1C762C4E">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提供转化渠道及指导，推动成果转化不得低于1项</w:t>
            </w:r>
          </w:p>
        </w:tc>
        <w:tc>
          <w:tcPr>
            <w:tcW w:w="2554" w:type="dxa"/>
            <w:vAlign w:val="center"/>
          </w:tcPr>
          <w:p w14:paraId="0197FDD6">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w:t>
            </w:r>
          </w:p>
        </w:tc>
      </w:tr>
      <w:tr w14:paraId="629D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37B2E8C0">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4</w:t>
            </w:r>
          </w:p>
        </w:tc>
        <w:tc>
          <w:tcPr>
            <w:tcW w:w="2126" w:type="dxa"/>
            <w:vAlign w:val="center"/>
          </w:tcPr>
          <w:p w14:paraId="69B322CD">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专利相关培训</w:t>
            </w:r>
          </w:p>
        </w:tc>
        <w:tc>
          <w:tcPr>
            <w:tcW w:w="3969" w:type="dxa"/>
            <w:vAlign w:val="center"/>
          </w:tcPr>
          <w:p w14:paraId="0EC1B2FC">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根据医院需求开展全院性专利相关培训，不得低于1次</w:t>
            </w:r>
          </w:p>
        </w:tc>
        <w:tc>
          <w:tcPr>
            <w:tcW w:w="2554" w:type="dxa"/>
            <w:vAlign w:val="center"/>
          </w:tcPr>
          <w:p w14:paraId="6580E734">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w:t>
            </w:r>
          </w:p>
        </w:tc>
      </w:tr>
      <w:tr w14:paraId="1BF9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0579FB66">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5</w:t>
            </w:r>
          </w:p>
        </w:tc>
        <w:tc>
          <w:tcPr>
            <w:tcW w:w="2126" w:type="dxa"/>
            <w:vAlign w:val="center"/>
          </w:tcPr>
          <w:p w14:paraId="62BD0CB0">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服务时间</w:t>
            </w:r>
          </w:p>
        </w:tc>
        <w:tc>
          <w:tcPr>
            <w:tcW w:w="3969" w:type="dxa"/>
            <w:vAlign w:val="center"/>
          </w:tcPr>
          <w:p w14:paraId="73CC984E">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具有充足的技术人员指导，我院提交专利技术交底书后，1个月内要完成专利申请提交。</w:t>
            </w:r>
          </w:p>
        </w:tc>
        <w:tc>
          <w:tcPr>
            <w:tcW w:w="2554" w:type="dxa"/>
            <w:vAlign w:val="center"/>
          </w:tcPr>
          <w:p w14:paraId="48E6065F">
            <w:pPr>
              <w:pStyle w:val="107"/>
              <w:keepNext w:val="0"/>
              <w:keepLines w:val="0"/>
              <w:suppressLineNumbers w:val="0"/>
              <w:tabs>
                <w:tab w:val="left" w:pos="851"/>
              </w:tabs>
              <w:spacing w:before="0" w:beforeAutospacing="0" w:after="0" w:afterAutospacing="0"/>
              <w:ind w:left="0" w:right="0" w:firstLine="0" w:firstLineChars="0"/>
              <w:jc w:val="center"/>
              <w:rPr>
                <w:rFonts w:hint="default" w:ascii="宋体" w:hAnsi="宋体"/>
                <w:sz w:val="28"/>
                <w:szCs w:val="28"/>
                <w:highlight w:val="none"/>
              </w:rPr>
            </w:pPr>
            <w:r>
              <w:rPr>
                <w:rFonts w:hint="eastAsia" w:ascii="宋体" w:hAnsi="宋体"/>
                <w:sz w:val="28"/>
                <w:szCs w:val="28"/>
                <w:highlight w:val="none"/>
              </w:rPr>
              <w:t>/</w:t>
            </w:r>
          </w:p>
        </w:tc>
      </w:tr>
    </w:tbl>
    <w:p w14:paraId="1837762A">
      <w:pPr>
        <w:pStyle w:val="107"/>
        <w:tabs>
          <w:tab w:val="left" w:pos="709"/>
        </w:tabs>
        <w:ind w:firstLine="0" w:firstLineChars="0"/>
        <w:rPr>
          <w:highlight w:val="none"/>
        </w:rPr>
      </w:pPr>
      <w:r>
        <w:rPr>
          <w:rFonts w:hint="eastAsia" w:ascii="宋体" w:hAnsi="宋体"/>
          <w:sz w:val="28"/>
          <w:szCs w:val="28"/>
          <w:highlight w:val="none"/>
        </w:rPr>
        <w:t>四、商务</w:t>
      </w:r>
      <w:r>
        <w:rPr>
          <w:rFonts w:ascii="宋体" w:hAnsi="宋体"/>
          <w:sz w:val="28"/>
          <w:szCs w:val="28"/>
          <w:highlight w:val="none"/>
        </w:rPr>
        <w:t>要求</w:t>
      </w:r>
    </w:p>
    <w:p w14:paraId="634809A8">
      <w:pPr>
        <w:pStyle w:val="107"/>
        <w:numPr>
          <w:ilvl w:val="255"/>
          <w:numId w:val="0"/>
        </w:numPr>
        <w:tabs>
          <w:tab w:val="left" w:pos="709"/>
        </w:tabs>
        <w:rPr>
          <w:highlight w:val="none"/>
        </w:rPr>
      </w:pPr>
      <w:r>
        <w:rPr>
          <w:rFonts w:hint="eastAsia" w:ascii="宋体" w:hAnsi="宋体"/>
          <w:sz w:val="28"/>
          <w:szCs w:val="28"/>
          <w:highlight w:val="none"/>
        </w:rPr>
        <w:t>（一）服务周期：1年，以合同签订日为起始时间，</w:t>
      </w:r>
      <w:r>
        <w:rPr>
          <w:rFonts w:ascii="宋体" w:hAnsi="宋体"/>
          <w:sz w:val="28"/>
          <w:szCs w:val="28"/>
          <w:highlight w:val="none"/>
        </w:rPr>
        <w:t>以合同</w:t>
      </w:r>
      <w:r>
        <w:rPr>
          <w:rFonts w:hint="eastAsia" w:ascii="宋体" w:hAnsi="宋体"/>
          <w:sz w:val="28"/>
          <w:szCs w:val="28"/>
          <w:highlight w:val="none"/>
        </w:rPr>
        <w:t>金额</w:t>
      </w:r>
      <w:r>
        <w:rPr>
          <w:rFonts w:ascii="宋体" w:hAnsi="宋体"/>
          <w:sz w:val="28"/>
          <w:szCs w:val="28"/>
          <w:highlight w:val="none"/>
        </w:rPr>
        <w:t>或</w:t>
      </w:r>
      <w:r>
        <w:rPr>
          <w:rFonts w:hint="eastAsia" w:ascii="宋体" w:hAnsi="宋体"/>
          <w:sz w:val="28"/>
          <w:szCs w:val="28"/>
          <w:highlight w:val="none"/>
        </w:rPr>
        <w:t>服务</w:t>
      </w:r>
      <w:r>
        <w:rPr>
          <w:rFonts w:ascii="宋体" w:hAnsi="宋体"/>
          <w:sz w:val="28"/>
          <w:szCs w:val="28"/>
          <w:highlight w:val="none"/>
        </w:rPr>
        <w:t>周期先到者</w:t>
      </w:r>
      <w:r>
        <w:rPr>
          <w:rFonts w:hint="eastAsia" w:ascii="宋体" w:hAnsi="宋体"/>
          <w:sz w:val="28"/>
          <w:szCs w:val="28"/>
          <w:highlight w:val="none"/>
        </w:rPr>
        <w:t>为</w:t>
      </w:r>
      <w:r>
        <w:rPr>
          <w:rFonts w:ascii="宋体" w:hAnsi="宋体"/>
          <w:sz w:val="28"/>
          <w:szCs w:val="28"/>
          <w:highlight w:val="none"/>
        </w:rPr>
        <w:t>合同结束</w:t>
      </w:r>
      <w:r>
        <w:rPr>
          <w:rFonts w:hint="eastAsia" w:ascii="宋体" w:hAnsi="宋体"/>
          <w:sz w:val="28"/>
          <w:szCs w:val="28"/>
          <w:highlight w:val="none"/>
        </w:rPr>
        <w:t>时间</w:t>
      </w:r>
      <w:r>
        <w:rPr>
          <w:rFonts w:hint="eastAsia" w:ascii="宋体" w:hAnsi="宋体"/>
          <w:sz w:val="28"/>
          <w:szCs w:val="28"/>
          <w:highlight w:val="none"/>
          <w:lang w:eastAsia="zh-CN"/>
        </w:rPr>
        <w:t>，</w:t>
      </w:r>
      <w:r>
        <w:rPr>
          <w:rFonts w:hint="eastAsia" w:ascii="宋体" w:hAnsi="宋体"/>
          <w:sz w:val="28"/>
          <w:szCs w:val="28"/>
          <w:highlight w:val="none"/>
          <w:lang w:val="en-US" w:eastAsia="zh-CN"/>
        </w:rPr>
        <w:t>考核周期与服务周期一致</w:t>
      </w:r>
      <w:r>
        <w:rPr>
          <w:rFonts w:hint="eastAsia" w:ascii="宋体" w:hAnsi="宋体"/>
          <w:sz w:val="28"/>
          <w:szCs w:val="28"/>
          <w:highlight w:val="none"/>
        </w:rPr>
        <w:t>。</w:t>
      </w:r>
    </w:p>
    <w:p w14:paraId="29AFF01A">
      <w:pPr>
        <w:pStyle w:val="107"/>
        <w:numPr>
          <w:ilvl w:val="255"/>
          <w:numId w:val="0"/>
        </w:numPr>
        <w:tabs>
          <w:tab w:val="left" w:pos="709"/>
        </w:tabs>
        <w:rPr>
          <w:rFonts w:ascii="宋体" w:hAnsi="宋体"/>
          <w:sz w:val="28"/>
          <w:szCs w:val="28"/>
          <w:highlight w:val="none"/>
        </w:rPr>
      </w:pPr>
      <w:r>
        <w:rPr>
          <w:rFonts w:hint="eastAsia" w:ascii="宋体" w:hAnsi="宋体"/>
          <w:sz w:val="28"/>
          <w:szCs w:val="28"/>
          <w:highlight w:val="none"/>
        </w:rPr>
        <w:t>（二）先支付结算金额的80%，结算金额的20%为考核结算金额，根据年终考核结果再进行支付。具体考核</w:t>
      </w:r>
      <w:r>
        <w:rPr>
          <w:rFonts w:hint="eastAsia" w:ascii="宋体" w:hAnsi="宋体"/>
          <w:sz w:val="28"/>
          <w:szCs w:val="28"/>
          <w:highlight w:val="none"/>
          <w:lang w:val="en-US" w:eastAsia="zh-CN"/>
        </w:rPr>
        <w:t>制度</w:t>
      </w:r>
      <w:r>
        <w:rPr>
          <w:rFonts w:hint="eastAsia" w:ascii="宋体" w:hAnsi="宋体"/>
          <w:sz w:val="28"/>
          <w:szCs w:val="28"/>
          <w:highlight w:val="none"/>
        </w:rPr>
        <w:t>如下：</w:t>
      </w:r>
    </w:p>
    <w:p w14:paraId="6C59A678">
      <w:pPr>
        <w:pStyle w:val="107"/>
        <w:numPr>
          <w:ilvl w:val="255"/>
          <w:numId w:val="0"/>
        </w:numPr>
        <w:tabs>
          <w:tab w:val="left" w:pos="709"/>
        </w:tabs>
        <w:rPr>
          <w:rFonts w:hint="eastAsia" w:ascii="宋体" w:hAnsi="宋体"/>
          <w:sz w:val="28"/>
          <w:szCs w:val="28"/>
          <w:highlight w:val="none"/>
        </w:rPr>
      </w:pPr>
    </w:p>
    <w:p w14:paraId="6FDA38D2">
      <w:pPr>
        <w:pStyle w:val="107"/>
        <w:numPr>
          <w:ilvl w:val="255"/>
          <w:numId w:val="0"/>
        </w:numPr>
        <w:tabs>
          <w:tab w:val="left" w:pos="709"/>
        </w:tabs>
        <w:rPr>
          <w:rFonts w:hint="eastAsia" w:ascii="宋体" w:hAnsi="宋体"/>
          <w:sz w:val="28"/>
          <w:szCs w:val="28"/>
          <w:highlight w:val="none"/>
        </w:rPr>
      </w:pPr>
    </w:p>
    <w:p w14:paraId="381F26E3">
      <w:pPr>
        <w:pStyle w:val="107"/>
        <w:numPr>
          <w:ilvl w:val="255"/>
          <w:numId w:val="0"/>
        </w:numPr>
        <w:tabs>
          <w:tab w:val="left" w:pos="709"/>
        </w:tabs>
        <w:rPr>
          <w:rFonts w:hint="eastAsia" w:ascii="宋体" w:hAnsi="宋体"/>
          <w:sz w:val="28"/>
          <w:szCs w:val="28"/>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4018"/>
        <w:gridCol w:w="1371"/>
        <w:gridCol w:w="2484"/>
      </w:tblGrid>
      <w:tr w14:paraId="7FBE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2BE60026">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考核条款</w:t>
            </w:r>
          </w:p>
        </w:tc>
        <w:tc>
          <w:tcPr>
            <w:tcW w:w="4018" w:type="dxa"/>
          </w:tcPr>
          <w:p w14:paraId="44587EBF">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考核要求</w:t>
            </w:r>
          </w:p>
        </w:tc>
        <w:tc>
          <w:tcPr>
            <w:tcW w:w="1371" w:type="dxa"/>
          </w:tcPr>
          <w:p w14:paraId="2901C82A">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达标情况</w:t>
            </w:r>
          </w:p>
        </w:tc>
        <w:tc>
          <w:tcPr>
            <w:tcW w:w="2484" w:type="dxa"/>
          </w:tcPr>
          <w:p w14:paraId="37D982D3">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备注</w:t>
            </w:r>
          </w:p>
        </w:tc>
      </w:tr>
      <w:tr w14:paraId="7FC2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4E28F2AF">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（1）</w:t>
            </w:r>
            <w:r>
              <w:rPr>
                <w:rStyle w:val="141"/>
                <w:rFonts w:hint="default" w:asciiTheme="minorEastAsia" w:hAnsiTheme="minorEastAsia" w:eastAsiaTheme="minorEastAsia"/>
                <w:sz w:val="22"/>
                <w:szCs w:val="22"/>
                <w:highlight w:val="none"/>
                <w:vertAlign w:val="baseline"/>
                <w:lang w:val="en-US"/>
              </w:rPr>
              <w:t>非正常专利前置评估</w:t>
            </w:r>
          </w:p>
        </w:tc>
        <w:tc>
          <w:tcPr>
            <w:tcW w:w="4018" w:type="dxa"/>
          </w:tcPr>
          <w:p w14:paraId="33AB8FF5">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专利代理公司</w:t>
            </w:r>
            <w:r>
              <w:rPr>
                <w:rStyle w:val="141"/>
                <w:rFonts w:hint="default" w:asciiTheme="minorEastAsia" w:hAnsiTheme="minorEastAsia" w:eastAsiaTheme="minorEastAsia"/>
                <w:sz w:val="22"/>
                <w:szCs w:val="22"/>
                <w:highlight w:val="none"/>
                <w:vertAlign w:val="baseline"/>
                <w:lang w:val="en-US"/>
              </w:rPr>
              <w:t>对</w:t>
            </w:r>
            <w:r>
              <w:rPr>
                <w:rStyle w:val="141"/>
                <w:rFonts w:hint="default" w:asciiTheme="minorEastAsia" w:hAnsiTheme="minorEastAsia" w:eastAsiaTheme="minorEastAsia"/>
                <w:sz w:val="22"/>
                <w:szCs w:val="22"/>
                <w:highlight w:val="none"/>
                <w:vertAlign w:val="baseline"/>
              </w:rPr>
              <w:t>医院</w:t>
            </w:r>
            <w:r>
              <w:rPr>
                <w:rStyle w:val="141"/>
                <w:rFonts w:hint="default" w:asciiTheme="minorEastAsia" w:hAnsiTheme="minorEastAsia" w:eastAsiaTheme="minorEastAsia"/>
                <w:sz w:val="22"/>
                <w:szCs w:val="22"/>
                <w:highlight w:val="none"/>
                <w:vertAlign w:val="baseline"/>
                <w:lang w:val="en-US"/>
              </w:rPr>
              <w:t>提交的专利进行前置审查，不得出现被认定的非正常专利</w:t>
            </w:r>
          </w:p>
        </w:tc>
        <w:tc>
          <w:tcPr>
            <w:tcW w:w="1371" w:type="dxa"/>
          </w:tcPr>
          <w:p w14:paraId="55E7236C">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75DE3797">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6DE2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3D216996">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（2）专利价值评估</w:t>
            </w:r>
          </w:p>
        </w:tc>
        <w:tc>
          <w:tcPr>
            <w:tcW w:w="4018" w:type="dxa"/>
          </w:tcPr>
          <w:p w14:paraId="2B17A657">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default" w:asciiTheme="minorEastAsia" w:hAnsiTheme="minorEastAsia" w:eastAsiaTheme="minorEastAsia"/>
                <w:sz w:val="22"/>
                <w:szCs w:val="22"/>
                <w:highlight w:val="none"/>
                <w:vertAlign w:val="baseline"/>
              </w:rPr>
              <w:t>医院提供3项专利成果，专利代理公司评估专利成果转化应用的市场价值，1个月内出具转化可行性报告</w:t>
            </w:r>
          </w:p>
        </w:tc>
        <w:tc>
          <w:tcPr>
            <w:tcW w:w="1371" w:type="dxa"/>
          </w:tcPr>
          <w:p w14:paraId="0A0DDFF5">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0C0A4FA3">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53DF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1F1BC6EE">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（3）科技成果转化</w:t>
            </w:r>
          </w:p>
        </w:tc>
        <w:tc>
          <w:tcPr>
            <w:tcW w:w="4018" w:type="dxa"/>
          </w:tcPr>
          <w:p w14:paraId="2996EF2A">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default" w:asciiTheme="minorEastAsia" w:hAnsiTheme="minorEastAsia" w:eastAsiaTheme="minorEastAsia"/>
                <w:sz w:val="22"/>
                <w:szCs w:val="22"/>
                <w:highlight w:val="none"/>
                <w:vertAlign w:val="baseline"/>
                <w:lang w:val="en-US"/>
              </w:rPr>
              <w:t>提供转化渠道及指导，推动成果转化不得低于1项</w:t>
            </w:r>
          </w:p>
        </w:tc>
        <w:tc>
          <w:tcPr>
            <w:tcW w:w="1371" w:type="dxa"/>
          </w:tcPr>
          <w:p w14:paraId="2E3338EC">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1E0ADE38">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3497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7BAE540B">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（4）专利相关培训</w:t>
            </w:r>
          </w:p>
        </w:tc>
        <w:tc>
          <w:tcPr>
            <w:tcW w:w="4018" w:type="dxa"/>
          </w:tcPr>
          <w:p w14:paraId="53D2E43B">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default" w:asciiTheme="minorEastAsia" w:hAnsiTheme="minorEastAsia" w:eastAsiaTheme="minorEastAsia"/>
                <w:sz w:val="22"/>
                <w:szCs w:val="22"/>
                <w:highlight w:val="none"/>
                <w:vertAlign w:val="baseline"/>
                <w:lang w:val="en-US"/>
              </w:rPr>
              <w:t>根据医院需求开展全院性专利相关培训，不得低于1次</w:t>
            </w:r>
          </w:p>
        </w:tc>
        <w:tc>
          <w:tcPr>
            <w:tcW w:w="1371" w:type="dxa"/>
          </w:tcPr>
          <w:p w14:paraId="62B086F6">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47C1936E">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0BD2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3A72C456">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（5）服务时间</w:t>
            </w:r>
          </w:p>
        </w:tc>
        <w:tc>
          <w:tcPr>
            <w:tcW w:w="4018" w:type="dxa"/>
          </w:tcPr>
          <w:p w14:paraId="2E284A84">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default" w:asciiTheme="minorEastAsia" w:hAnsiTheme="minorEastAsia" w:eastAsiaTheme="minorEastAsia"/>
                <w:sz w:val="22"/>
                <w:szCs w:val="22"/>
                <w:highlight w:val="none"/>
                <w:vertAlign w:val="baseline"/>
                <w:lang w:val="en-US"/>
              </w:rPr>
              <w:t>具有充足的技术人员指导，我院提交专利技术交底书后，1个月内要完成专利申请提交</w:t>
            </w:r>
          </w:p>
        </w:tc>
        <w:tc>
          <w:tcPr>
            <w:tcW w:w="1371" w:type="dxa"/>
          </w:tcPr>
          <w:p w14:paraId="0DF2F5F3">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6D6344D1">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3647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tcPr>
          <w:p w14:paraId="75E075D3">
            <w:pPr>
              <w:pStyle w:val="5"/>
              <w:keepNext w:val="0"/>
              <w:keepLines w:val="0"/>
              <w:numPr>
                <w:ilvl w:val="0"/>
                <w:numId w:val="4"/>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上述第（1）考核条款不达标，</w:t>
            </w:r>
            <w:r>
              <w:rPr>
                <w:rStyle w:val="141"/>
                <w:rFonts w:hint="eastAsia" w:asciiTheme="minorEastAsia" w:hAnsiTheme="minorEastAsia" w:eastAsiaTheme="minorEastAsia"/>
                <w:sz w:val="22"/>
                <w:szCs w:val="22"/>
                <w:highlight w:val="none"/>
              </w:rPr>
              <w:t>不予支付考核结算金额</w:t>
            </w:r>
          </w:p>
          <w:p w14:paraId="164178BE">
            <w:pPr>
              <w:pStyle w:val="5"/>
              <w:keepNext w:val="0"/>
              <w:keepLines w:val="0"/>
              <w:numPr>
                <w:ilvl w:val="0"/>
                <w:numId w:val="4"/>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上述第（2）—（5）考核条款，每项考核条款不达标，扣除考核结算金额的25%</w:t>
            </w:r>
          </w:p>
          <w:p w14:paraId="41A89534">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 xml:space="preserve">   本年度考核结算金额共________元，__________考核条款不达标，扣除金额_________元，扣除后的考核结算金额为__________元，按合同约定支付考核结算金额__________元</w:t>
            </w:r>
          </w:p>
          <w:p w14:paraId="4B27AB8A">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p>
          <w:p w14:paraId="7378BC6C">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 xml:space="preserve">                                                             考核部门：科教科</w:t>
            </w:r>
          </w:p>
          <w:p w14:paraId="4DA080D9">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 xml:space="preserve">                                                             考核人员：</w:t>
            </w:r>
          </w:p>
          <w:p w14:paraId="3DAB0AAE">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 xml:space="preserve">                                                                年    月    日</w:t>
            </w:r>
          </w:p>
        </w:tc>
      </w:tr>
    </w:tbl>
    <w:p w14:paraId="1F643576">
      <w:pPr>
        <w:pStyle w:val="107"/>
        <w:numPr>
          <w:ilvl w:val="255"/>
          <w:numId w:val="0"/>
        </w:numPr>
        <w:tabs>
          <w:tab w:val="left" w:pos="709"/>
        </w:tabs>
        <w:rPr>
          <w:rFonts w:hint="eastAsia" w:ascii="宋体" w:hAnsi="宋体"/>
          <w:sz w:val="28"/>
          <w:szCs w:val="28"/>
          <w:highlight w:val="none"/>
        </w:rPr>
      </w:pPr>
    </w:p>
    <w:p w14:paraId="2867E6F9">
      <w:pPr>
        <w:pStyle w:val="107"/>
        <w:numPr>
          <w:ilvl w:val="255"/>
          <w:numId w:val="0"/>
        </w:numPr>
        <w:tabs>
          <w:tab w:val="left" w:pos="709"/>
        </w:tabs>
        <w:rPr>
          <w:rFonts w:hint="eastAsia" w:ascii="宋体" w:hAnsi="宋体"/>
          <w:sz w:val="28"/>
          <w:szCs w:val="28"/>
          <w:highlight w:val="none"/>
        </w:rPr>
      </w:pPr>
    </w:p>
    <w:p w14:paraId="5C851FE4">
      <w:pPr>
        <w:pStyle w:val="107"/>
        <w:numPr>
          <w:ilvl w:val="255"/>
          <w:numId w:val="0"/>
        </w:numPr>
        <w:tabs>
          <w:tab w:val="left" w:pos="709"/>
        </w:tabs>
        <w:rPr>
          <w:rFonts w:hint="eastAsia" w:ascii="宋体" w:hAnsi="宋体"/>
          <w:sz w:val="28"/>
          <w:szCs w:val="28"/>
          <w:highlight w:val="none"/>
        </w:rPr>
      </w:pPr>
    </w:p>
    <w:p w14:paraId="76DCEADC">
      <w:pPr>
        <w:pStyle w:val="107"/>
        <w:numPr>
          <w:ilvl w:val="255"/>
          <w:numId w:val="0"/>
        </w:numPr>
        <w:tabs>
          <w:tab w:val="left" w:pos="851"/>
        </w:tabs>
        <w:rPr>
          <w:rFonts w:ascii="宋体" w:hAnsi="宋体"/>
          <w:sz w:val="28"/>
          <w:szCs w:val="28"/>
          <w:highlight w:val="none"/>
        </w:rPr>
      </w:pPr>
      <w:r>
        <w:rPr>
          <w:rFonts w:hint="eastAsia" w:ascii="宋体" w:hAnsi="宋体"/>
          <w:sz w:val="28"/>
          <w:szCs w:val="28"/>
          <w:highlight w:val="none"/>
        </w:rPr>
        <w:t>（三）付款方式：</w:t>
      </w:r>
    </w:p>
    <w:p w14:paraId="03E2F29A">
      <w:pPr>
        <w:pStyle w:val="107"/>
        <w:numPr>
          <w:ilvl w:val="255"/>
          <w:numId w:val="0"/>
        </w:numPr>
        <w:tabs>
          <w:tab w:val="left" w:pos="851"/>
        </w:tabs>
        <w:rPr>
          <w:rFonts w:ascii="宋体" w:hAnsi="宋体"/>
          <w:sz w:val="28"/>
          <w:szCs w:val="28"/>
          <w:highlight w:val="none"/>
        </w:rPr>
      </w:pPr>
      <w:r>
        <w:rPr>
          <w:rFonts w:hint="eastAsia" w:ascii="宋体" w:hAnsi="宋体"/>
          <w:sz w:val="28"/>
          <w:szCs w:val="28"/>
          <w:highlight w:val="none"/>
        </w:rPr>
        <w:t>1 按照专利申请批次，据实结算，全年总费用不超过合同金额</w:t>
      </w:r>
      <w:r>
        <w:rPr>
          <w:rFonts w:hint="eastAsia" w:ascii="宋体" w:hAnsi="宋体"/>
          <w:sz w:val="28"/>
          <w:szCs w:val="28"/>
          <w:highlight w:val="none"/>
          <w:lang w:val="en-US" w:eastAsia="zh-CN"/>
        </w:rPr>
        <w:t>;</w:t>
      </w:r>
      <w:r>
        <w:rPr>
          <w:rFonts w:hint="eastAsia" w:ascii="宋体" w:hAnsi="宋体"/>
          <w:sz w:val="28"/>
          <w:szCs w:val="28"/>
          <w:highlight w:val="none"/>
        </w:rPr>
        <w:t>先支付结算金额的 80% ，结算金额的 20% 为考核结算金额，根据年终考核结果再进行支付。</w:t>
      </w:r>
    </w:p>
    <w:p w14:paraId="39EC4C26">
      <w:pPr>
        <w:pStyle w:val="107"/>
        <w:numPr>
          <w:ilvl w:val="255"/>
          <w:numId w:val="0"/>
        </w:numPr>
        <w:tabs>
          <w:tab w:val="left" w:pos="851"/>
        </w:tabs>
        <w:rPr>
          <w:rFonts w:ascii="宋体" w:hAnsi="宋体"/>
          <w:sz w:val="28"/>
          <w:szCs w:val="28"/>
          <w:highlight w:val="none"/>
        </w:rPr>
      </w:pPr>
      <w:r>
        <w:rPr>
          <w:rFonts w:hint="eastAsia" w:ascii="宋体" w:hAnsi="宋体"/>
          <w:sz w:val="28"/>
          <w:szCs w:val="28"/>
          <w:highlight w:val="none"/>
        </w:rPr>
        <w:t>2 由专利代理公司按批次出具专利账单，提供请款函，我院支付相关费用后专利代理公司15天内出具等额合规发票。</w:t>
      </w:r>
    </w:p>
    <w:p w14:paraId="59DEE45B">
      <w:pPr>
        <w:pStyle w:val="107"/>
        <w:numPr>
          <w:ilvl w:val="0"/>
          <w:numId w:val="5"/>
        </w:numPr>
        <w:tabs>
          <w:tab w:val="left" w:pos="709"/>
        </w:tabs>
        <w:ind w:firstLine="0" w:firstLineChars="0"/>
        <w:rPr>
          <w:rFonts w:ascii="宋体" w:hAnsi="宋体"/>
          <w:sz w:val="28"/>
          <w:szCs w:val="28"/>
          <w:highlight w:val="none"/>
        </w:rPr>
      </w:pPr>
      <w:r>
        <w:rPr>
          <w:rFonts w:hint="eastAsia" w:ascii="宋体" w:hAnsi="宋体"/>
          <w:sz w:val="28"/>
          <w:szCs w:val="28"/>
          <w:highlight w:val="none"/>
        </w:rPr>
        <w:t>其他</w:t>
      </w:r>
    </w:p>
    <w:p w14:paraId="3E89AB15">
      <w:pPr>
        <w:pStyle w:val="107"/>
        <w:numPr>
          <w:ilvl w:val="0"/>
          <w:numId w:val="6"/>
        </w:numPr>
        <w:tabs>
          <w:tab w:val="left" w:pos="709"/>
        </w:tabs>
        <w:ind w:firstLine="560"/>
        <w:rPr>
          <w:rFonts w:ascii="宋体" w:hAnsi="宋体"/>
          <w:sz w:val="28"/>
          <w:szCs w:val="28"/>
          <w:highlight w:val="none"/>
        </w:rPr>
      </w:pPr>
      <w:r>
        <w:rPr>
          <w:rFonts w:hint="eastAsia" w:ascii="宋体" w:hAnsi="宋体"/>
          <w:sz w:val="28"/>
          <w:szCs w:val="28"/>
          <w:highlight w:val="none"/>
        </w:rPr>
        <w:t>供应商需具备医疗机构或医疗技术相关专利申请代理经验。</w:t>
      </w:r>
    </w:p>
    <w:p w14:paraId="75355689">
      <w:pPr>
        <w:pStyle w:val="107"/>
        <w:numPr>
          <w:ilvl w:val="0"/>
          <w:numId w:val="6"/>
        </w:numPr>
        <w:tabs>
          <w:tab w:val="left" w:pos="709"/>
        </w:tabs>
        <w:ind w:firstLine="560"/>
        <w:rPr>
          <w:rFonts w:ascii="宋体" w:hAnsi="宋体"/>
          <w:sz w:val="28"/>
          <w:szCs w:val="28"/>
          <w:highlight w:val="none"/>
        </w:rPr>
      </w:pPr>
      <w:r>
        <w:rPr>
          <w:rFonts w:ascii="宋体" w:hAnsi="宋体"/>
          <w:sz w:val="28"/>
          <w:szCs w:val="28"/>
          <w:highlight w:val="none"/>
        </w:rPr>
        <w:t>供应商</w:t>
      </w:r>
      <w:r>
        <w:rPr>
          <w:rFonts w:hint="eastAsia" w:ascii="宋体" w:hAnsi="宋体"/>
          <w:sz w:val="28"/>
          <w:szCs w:val="28"/>
          <w:highlight w:val="none"/>
        </w:rPr>
        <w:t>需</w:t>
      </w:r>
      <w:r>
        <w:rPr>
          <w:rFonts w:ascii="宋体" w:hAnsi="宋体"/>
          <w:sz w:val="28"/>
          <w:szCs w:val="28"/>
          <w:highlight w:val="none"/>
        </w:rPr>
        <w:t>提供方案说明</w:t>
      </w:r>
      <w:r>
        <w:rPr>
          <w:rFonts w:hint="eastAsia" w:ascii="宋体" w:hAnsi="宋体"/>
          <w:sz w:val="28"/>
          <w:szCs w:val="28"/>
          <w:highlight w:val="none"/>
        </w:rPr>
        <w:t>其</w:t>
      </w:r>
      <w:r>
        <w:rPr>
          <w:rFonts w:ascii="宋体" w:hAnsi="宋体"/>
          <w:sz w:val="28"/>
          <w:szCs w:val="28"/>
          <w:highlight w:val="none"/>
        </w:rPr>
        <w:t>非正常专利的评估能力以及对非正常专利的处置方式</w:t>
      </w:r>
      <w:r>
        <w:rPr>
          <w:rFonts w:hint="eastAsia" w:ascii="宋体" w:hAnsi="宋体"/>
          <w:sz w:val="28"/>
          <w:szCs w:val="28"/>
          <w:highlight w:val="none"/>
        </w:rPr>
        <w:t>。</w:t>
      </w:r>
    </w:p>
    <w:p w14:paraId="42DD4A62">
      <w:pPr>
        <w:pStyle w:val="107"/>
        <w:numPr>
          <w:ilvl w:val="0"/>
          <w:numId w:val="6"/>
        </w:numPr>
        <w:tabs>
          <w:tab w:val="left" w:pos="709"/>
        </w:tabs>
        <w:ind w:firstLine="560"/>
        <w:rPr>
          <w:rFonts w:ascii="宋体" w:hAnsi="宋体"/>
          <w:sz w:val="28"/>
          <w:szCs w:val="28"/>
          <w:highlight w:val="none"/>
        </w:rPr>
      </w:pPr>
      <w:r>
        <w:rPr>
          <w:rFonts w:ascii="宋体" w:hAnsi="宋体"/>
          <w:sz w:val="28"/>
          <w:szCs w:val="28"/>
          <w:highlight w:val="none"/>
        </w:rPr>
        <w:t>供应商具备专利成果推广及转化服务（转让、实施许可、作价投资等），提供转化渠道或指导相关工作能力，对协助转化专利服务能力进行评价。供应商</w:t>
      </w:r>
      <w:r>
        <w:rPr>
          <w:rFonts w:hint="eastAsia" w:ascii="宋体" w:hAnsi="宋体"/>
          <w:sz w:val="28"/>
          <w:szCs w:val="28"/>
          <w:highlight w:val="none"/>
        </w:rPr>
        <w:t>需提供方案阐述其</w:t>
      </w:r>
      <w:r>
        <w:rPr>
          <w:rFonts w:ascii="宋体" w:hAnsi="宋体"/>
          <w:sz w:val="28"/>
          <w:szCs w:val="28"/>
          <w:highlight w:val="none"/>
        </w:rPr>
        <w:t>从事专利成果推广及转化服务能力，提供相关佐证材料</w:t>
      </w:r>
      <w:r>
        <w:rPr>
          <w:rFonts w:hint="eastAsia" w:ascii="宋体" w:hAnsi="宋体"/>
          <w:sz w:val="28"/>
          <w:szCs w:val="28"/>
          <w:highlight w:val="none"/>
        </w:rPr>
        <w:t>。</w:t>
      </w:r>
    </w:p>
    <w:p w14:paraId="38EBC843">
      <w:pPr>
        <w:pStyle w:val="107"/>
        <w:numPr>
          <w:ilvl w:val="0"/>
          <w:numId w:val="6"/>
        </w:numPr>
        <w:tabs>
          <w:tab w:val="left" w:pos="709"/>
        </w:tabs>
        <w:ind w:firstLine="560"/>
        <w:rPr>
          <w:rFonts w:ascii="宋体" w:hAnsi="宋体"/>
          <w:sz w:val="28"/>
          <w:szCs w:val="28"/>
          <w:highlight w:val="none"/>
        </w:rPr>
      </w:pPr>
      <w:r>
        <w:rPr>
          <w:rFonts w:hint="eastAsia" w:ascii="宋体" w:hAnsi="宋体"/>
          <w:sz w:val="28"/>
          <w:szCs w:val="28"/>
          <w:highlight w:val="none"/>
        </w:rPr>
        <w:t>供应商需针对本项目的</w:t>
      </w:r>
      <w:r>
        <w:rPr>
          <w:rFonts w:ascii="宋体" w:hAnsi="宋体"/>
          <w:sz w:val="28"/>
          <w:szCs w:val="28"/>
          <w:highlight w:val="none"/>
        </w:rPr>
        <w:t>工作方法及工作方案的重难点分析</w:t>
      </w:r>
      <w:r>
        <w:rPr>
          <w:rFonts w:hint="eastAsia" w:ascii="宋体" w:hAnsi="宋体"/>
          <w:sz w:val="28"/>
          <w:szCs w:val="28"/>
          <w:highlight w:val="none"/>
        </w:rPr>
        <w:t>提供方案说明。</w:t>
      </w:r>
    </w:p>
    <w:p w14:paraId="48776471">
      <w:pPr>
        <w:pStyle w:val="107"/>
        <w:numPr>
          <w:ilvl w:val="0"/>
          <w:numId w:val="6"/>
        </w:numPr>
        <w:tabs>
          <w:tab w:val="left" w:pos="709"/>
        </w:tabs>
        <w:ind w:firstLine="560"/>
        <w:rPr>
          <w:rFonts w:ascii="宋体" w:hAnsi="宋体"/>
          <w:sz w:val="28"/>
          <w:szCs w:val="28"/>
          <w:highlight w:val="none"/>
        </w:rPr>
      </w:pPr>
      <w:r>
        <w:rPr>
          <w:rFonts w:ascii="宋体" w:hAnsi="宋体"/>
          <w:sz w:val="28"/>
          <w:szCs w:val="28"/>
          <w:highlight w:val="none"/>
        </w:rPr>
        <w:t>供应商拟派本项目负责与我院专利发明人对接的人员</w:t>
      </w:r>
      <w:r>
        <w:rPr>
          <w:rFonts w:hint="eastAsia" w:ascii="宋体" w:hAnsi="宋体"/>
          <w:sz w:val="28"/>
          <w:szCs w:val="28"/>
          <w:highlight w:val="none"/>
        </w:rPr>
        <w:t>宜</w:t>
      </w:r>
      <w:r>
        <w:rPr>
          <w:rFonts w:ascii="宋体" w:hAnsi="宋体"/>
          <w:sz w:val="28"/>
          <w:szCs w:val="28"/>
          <w:highlight w:val="none"/>
        </w:rPr>
        <w:t>具有医学或生命科学专业专利代理师资格证</w:t>
      </w:r>
      <w:r>
        <w:rPr>
          <w:rFonts w:hint="eastAsia" w:ascii="宋体" w:hAnsi="宋体"/>
          <w:sz w:val="28"/>
          <w:szCs w:val="28"/>
          <w:highlight w:val="none"/>
        </w:rPr>
        <w:t>。</w:t>
      </w:r>
    </w:p>
    <w:p w14:paraId="2F7C4F07">
      <w:pPr>
        <w:widowControl/>
        <w:jc w:val="left"/>
        <w:rPr>
          <w:rStyle w:val="141"/>
          <w:rFonts w:asciiTheme="minorEastAsia" w:hAnsiTheme="minorEastAsia" w:eastAsiaTheme="minorEastAsia"/>
          <w:highlight w:val="none"/>
        </w:rPr>
      </w:pPr>
      <w:r>
        <w:rPr>
          <w:rStyle w:val="141"/>
          <w:rFonts w:asciiTheme="minorEastAsia" w:hAnsiTheme="minorEastAsia" w:eastAsiaTheme="minorEastAsia"/>
          <w:highlight w:val="none"/>
        </w:rPr>
        <w:br w:type="page"/>
      </w:r>
    </w:p>
    <w:p w14:paraId="2B1A5377">
      <w:pPr>
        <w:spacing w:line="312" w:lineRule="auto"/>
        <w:ind w:left="1320" w:firstLine="1760" w:firstLineChars="550"/>
        <w:outlineLvl w:val="0"/>
        <w:rPr>
          <w:rFonts w:asciiTheme="minorEastAsia" w:hAnsiTheme="minorEastAsia" w:eastAsiaTheme="minorEastAsia"/>
          <w:b/>
          <w:sz w:val="32"/>
          <w:highlight w:val="none"/>
        </w:rPr>
      </w:pPr>
      <w:r>
        <w:rPr>
          <w:rFonts w:hint="eastAsia" w:asciiTheme="minorEastAsia" w:hAnsiTheme="minorEastAsia" w:eastAsiaTheme="minorEastAsia"/>
          <w:b/>
          <w:sz w:val="32"/>
          <w:highlight w:val="none"/>
        </w:rPr>
        <w:t>第四部分  评审办法（综合</w:t>
      </w:r>
      <w:r>
        <w:rPr>
          <w:rFonts w:asciiTheme="minorEastAsia" w:hAnsiTheme="minorEastAsia" w:eastAsiaTheme="minorEastAsia"/>
          <w:b/>
          <w:sz w:val="32"/>
          <w:highlight w:val="none"/>
        </w:rPr>
        <w:t>评分法</w:t>
      </w:r>
      <w:r>
        <w:rPr>
          <w:rFonts w:hint="eastAsia" w:asciiTheme="minorEastAsia" w:hAnsiTheme="minorEastAsia" w:eastAsiaTheme="minorEastAsia"/>
          <w:b/>
          <w:sz w:val="32"/>
          <w:highlight w:val="none"/>
        </w:rPr>
        <w:t>）</w:t>
      </w:r>
    </w:p>
    <w:p w14:paraId="508980EC">
      <w:pPr>
        <w:pStyle w:val="5"/>
        <w:rPr>
          <w:highlight w:val="none"/>
        </w:rPr>
      </w:pPr>
    </w:p>
    <w:p w14:paraId="256C0A5A">
      <w:pPr>
        <w:widowControl/>
        <w:spacing w:line="4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、本项目评审方法</w:t>
      </w:r>
      <w:bookmarkStart w:id="5" w:name="_Hlk51102721"/>
      <w:r>
        <w:rPr>
          <w:rFonts w:hint="eastAsia" w:asciiTheme="minorEastAsia" w:hAnsiTheme="minorEastAsia" w:eastAsiaTheme="minorEastAsia"/>
          <w:sz w:val="24"/>
          <w:highlight w:val="none"/>
        </w:rPr>
        <w:t>采用综合评分法，以百分制打分法对合格响应文件进行综合评审打分。</w:t>
      </w:r>
      <w:bookmarkEnd w:id="5"/>
    </w:p>
    <w:p w14:paraId="3A3E27B8">
      <w:pPr>
        <w:widowControl/>
        <w:spacing w:line="4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、评审小组或招标采购办人员根据询比文件要求进行资格</w:t>
      </w:r>
      <w:r>
        <w:rPr>
          <w:rFonts w:asciiTheme="minorEastAsia" w:hAnsiTheme="minorEastAsia" w:eastAsiaTheme="minorEastAsia"/>
          <w:sz w:val="24"/>
          <w:highlight w:val="none"/>
        </w:rPr>
        <w:t>审查</w:t>
      </w:r>
      <w:r>
        <w:rPr>
          <w:rFonts w:hint="eastAsia" w:asciiTheme="minorEastAsia" w:hAnsiTheme="minorEastAsia" w:eastAsiaTheme="minorEastAsia"/>
          <w:sz w:val="24"/>
          <w:highlight w:val="none"/>
        </w:rPr>
        <w:t>，未</w:t>
      </w:r>
      <w:r>
        <w:rPr>
          <w:rFonts w:asciiTheme="minorEastAsia" w:hAnsiTheme="minorEastAsia" w:eastAsiaTheme="minorEastAsia"/>
          <w:sz w:val="24"/>
          <w:highlight w:val="none"/>
        </w:rPr>
        <w:t>通过</w:t>
      </w:r>
      <w:r>
        <w:rPr>
          <w:rFonts w:hint="eastAsia" w:asciiTheme="minorEastAsia" w:hAnsiTheme="minorEastAsia" w:eastAsiaTheme="minorEastAsia"/>
          <w:sz w:val="24"/>
          <w:highlight w:val="none"/>
        </w:rPr>
        <w:t>资格</w:t>
      </w:r>
      <w:r>
        <w:rPr>
          <w:rFonts w:asciiTheme="minorEastAsia" w:hAnsiTheme="minorEastAsia" w:eastAsiaTheme="minorEastAsia"/>
          <w:sz w:val="24"/>
          <w:highlight w:val="none"/>
        </w:rPr>
        <w:t>审查</w:t>
      </w:r>
      <w:r>
        <w:rPr>
          <w:rFonts w:hint="eastAsia" w:asciiTheme="minorEastAsia" w:hAnsiTheme="minorEastAsia" w:eastAsiaTheme="minorEastAsia"/>
          <w:sz w:val="24"/>
          <w:highlight w:val="none"/>
        </w:rPr>
        <w:t>的响应文件不进行评审。</w:t>
      </w:r>
    </w:p>
    <w:tbl>
      <w:tblPr>
        <w:tblStyle w:val="37"/>
        <w:tblW w:w="9820" w:type="dxa"/>
        <w:tblInd w:w="108" w:type="dxa"/>
        <w:tblLayout w:type="autofit"/>
        <w:tblCellMar>
          <w:top w:w="0" w:type="dxa"/>
          <w:left w:w="108" w:type="dxa"/>
          <w:bottom w:w="0" w:type="dxa"/>
          <w:right w:w="108" w:type="dxa"/>
        </w:tblCellMar>
      </w:tblPr>
      <w:tblGrid>
        <w:gridCol w:w="6030"/>
        <w:gridCol w:w="3790"/>
      </w:tblGrid>
      <w:tr w14:paraId="20698CBB">
        <w:tblPrEx>
          <w:tblCellMar>
            <w:top w:w="0" w:type="dxa"/>
            <w:left w:w="108" w:type="dxa"/>
            <w:bottom w:w="0" w:type="dxa"/>
            <w:right w:w="108" w:type="dxa"/>
          </w:tblCellMar>
        </w:tblPrEx>
        <w:trPr>
          <w:trHeight w:val="564" w:hRule="atLeast"/>
        </w:trPr>
        <w:tc>
          <w:tcPr>
            <w:tcW w:w="9820" w:type="dxa"/>
            <w:gridSpan w:val="2"/>
            <w:tcBorders>
              <w:top w:val="nil"/>
              <w:left w:val="nil"/>
              <w:bottom w:val="nil"/>
              <w:right w:val="nil"/>
            </w:tcBorders>
            <w:shd w:val="clear" w:color="auto" w:fill="auto"/>
            <w:noWrap/>
            <w:vAlign w:val="center"/>
          </w:tcPr>
          <w:p w14:paraId="493DB2D3">
            <w:pPr>
              <w:keepNext w:val="0"/>
              <w:keepLines w:val="0"/>
              <w:suppressLineNumbers w:val="0"/>
              <w:snapToGrid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b/>
                <w:sz w:val="28"/>
                <w:highlight w:val="none"/>
              </w:rPr>
              <w:t>资格性审查表</w:t>
            </w:r>
          </w:p>
        </w:tc>
      </w:tr>
      <w:tr w14:paraId="267CB8DC">
        <w:tblPrEx>
          <w:tblCellMar>
            <w:top w:w="0" w:type="dxa"/>
            <w:left w:w="108" w:type="dxa"/>
            <w:bottom w:w="0" w:type="dxa"/>
            <w:right w:w="108" w:type="dxa"/>
          </w:tblCellMar>
        </w:tblPrEx>
        <w:trPr>
          <w:trHeight w:val="660" w:hRule="atLeast"/>
        </w:trPr>
        <w:tc>
          <w:tcPr>
            <w:tcW w:w="60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03BC9">
            <w:pPr>
              <w:keepNext w:val="0"/>
              <w:keepLines w:val="0"/>
              <w:widowControl/>
              <w:suppressLineNumbers w:val="0"/>
              <w:spacing w:before="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审查内容</w:t>
            </w:r>
          </w:p>
        </w:tc>
        <w:tc>
          <w:tcPr>
            <w:tcW w:w="3790" w:type="dxa"/>
            <w:tcBorders>
              <w:top w:val="single" w:color="auto" w:sz="4" w:space="0"/>
              <w:left w:val="nil"/>
              <w:bottom w:val="single" w:color="auto" w:sz="4" w:space="0"/>
              <w:right w:val="single" w:color="auto" w:sz="4" w:space="0"/>
            </w:tcBorders>
            <w:shd w:val="clear" w:color="auto" w:fill="auto"/>
            <w:noWrap/>
            <w:vAlign w:val="center"/>
          </w:tcPr>
          <w:p w14:paraId="35AFB79E">
            <w:pPr>
              <w:keepNext w:val="0"/>
              <w:keepLines w:val="0"/>
              <w:widowControl/>
              <w:suppressLineNumbers w:val="0"/>
              <w:spacing w:before="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响应供应商</w:t>
            </w:r>
          </w:p>
        </w:tc>
      </w:tr>
      <w:tr w14:paraId="36754877">
        <w:tblPrEx>
          <w:tblCellMar>
            <w:top w:w="0" w:type="dxa"/>
            <w:left w:w="108" w:type="dxa"/>
            <w:bottom w:w="0" w:type="dxa"/>
            <w:right w:w="108" w:type="dxa"/>
          </w:tblCellMar>
        </w:tblPrEx>
        <w:trPr>
          <w:trHeight w:val="780" w:hRule="atLeast"/>
        </w:trPr>
        <w:tc>
          <w:tcPr>
            <w:tcW w:w="6030" w:type="dxa"/>
            <w:tcBorders>
              <w:top w:val="nil"/>
              <w:left w:val="single" w:color="auto" w:sz="4" w:space="0"/>
              <w:bottom w:val="single" w:color="auto" w:sz="4" w:space="0"/>
              <w:right w:val="single" w:color="auto" w:sz="4" w:space="0"/>
            </w:tcBorders>
            <w:shd w:val="clear" w:color="auto" w:fill="auto"/>
            <w:vAlign w:val="center"/>
          </w:tcPr>
          <w:p w14:paraId="74B03F83">
            <w:pPr>
              <w:keepNext w:val="0"/>
              <w:keepLines w:val="0"/>
              <w:widowControl/>
              <w:suppressLineNumbers w:val="0"/>
              <w:spacing w:before="0" w:beforeAutospacing="0" w:after="0" w:afterAutospacing="0"/>
              <w:ind w:left="0" w:right="0"/>
              <w:jc w:val="left"/>
              <w:rPr>
                <w:rFonts w:hint="default" w:ascii="宋体" w:hAnsi="宋体" w:cs="宋体"/>
                <w:kern w:val="0"/>
                <w:sz w:val="24"/>
                <w:highlight w:val="none"/>
              </w:rPr>
            </w:pPr>
            <w:r>
              <w:rPr>
                <w:rFonts w:hint="eastAsia" w:ascii="宋体" w:hAnsi="宋体" w:cs="宋体"/>
                <w:kern w:val="0"/>
                <w:sz w:val="24"/>
                <w:highlight w:val="none"/>
              </w:rPr>
              <w:t>1.响应供应商须为在中华人民共和国境内注册且具有独立法人资格单位或有营业执照。</w:t>
            </w:r>
          </w:p>
        </w:tc>
        <w:tc>
          <w:tcPr>
            <w:tcW w:w="3790" w:type="dxa"/>
            <w:tcBorders>
              <w:top w:val="nil"/>
              <w:left w:val="nil"/>
              <w:bottom w:val="single" w:color="auto" w:sz="4" w:space="0"/>
              <w:right w:val="single" w:color="auto" w:sz="4" w:space="0"/>
            </w:tcBorders>
            <w:shd w:val="clear" w:color="auto" w:fill="auto"/>
            <w:noWrap/>
            <w:vAlign w:val="center"/>
          </w:tcPr>
          <w:p w14:paraId="25C96599">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　</w:t>
            </w:r>
          </w:p>
        </w:tc>
      </w:tr>
      <w:tr w14:paraId="723927CF">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vAlign w:val="center"/>
          </w:tcPr>
          <w:p w14:paraId="56C60B67">
            <w:pPr>
              <w:keepNext w:val="0"/>
              <w:keepLines w:val="0"/>
              <w:widowControl/>
              <w:suppressLineNumbers w:val="0"/>
              <w:spacing w:before="0" w:beforeAutospacing="0" w:after="0" w:afterAutospacing="0"/>
              <w:ind w:left="0" w:right="0"/>
              <w:jc w:val="left"/>
              <w:rPr>
                <w:rFonts w:hint="default" w:ascii="宋体" w:hAnsi="宋体" w:cs="宋体"/>
                <w:kern w:val="0"/>
                <w:sz w:val="24"/>
                <w:highlight w:val="none"/>
              </w:rPr>
            </w:pPr>
            <w:r>
              <w:rPr>
                <w:rFonts w:hint="eastAsia" w:ascii="宋体" w:hAnsi="宋体" w:cs="宋体"/>
                <w:kern w:val="0"/>
                <w:sz w:val="24"/>
                <w:highlight w:val="none"/>
              </w:rPr>
              <w:t>2.本项目不接受联合体投标，不允许响应供应商对本采购货物及其相关服务进行分包和转包。</w:t>
            </w:r>
          </w:p>
        </w:tc>
        <w:tc>
          <w:tcPr>
            <w:tcW w:w="3790" w:type="dxa"/>
            <w:tcBorders>
              <w:top w:val="nil"/>
              <w:left w:val="nil"/>
              <w:bottom w:val="single" w:color="auto" w:sz="4" w:space="0"/>
              <w:right w:val="single" w:color="auto" w:sz="4" w:space="0"/>
            </w:tcBorders>
            <w:shd w:val="clear" w:color="auto" w:fill="auto"/>
            <w:noWrap/>
            <w:vAlign w:val="center"/>
          </w:tcPr>
          <w:p w14:paraId="11AABD87">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　</w:t>
            </w:r>
          </w:p>
        </w:tc>
      </w:tr>
      <w:tr w14:paraId="0CEF6096">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vAlign w:val="center"/>
          </w:tcPr>
          <w:p w14:paraId="1A0B2465">
            <w:pPr>
              <w:keepNext w:val="0"/>
              <w:keepLines w:val="0"/>
              <w:widowControl/>
              <w:suppressLineNumbers w:val="0"/>
              <w:spacing w:before="0" w:beforeAutospacing="0" w:after="0" w:afterAutospacing="0"/>
              <w:ind w:left="0" w:right="0"/>
              <w:jc w:val="left"/>
              <w:rPr>
                <w:rFonts w:hint="default" w:ascii="宋体" w:hAnsi="宋体" w:cs="宋体"/>
                <w:kern w:val="0"/>
                <w:sz w:val="24"/>
                <w:highlight w:val="none"/>
              </w:rPr>
            </w:pPr>
            <w:r>
              <w:rPr>
                <w:rFonts w:hint="eastAsia" w:ascii="宋体" w:hAnsi="宋体" w:cs="宋体"/>
                <w:kern w:val="0"/>
                <w:sz w:val="24"/>
                <w:highlight w:val="none"/>
              </w:rPr>
              <w:t>3.具有专利代理机构执业许可证</w:t>
            </w:r>
          </w:p>
        </w:tc>
        <w:tc>
          <w:tcPr>
            <w:tcW w:w="3790" w:type="dxa"/>
            <w:tcBorders>
              <w:top w:val="nil"/>
              <w:left w:val="nil"/>
              <w:bottom w:val="single" w:color="auto" w:sz="4" w:space="0"/>
              <w:right w:val="single" w:color="auto" w:sz="4" w:space="0"/>
            </w:tcBorders>
            <w:shd w:val="clear" w:color="auto" w:fill="auto"/>
            <w:noWrap/>
            <w:vAlign w:val="center"/>
          </w:tcPr>
          <w:p w14:paraId="4AC89666">
            <w:pPr>
              <w:keepNext w:val="0"/>
              <w:keepLines w:val="0"/>
              <w:widowControl/>
              <w:suppressLineNumbers w:val="0"/>
              <w:spacing w:before="0" w:beforeAutospacing="0" w:after="0" w:afterAutospacing="0"/>
              <w:ind w:left="0" w:right="0"/>
              <w:jc w:val="center"/>
              <w:rPr>
                <w:rFonts w:hint="default" w:ascii="宋体" w:hAnsi="宋体" w:cs="宋体"/>
                <w:kern w:val="0"/>
                <w:sz w:val="24"/>
                <w:highlight w:val="none"/>
              </w:rPr>
            </w:pPr>
          </w:p>
        </w:tc>
      </w:tr>
      <w:tr w14:paraId="2265B019">
        <w:tblPrEx>
          <w:tblCellMar>
            <w:top w:w="0" w:type="dxa"/>
            <w:left w:w="108" w:type="dxa"/>
            <w:bottom w:w="0" w:type="dxa"/>
            <w:right w:w="108" w:type="dxa"/>
          </w:tblCellMar>
        </w:tblPrEx>
        <w:trPr>
          <w:trHeight w:val="660" w:hRule="atLeast"/>
        </w:trPr>
        <w:tc>
          <w:tcPr>
            <w:tcW w:w="6030" w:type="dxa"/>
            <w:tcBorders>
              <w:top w:val="nil"/>
              <w:left w:val="single" w:color="auto" w:sz="4" w:space="0"/>
              <w:bottom w:val="single" w:color="auto" w:sz="4" w:space="0"/>
              <w:right w:val="single" w:color="auto" w:sz="4" w:space="0"/>
            </w:tcBorders>
            <w:shd w:val="clear" w:color="auto" w:fill="auto"/>
            <w:noWrap/>
            <w:vAlign w:val="center"/>
          </w:tcPr>
          <w:p w14:paraId="5BB8887F">
            <w:pPr>
              <w:keepNext w:val="0"/>
              <w:keepLines w:val="0"/>
              <w:widowControl/>
              <w:suppressLineNumbers w:val="0"/>
              <w:spacing w:before="0" w:beforeAutospacing="0" w:after="0" w:afterAutospacing="0"/>
              <w:ind w:left="0" w:right="0"/>
              <w:jc w:val="left"/>
              <w:rPr>
                <w:rFonts w:hint="default" w:ascii="宋体" w:hAnsi="宋体" w:cs="宋体"/>
                <w:kern w:val="0"/>
                <w:sz w:val="24"/>
                <w:highlight w:val="none"/>
              </w:rPr>
            </w:pPr>
            <w:r>
              <w:rPr>
                <w:rFonts w:hint="eastAsia" w:ascii="宋体" w:hAnsi="宋体" w:cs="宋体"/>
                <w:kern w:val="0"/>
                <w:sz w:val="24"/>
                <w:highlight w:val="none"/>
              </w:rPr>
              <w:t>是否通过资格性审查（此处填写“通过”或“不通过”）</w:t>
            </w:r>
          </w:p>
        </w:tc>
        <w:tc>
          <w:tcPr>
            <w:tcW w:w="3790" w:type="dxa"/>
            <w:tcBorders>
              <w:top w:val="nil"/>
              <w:left w:val="nil"/>
              <w:bottom w:val="single" w:color="auto" w:sz="4" w:space="0"/>
              <w:right w:val="single" w:color="auto" w:sz="4" w:space="0"/>
            </w:tcBorders>
            <w:shd w:val="clear" w:color="auto" w:fill="auto"/>
            <w:noWrap/>
            <w:vAlign w:val="center"/>
          </w:tcPr>
          <w:p w14:paraId="5663A8C8">
            <w:pPr>
              <w:keepNext w:val="0"/>
              <w:keepLines w:val="0"/>
              <w:widowControl/>
              <w:suppressLineNumbers w:val="0"/>
              <w:spacing w:before="0" w:beforeAutospacing="0" w:after="0" w:afterAutospacing="0"/>
              <w:ind w:left="0" w:right="0"/>
              <w:jc w:val="left"/>
              <w:rPr>
                <w:rFonts w:hint="default" w:ascii="宋体" w:hAnsi="宋体" w:cs="宋体"/>
                <w:kern w:val="0"/>
                <w:sz w:val="24"/>
                <w:highlight w:val="none"/>
              </w:rPr>
            </w:pPr>
            <w:r>
              <w:rPr>
                <w:rFonts w:hint="eastAsia" w:ascii="宋体" w:hAnsi="宋体" w:cs="宋体"/>
                <w:kern w:val="0"/>
                <w:sz w:val="24"/>
                <w:highlight w:val="none"/>
              </w:rPr>
              <w:t>　</w:t>
            </w:r>
          </w:p>
        </w:tc>
      </w:tr>
      <w:tr w14:paraId="537718F6">
        <w:tblPrEx>
          <w:tblCellMar>
            <w:top w:w="0" w:type="dxa"/>
            <w:left w:w="108" w:type="dxa"/>
            <w:bottom w:w="0" w:type="dxa"/>
            <w:right w:w="108" w:type="dxa"/>
          </w:tblCellMar>
        </w:tblPrEx>
        <w:trPr>
          <w:trHeight w:val="600" w:hRule="atLeast"/>
        </w:trPr>
        <w:tc>
          <w:tcPr>
            <w:tcW w:w="9820" w:type="dxa"/>
            <w:gridSpan w:val="2"/>
            <w:tcBorders>
              <w:top w:val="single" w:color="auto" w:sz="4" w:space="0"/>
              <w:left w:val="nil"/>
              <w:bottom w:val="nil"/>
              <w:right w:val="nil"/>
            </w:tcBorders>
            <w:shd w:val="clear" w:color="auto" w:fill="auto"/>
            <w:noWrap/>
            <w:vAlign w:val="center"/>
          </w:tcPr>
          <w:p w14:paraId="0002D2E4">
            <w:pPr>
              <w:keepNext w:val="0"/>
              <w:keepLines w:val="0"/>
              <w:widowControl/>
              <w:suppressLineNumbers w:val="0"/>
              <w:spacing w:before="0" w:beforeAutospacing="0" w:after="0" w:afterAutospacing="0"/>
              <w:ind w:left="0" w:right="0"/>
              <w:jc w:val="left"/>
              <w:rPr>
                <w:rFonts w:hint="default" w:ascii="宋体" w:hAnsi="宋体" w:cs="宋体"/>
                <w:kern w:val="0"/>
                <w:sz w:val="24"/>
                <w:highlight w:val="none"/>
              </w:rPr>
            </w:pPr>
            <w:r>
              <w:rPr>
                <w:rFonts w:hint="eastAsia" w:ascii="宋体" w:hAnsi="宋体" w:cs="宋体"/>
                <w:kern w:val="0"/>
                <w:sz w:val="24"/>
                <w:highlight w:val="none"/>
              </w:rPr>
              <w:t>备注：响应供应商分栏中填写“√”表示该项符合资格要求，“×”表示该项不符合资格要求。</w:t>
            </w:r>
          </w:p>
        </w:tc>
      </w:tr>
    </w:tbl>
    <w:p w14:paraId="02363CC6">
      <w:pPr>
        <w:widowControl/>
        <w:spacing w:line="460" w:lineRule="exact"/>
        <w:ind w:firstLine="480" w:firstLineChars="200"/>
        <w:rPr>
          <w:rFonts w:cs="宋体" w:asciiTheme="minorEastAsia" w:hAnsiTheme="minorEastAsia" w:eastAsiaTheme="minorEastAsia"/>
          <w:color w:val="000000"/>
          <w:kern w:val="0"/>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、评审小组</w:t>
      </w:r>
      <w:bookmarkStart w:id="6" w:name="_Hlk51102788"/>
      <w:r>
        <w:rPr>
          <w:rFonts w:hint="eastAsia" w:asciiTheme="minorEastAsia" w:hAnsiTheme="minorEastAsia" w:eastAsiaTheme="minorEastAsia"/>
          <w:sz w:val="24"/>
          <w:highlight w:val="none"/>
        </w:rPr>
        <w:t>按综合得分由高到低顺序排出名次</w:t>
      </w:r>
      <w:bookmarkEnd w:id="6"/>
      <w:r>
        <w:rPr>
          <w:rFonts w:hint="eastAsia" w:asciiTheme="minorEastAsia" w:hAnsiTheme="minorEastAsia" w:eastAsiaTheme="minorEastAsia"/>
          <w:sz w:val="24"/>
          <w:highlight w:val="none"/>
        </w:rPr>
        <w:t>，并推荐综合得分排行第一的响应供应商为第一成交候选人</w:t>
      </w:r>
      <w:bookmarkStart w:id="7" w:name="_Hlk51102816"/>
      <w:r>
        <w:rPr>
          <w:rFonts w:hint="eastAsia" w:asciiTheme="minorEastAsia" w:hAnsiTheme="minorEastAsia" w:eastAsiaTheme="minorEastAsia"/>
          <w:sz w:val="24"/>
          <w:highlight w:val="none"/>
        </w:rPr>
        <w:t>（综合得分相同的，响应报价低的排序在前）、综合得分排行第二的响应供应商为第二成交候选人。</w:t>
      </w:r>
      <w:bookmarkEnd w:id="7"/>
    </w:p>
    <w:p w14:paraId="654B2531">
      <w:pPr>
        <w:widowControl/>
        <w:spacing w:line="4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、评审小组按以下标准和权重进行评分。</w:t>
      </w:r>
    </w:p>
    <w:p w14:paraId="57B2447D">
      <w:pPr>
        <w:tabs>
          <w:tab w:val="left" w:pos="945"/>
        </w:tabs>
        <w:spacing w:line="360" w:lineRule="auto"/>
        <w:ind w:left="113" w:leftChars="54"/>
        <w:rPr>
          <w:rFonts w:ascii="宋体" w:hAnsi="宋体"/>
          <w:sz w:val="24"/>
          <w:highlight w:val="none"/>
        </w:rPr>
      </w:pPr>
      <w:r>
        <w:rPr>
          <w:rFonts w:hint="eastAsia" w:ascii="宋体" w:hAnsi="宋体"/>
          <w:sz w:val="24"/>
          <w:highlight w:val="none"/>
        </w:rPr>
        <w:t>（1）评分总分最高为100分，商务、技术及报价的评分分值设置如下：</w:t>
      </w:r>
    </w:p>
    <w:p w14:paraId="76A282DC">
      <w:pPr>
        <w:pStyle w:val="5"/>
        <w:rPr>
          <w:sz w:val="24"/>
          <w:szCs w:val="24"/>
          <w:highlight w:val="none"/>
        </w:rPr>
      </w:pPr>
    </w:p>
    <w:tbl>
      <w:tblPr>
        <w:tblStyle w:val="37"/>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7"/>
        <w:gridCol w:w="2847"/>
        <w:gridCol w:w="2568"/>
      </w:tblGrid>
      <w:tr w14:paraId="35A1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2" w:type="pct"/>
            <w:vAlign w:val="bottom"/>
          </w:tcPr>
          <w:p w14:paraId="2966316D">
            <w:pPr>
              <w:keepNext w:val="0"/>
              <w:keepLines w:val="0"/>
              <w:suppressLineNumbers w:val="0"/>
              <w:snapToGrid w:val="0"/>
              <w:spacing w:before="0" w:beforeAutospacing="0" w:after="0" w:afterAutospacing="0" w:line="360" w:lineRule="auto"/>
              <w:ind w:left="0" w:right="0"/>
              <w:jc w:val="center"/>
              <w:rPr>
                <w:rFonts w:hint="default" w:ascii="宋体" w:hAnsi="宋体"/>
                <w:b/>
                <w:sz w:val="24"/>
                <w:highlight w:val="none"/>
              </w:rPr>
            </w:pPr>
            <w:r>
              <w:rPr>
                <w:rFonts w:hint="eastAsia" w:ascii="宋体" w:hAnsi="宋体"/>
                <w:b/>
                <w:sz w:val="24"/>
                <w:highlight w:val="none"/>
              </w:rPr>
              <w:t>分值</w:t>
            </w:r>
          </w:p>
        </w:tc>
        <w:tc>
          <w:tcPr>
            <w:tcW w:w="1133" w:type="pct"/>
            <w:vAlign w:val="center"/>
          </w:tcPr>
          <w:p w14:paraId="51098C2F">
            <w:pPr>
              <w:keepNext w:val="0"/>
              <w:keepLines w:val="0"/>
              <w:suppressLineNumbers w:val="0"/>
              <w:snapToGrid w:val="0"/>
              <w:spacing w:before="0" w:beforeAutospacing="0" w:after="0" w:afterAutospacing="0" w:line="360" w:lineRule="auto"/>
              <w:ind w:left="0" w:right="0"/>
              <w:jc w:val="center"/>
              <w:rPr>
                <w:rFonts w:hint="default" w:ascii="宋体" w:hAnsi="宋体"/>
                <w:b/>
                <w:spacing w:val="-4"/>
                <w:sz w:val="24"/>
                <w:highlight w:val="none"/>
              </w:rPr>
            </w:pPr>
            <w:r>
              <w:rPr>
                <w:rFonts w:hint="eastAsia" w:ascii="宋体" w:hAnsi="宋体"/>
                <w:b/>
                <w:spacing w:val="-4"/>
                <w:sz w:val="24"/>
                <w:highlight w:val="none"/>
              </w:rPr>
              <w:t>商务评分</w:t>
            </w:r>
          </w:p>
        </w:tc>
        <w:tc>
          <w:tcPr>
            <w:tcW w:w="1517" w:type="pct"/>
            <w:vAlign w:val="bottom"/>
          </w:tcPr>
          <w:p w14:paraId="1B450D4E">
            <w:pPr>
              <w:keepNext w:val="0"/>
              <w:keepLines w:val="0"/>
              <w:suppressLineNumbers w:val="0"/>
              <w:snapToGrid w:val="0"/>
              <w:spacing w:before="0" w:beforeAutospacing="0" w:after="0" w:afterAutospacing="0" w:line="360" w:lineRule="auto"/>
              <w:ind w:left="0" w:right="0"/>
              <w:jc w:val="center"/>
              <w:rPr>
                <w:rFonts w:hint="default" w:ascii="宋体" w:hAnsi="宋体"/>
                <w:b/>
                <w:sz w:val="24"/>
                <w:highlight w:val="none"/>
              </w:rPr>
            </w:pPr>
            <w:r>
              <w:rPr>
                <w:rFonts w:hint="eastAsia" w:ascii="宋体" w:hAnsi="宋体"/>
                <w:b/>
                <w:spacing w:val="-4"/>
                <w:sz w:val="24"/>
                <w:highlight w:val="none"/>
              </w:rPr>
              <w:t>技术评分</w:t>
            </w:r>
          </w:p>
        </w:tc>
        <w:tc>
          <w:tcPr>
            <w:tcW w:w="1368" w:type="pct"/>
            <w:vAlign w:val="bottom"/>
          </w:tcPr>
          <w:p w14:paraId="4F672EFD">
            <w:pPr>
              <w:keepNext w:val="0"/>
              <w:keepLines w:val="0"/>
              <w:suppressLineNumbers w:val="0"/>
              <w:snapToGrid w:val="0"/>
              <w:spacing w:before="0" w:beforeAutospacing="0" w:after="0" w:afterAutospacing="0" w:line="360" w:lineRule="auto"/>
              <w:ind w:left="0" w:right="0"/>
              <w:jc w:val="center"/>
              <w:rPr>
                <w:rFonts w:hint="default" w:ascii="宋体" w:hAnsi="宋体"/>
                <w:b/>
                <w:sz w:val="24"/>
                <w:highlight w:val="none"/>
              </w:rPr>
            </w:pPr>
            <w:r>
              <w:rPr>
                <w:rFonts w:hint="eastAsia" w:ascii="宋体" w:hAnsi="宋体"/>
                <w:b/>
                <w:spacing w:val="-4"/>
                <w:sz w:val="24"/>
                <w:highlight w:val="none"/>
              </w:rPr>
              <w:t>报价得分</w:t>
            </w:r>
          </w:p>
        </w:tc>
      </w:tr>
      <w:tr w14:paraId="65DD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2" w:type="pct"/>
            <w:vAlign w:val="bottom"/>
          </w:tcPr>
          <w:p w14:paraId="7A8C23BD">
            <w:pPr>
              <w:keepNext w:val="0"/>
              <w:keepLines w:val="0"/>
              <w:suppressLineNumbers w:val="0"/>
              <w:snapToGrid w:val="0"/>
              <w:spacing w:before="0" w:beforeAutospacing="0" w:after="0" w:afterAutospacing="0" w:line="360" w:lineRule="auto"/>
              <w:ind w:left="0" w:right="0"/>
              <w:jc w:val="center"/>
              <w:rPr>
                <w:rFonts w:hint="default" w:ascii="宋体" w:hAnsi="宋体"/>
                <w:b/>
                <w:sz w:val="24"/>
                <w:highlight w:val="none"/>
              </w:rPr>
            </w:pPr>
            <w:r>
              <w:rPr>
                <w:rFonts w:hint="eastAsia" w:ascii="宋体" w:hAnsi="宋体"/>
                <w:b/>
                <w:sz w:val="24"/>
                <w:highlight w:val="none"/>
              </w:rPr>
              <w:t>100分</w:t>
            </w:r>
          </w:p>
        </w:tc>
        <w:tc>
          <w:tcPr>
            <w:tcW w:w="1133" w:type="pct"/>
            <w:vAlign w:val="center"/>
          </w:tcPr>
          <w:p w14:paraId="267EE979">
            <w:pPr>
              <w:keepNext w:val="0"/>
              <w:keepLines w:val="0"/>
              <w:suppressLineNumbers w:val="0"/>
              <w:snapToGrid w:val="0"/>
              <w:spacing w:before="0" w:beforeAutospacing="0" w:after="0" w:afterAutospacing="0" w:line="360" w:lineRule="auto"/>
              <w:ind w:left="0" w:right="0"/>
              <w:jc w:val="center"/>
              <w:rPr>
                <w:rFonts w:hint="default" w:ascii="宋体" w:hAnsi="宋体"/>
                <w:sz w:val="24"/>
                <w:highlight w:val="none"/>
              </w:rPr>
            </w:pPr>
            <w:r>
              <w:rPr>
                <w:rFonts w:hint="default" w:ascii="宋体" w:hAnsi="宋体"/>
                <w:sz w:val="24"/>
                <w:highlight w:val="none"/>
              </w:rPr>
              <w:t>40</w:t>
            </w:r>
          </w:p>
        </w:tc>
        <w:tc>
          <w:tcPr>
            <w:tcW w:w="1517" w:type="pct"/>
            <w:vAlign w:val="bottom"/>
          </w:tcPr>
          <w:p w14:paraId="264A0128">
            <w:pPr>
              <w:keepNext w:val="0"/>
              <w:keepLines w:val="0"/>
              <w:suppressLineNumbers w:val="0"/>
              <w:snapToGrid w:val="0"/>
              <w:spacing w:before="0" w:beforeAutospacing="0" w:after="0" w:afterAutospacing="0" w:line="360" w:lineRule="auto"/>
              <w:ind w:left="0" w:right="0"/>
              <w:jc w:val="center"/>
              <w:rPr>
                <w:rFonts w:hint="default" w:ascii="宋体" w:hAnsi="宋体"/>
                <w:sz w:val="24"/>
                <w:highlight w:val="none"/>
              </w:rPr>
            </w:pPr>
            <w:r>
              <w:rPr>
                <w:rFonts w:hint="default" w:ascii="宋体" w:hAnsi="宋体"/>
                <w:sz w:val="24"/>
                <w:highlight w:val="none"/>
              </w:rPr>
              <w:t>40</w:t>
            </w:r>
            <w:r>
              <w:rPr>
                <w:rFonts w:hint="eastAsia" w:ascii="宋体" w:hAnsi="宋体"/>
                <w:sz w:val="24"/>
                <w:highlight w:val="none"/>
              </w:rPr>
              <w:t>分</w:t>
            </w:r>
          </w:p>
        </w:tc>
        <w:tc>
          <w:tcPr>
            <w:tcW w:w="1368" w:type="pct"/>
            <w:vAlign w:val="bottom"/>
          </w:tcPr>
          <w:p w14:paraId="66BBC5B0">
            <w:pPr>
              <w:keepNext w:val="0"/>
              <w:keepLines w:val="0"/>
              <w:suppressLineNumbers w:val="0"/>
              <w:snapToGrid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20分</w:t>
            </w:r>
          </w:p>
        </w:tc>
      </w:tr>
    </w:tbl>
    <w:p w14:paraId="32F24E5D">
      <w:pPr>
        <w:pStyle w:val="5"/>
        <w:rPr>
          <w:highlight w:val="none"/>
        </w:rPr>
      </w:pPr>
    </w:p>
    <w:p w14:paraId="7096707A">
      <w:pPr>
        <w:spacing w:line="312" w:lineRule="auto"/>
        <w:jc w:val="center"/>
        <w:outlineLvl w:val="0"/>
        <w:rPr>
          <w:rFonts w:asciiTheme="majorEastAsia" w:hAnsiTheme="majorEastAsia" w:eastAsiaTheme="majorEastAsia"/>
          <w:sz w:val="28"/>
          <w:szCs w:val="28"/>
          <w:highlight w:val="none"/>
        </w:rPr>
      </w:pPr>
      <w:r>
        <w:rPr>
          <w:rFonts w:hint="eastAsia" w:asciiTheme="majorEastAsia" w:hAnsiTheme="majorEastAsia" w:eastAsiaTheme="majorEastAsia"/>
          <w:b/>
          <w:sz w:val="28"/>
          <w:szCs w:val="28"/>
          <w:highlight w:val="none"/>
        </w:rPr>
        <w:t>商务评估表</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7616"/>
      </w:tblGrid>
      <w:tr w14:paraId="5E6B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shd w:val="clear" w:color="auto" w:fill="auto"/>
          </w:tcPr>
          <w:p w14:paraId="44FE247D">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评审项目</w:t>
            </w:r>
          </w:p>
        </w:tc>
        <w:tc>
          <w:tcPr>
            <w:tcW w:w="3955" w:type="pct"/>
            <w:shd w:val="clear" w:color="auto" w:fill="auto"/>
          </w:tcPr>
          <w:p w14:paraId="52D5D9A3">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评分标准</w:t>
            </w:r>
          </w:p>
        </w:tc>
      </w:tr>
      <w:tr w14:paraId="610C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044" w:type="pct"/>
            <w:shd w:val="clear" w:color="auto" w:fill="auto"/>
            <w:vAlign w:val="center"/>
          </w:tcPr>
          <w:p w14:paraId="77F98AE7">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同类项目经验（1</w:t>
            </w:r>
            <w:r>
              <w:rPr>
                <w:rFonts w:hint="default" w:asciiTheme="minorEastAsia" w:hAnsiTheme="minorEastAsia" w:eastAsiaTheme="minorEastAsia"/>
                <w:sz w:val="24"/>
                <w:highlight w:val="none"/>
              </w:rPr>
              <w:t>0</w:t>
            </w:r>
            <w:r>
              <w:rPr>
                <w:rFonts w:hint="eastAsia" w:asciiTheme="minorEastAsia" w:hAnsiTheme="minorEastAsia" w:eastAsiaTheme="minorEastAsia"/>
                <w:sz w:val="24"/>
                <w:highlight w:val="none"/>
              </w:rPr>
              <w:t>分）</w:t>
            </w:r>
          </w:p>
        </w:tc>
        <w:tc>
          <w:tcPr>
            <w:tcW w:w="3955" w:type="pct"/>
            <w:shd w:val="clear" w:color="auto" w:fill="auto"/>
            <w:vAlign w:val="center"/>
          </w:tcPr>
          <w:p w14:paraId="3FDA274C">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供应商自2022年1月1日以来（以项目合同签订日期为准），承接过医疗机构或医疗技术相关专利申请代理项目，每个项目得2分，最高得10分。</w:t>
            </w:r>
          </w:p>
          <w:p w14:paraId="67A4D169">
            <w:pPr>
              <w:pStyle w:val="5"/>
              <w:keepNext w:val="0"/>
              <w:keepLines w:val="0"/>
              <w:suppressLineNumbers w:val="0"/>
              <w:spacing w:before="0" w:beforeAutospacing="0" w:after="0" w:afterAutospacing="0"/>
              <w:ind w:left="0" w:right="0"/>
              <w:jc w:val="left"/>
              <w:rPr>
                <w:rFonts w:hint="default" w:asciiTheme="minorEastAsia" w:hAnsiTheme="minorEastAsia" w:eastAsiaTheme="minorEastAsia"/>
                <w:sz w:val="24"/>
                <w:szCs w:val="24"/>
                <w:highlight w:val="none"/>
              </w:rPr>
            </w:pPr>
            <w:r>
              <w:rPr>
                <w:rFonts w:hint="eastAsia" w:asciiTheme="minorEastAsia" w:hAnsiTheme="minorEastAsia" w:eastAsiaTheme="minorEastAsia"/>
                <w:sz w:val="24"/>
                <w:highlight w:val="none"/>
              </w:rPr>
              <w:t>注：提供合同关键页（含签订合同双方的单位名称、合同项目名称、签订合同双方的落款盖章、签订日期页、合同金额页）复印件，不符合或不提供不得分。</w:t>
            </w:r>
          </w:p>
        </w:tc>
      </w:tr>
      <w:tr w14:paraId="5F88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044" w:type="pct"/>
            <w:shd w:val="clear" w:color="auto" w:fill="auto"/>
            <w:vAlign w:val="center"/>
          </w:tcPr>
          <w:p w14:paraId="0B1CEB27">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非正常专利评估能力及原则（</w:t>
            </w:r>
            <w:r>
              <w:rPr>
                <w:rFonts w:hint="eastAsia" w:asciiTheme="minorEastAsia" w:hAnsiTheme="minorEastAsia" w:eastAsiaTheme="minorEastAsia"/>
                <w:sz w:val="24"/>
                <w:highlight w:val="none"/>
                <w:lang w:val="en-US" w:eastAsia="zh-CN"/>
              </w:rPr>
              <w:t>12.5</w:t>
            </w:r>
            <w:r>
              <w:rPr>
                <w:rFonts w:hint="eastAsia" w:asciiTheme="minorEastAsia" w:hAnsiTheme="minorEastAsia" w:eastAsiaTheme="minorEastAsia"/>
                <w:sz w:val="24"/>
                <w:highlight w:val="none"/>
              </w:rPr>
              <w:t>分）</w:t>
            </w:r>
          </w:p>
        </w:tc>
        <w:tc>
          <w:tcPr>
            <w:tcW w:w="3955" w:type="pct"/>
            <w:shd w:val="clear" w:color="auto" w:fill="auto"/>
            <w:vAlign w:val="center"/>
          </w:tcPr>
          <w:p w14:paraId="5BE17318">
            <w:pPr>
              <w:keepNext w:val="0"/>
              <w:keepLines w:val="0"/>
              <w:widowControl/>
              <w:suppressLineNumbers w:val="0"/>
              <w:spacing w:before="0" w:beforeAutospacing="0" w:after="0" w:afterAutospacing="0" w:line="400" w:lineRule="atLeas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由供应商提供非正常专利的评估能力以及对非正常专利的处置方式方案，由评审小组综合评分。</w:t>
            </w:r>
          </w:p>
          <w:p w14:paraId="7E3155C2">
            <w:pPr>
              <w:keepNext w:val="0"/>
              <w:keepLines w:val="0"/>
              <w:widowControl/>
              <w:suppressLineNumbers w:val="0"/>
              <w:spacing w:before="0" w:beforeAutospacing="0" w:after="0" w:afterAutospacing="0" w:line="400" w:lineRule="atLeast"/>
              <w:ind w:left="0" w:right="0"/>
              <w:jc w:val="left"/>
              <w:rPr>
                <w:rFonts w:hint="default" w:asciiTheme="minorEastAsia" w:hAnsiTheme="minorEastAsia" w:eastAsiaTheme="minorEastAsia"/>
                <w:sz w:val="24"/>
                <w:highlight w:val="none"/>
              </w:rPr>
            </w:pPr>
            <w:r>
              <w:rPr>
                <w:rFonts w:hint="eastAsia"/>
                <w:highlight w:val="none"/>
              </w:rPr>
              <w:t>1、</w:t>
            </w:r>
            <w:r>
              <w:rPr>
                <w:rFonts w:hint="eastAsia"/>
                <w:sz w:val="24"/>
                <w:highlight w:val="none"/>
              </w:rPr>
              <w:t>方</w:t>
            </w:r>
            <w:r>
              <w:rPr>
                <w:rFonts w:hint="eastAsia" w:asciiTheme="minorEastAsia" w:hAnsiTheme="minorEastAsia" w:eastAsiaTheme="minorEastAsia"/>
                <w:sz w:val="24"/>
                <w:highlight w:val="none"/>
              </w:rPr>
              <w:t>案可行性强，实用可操作，适合本项目，得</w:t>
            </w:r>
            <w:r>
              <w:rPr>
                <w:rFonts w:hint="eastAsia" w:asciiTheme="minorEastAsia" w:hAnsiTheme="minorEastAsia" w:eastAsiaTheme="minorEastAsia"/>
                <w:sz w:val="24"/>
                <w:highlight w:val="none"/>
                <w:lang w:val="en-US" w:eastAsia="zh-CN"/>
              </w:rPr>
              <w:t>12.5</w:t>
            </w:r>
            <w:r>
              <w:rPr>
                <w:rFonts w:hint="eastAsia" w:asciiTheme="minorEastAsia" w:hAnsiTheme="minorEastAsia" w:eastAsiaTheme="minorEastAsia"/>
                <w:sz w:val="24"/>
                <w:highlight w:val="none"/>
              </w:rPr>
              <w:t>分；</w:t>
            </w:r>
          </w:p>
          <w:p w14:paraId="17EF839E">
            <w:pPr>
              <w:keepNext w:val="0"/>
              <w:keepLines w:val="0"/>
              <w:widowControl/>
              <w:suppressLineNumbers w:val="0"/>
              <w:spacing w:before="0" w:beforeAutospacing="0" w:after="0" w:afterAutospacing="0" w:line="400" w:lineRule="atLeas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2、方案可行性一般，可操作，基本适合本项目，得</w:t>
            </w:r>
            <w:r>
              <w:rPr>
                <w:rFonts w:hint="default" w:asciiTheme="minorEastAsia" w:hAnsiTheme="minorEastAsia" w:eastAsiaTheme="minorEastAsia"/>
                <w:sz w:val="24"/>
                <w:highlight w:val="none"/>
              </w:rPr>
              <w:t>7</w:t>
            </w:r>
            <w:r>
              <w:rPr>
                <w:rFonts w:hint="eastAsia" w:asciiTheme="minorEastAsia" w:hAnsiTheme="minorEastAsia" w:eastAsiaTheme="minorEastAsia"/>
                <w:sz w:val="24"/>
                <w:highlight w:val="none"/>
              </w:rPr>
              <w:t>分；</w:t>
            </w:r>
          </w:p>
          <w:p w14:paraId="52E908C4">
            <w:pPr>
              <w:keepNext w:val="0"/>
              <w:keepLines w:val="0"/>
              <w:widowControl/>
              <w:suppressLineNumbers w:val="0"/>
              <w:spacing w:before="0" w:beforeAutospacing="0" w:after="0" w:afterAutospacing="0" w:line="400" w:lineRule="atLeas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3、方案可行性差，不可操作，不适合本项目，得3分；</w:t>
            </w:r>
          </w:p>
          <w:p w14:paraId="1A125AA4">
            <w:pPr>
              <w:keepNext w:val="0"/>
              <w:keepLines w:val="0"/>
              <w:widowControl/>
              <w:suppressLineNumbers w:val="0"/>
              <w:spacing w:before="0" w:beforeAutospacing="0" w:after="0" w:afterAutospacing="0" w:line="400" w:lineRule="atLeast"/>
              <w:ind w:left="0" w:right="0"/>
              <w:jc w:val="left"/>
              <w:rPr>
                <w:rFonts w:hint="default" w:eastAsia="仿宋_GB2312"/>
                <w:sz w:val="30"/>
                <w:highlight w:val="none"/>
              </w:rPr>
            </w:pPr>
            <w:r>
              <w:rPr>
                <w:rFonts w:hint="eastAsia" w:asciiTheme="minorEastAsia" w:hAnsiTheme="minorEastAsia" w:eastAsiaTheme="minorEastAsia"/>
                <w:sz w:val="24"/>
                <w:highlight w:val="none"/>
              </w:rPr>
              <w:t>注：不提供不得分。</w:t>
            </w:r>
          </w:p>
        </w:tc>
      </w:tr>
      <w:tr w14:paraId="21CC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044" w:type="pct"/>
            <w:shd w:val="clear" w:color="auto" w:fill="auto"/>
            <w:vAlign w:val="center"/>
          </w:tcPr>
          <w:p w14:paraId="7A1193F7">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供应商成果转化综合能力评价</w:t>
            </w:r>
          </w:p>
          <w:p w14:paraId="447F668D">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12.5</w:t>
            </w:r>
            <w:r>
              <w:rPr>
                <w:rFonts w:hint="eastAsia" w:asciiTheme="minorEastAsia" w:hAnsiTheme="minorEastAsia" w:eastAsiaTheme="minorEastAsia"/>
                <w:sz w:val="24"/>
                <w:highlight w:val="none"/>
              </w:rPr>
              <w:t>分）</w:t>
            </w:r>
          </w:p>
        </w:tc>
        <w:tc>
          <w:tcPr>
            <w:tcW w:w="3955" w:type="pct"/>
            <w:shd w:val="clear" w:color="auto" w:fill="auto"/>
            <w:vAlign w:val="center"/>
          </w:tcPr>
          <w:p w14:paraId="3B68F9D3">
            <w:pPr>
              <w:pStyle w:val="5"/>
              <w:keepNext w:val="0"/>
              <w:keepLines w:val="0"/>
              <w:suppressLineNumbers w:val="0"/>
              <w:spacing w:before="0" w:beforeAutospacing="0" w:after="0" w:afterAutospacing="0"/>
              <w:ind w:left="0" w:right="0" w:firstLine="0"/>
              <w:rPr>
                <w:rFonts w:hint="default"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由供应商提供从事专利成果推广及转化服务能力方案，由评审小组综合评分。 </w:t>
            </w:r>
          </w:p>
          <w:p w14:paraId="00F6F34B">
            <w:pPr>
              <w:keepNext w:val="0"/>
              <w:keepLines w:val="0"/>
              <w:widowControl/>
              <w:suppressLineNumbers w:val="0"/>
              <w:spacing w:before="0" w:beforeAutospacing="0" w:after="0" w:afterAutospacing="0" w:line="400" w:lineRule="atLeast"/>
              <w:ind w:left="0" w:right="0"/>
              <w:jc w:val="left"/>
              <w:rPr>
                <w:rFonts w:hint="default" w:asciiTheme="minorEastAsia" w:hAnsiTheme="minorEastAsia" w:eastAsiaTheme="minorEastAsia"/>
                <w:sz w:val="24"/>
                <w:highlight w:val="none"/>
              </w:rPr>
            </w:pPr>
            <w:r>
              <w:rPr>
                <w:rFonts w:hint="eastAsia"/>
                <w:highlight w:val="none"/>
              </w:rPr>
              <w:t>1、</w:t>
            </w:r>
            <w:r>
              <w:rPr>
                <w:rFonts w:hint="eastAsia"/>
                <w:sz w:val="24"/>
                <w:highlight w:val="none"/>
              </w:rPr>
              <w:t>方</w:t>
            </w:r>
            <w:r>
              <w:rPr>
                <w:rFonts w:hint="eastAsia" w:asciiTheme="minorEastAsia" w:hAnsiTheme="minorEastAsia" w:eastAsiaTheme="minorEastAsia"/>
                <w:sz w:val="24"/>
                <w:highlight w:val="none"/>
              </w:rPr>
              <w:t>案可行性强，实用可操作，具体量化，提供较多案例相关佐证材料，适合本项目，得</w:t>
            </w:r>
            <w:r>
              <w:rPr>
                <w:rFonts w:hint="eastAsia" w:asciiTheme="minorEastAsia" w:hAnsiTheme="minorEastAsia" w:eastAsiaTheme="minorEastAsia"/>
                <w:sz w:val="24"/>
                <w:highlight w:val="none"/>
                <w:lang w:val="en-US" w:eastAsia="zh-CN"/>
              </w:rPr>
              <w:t>12.5</w:t>
            </w:r>
            <w:r>
              <w:rPr>
                <w:rFonts w:hint="eastAsia" w:asciiTheme="minorEastAsia" w:hAnsiTheme="minorEastAsia" w:eastAsiaTheme="minorEastAsia"/>
                <w:sz w:val="24"/>
                <w:highlight w:val="none"/>
              </w:rPr>
              <w:t>分；</w:t>
            </w:r>
          </w:p>
          <w:p w14:paraId="37D9237D">
            <w:pPr>
              <w:keepNext w:val="0"/>
              <w:keepLines w:val="0"/>
              <w:widowControl/>
              <w:suppressLineNumbers w:val="0"/>
              <w:spacing w:before="0" w:beforeAutospacing="0" w:after="0" w:afterAutospacing="0" w:line="400" w:lineRule="atLeas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sz w:val="24"/>
                <w:highlight w:val="none"/>
              </w:rPr>
              <w:t>方</w:t>
            </w:r>
            <w:r>
              <w:rPr>
                <w:rFonts w:hint="eastAsia" w:asciiTheme="minorEastAsia" w:hAnsiTheme="minorEastAsia" w:eastAsiaTheme="minorEastAsia"/>
                <w:sz w:val="24"/>
                <w:highlight w:val="none"/>
              </w:rPr>
              <w:t>案可行性一般，可操作，具体量化，能提供案例相关佐证材料，适合本项目，得7分；</w:t>
            </w:r>
          </w:p>
          <w:p w14:paraId="26846CD6">
            <w:pPr>
              <w:keepNext w:val="0"/>
              <w:keepLines w:val="0"/>
              <w:widowControl/>
              <w:suppressLineNumbers w:val="0"/>
              <w:spacing w:before="0" w:beforeAutospacing="0" w:after="0" w:afterAutospacing="0" w:line="400" w:lineRule="atLeas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3、方案可行性差，不可操作，不能提供案列相关佐证材料，不适合本项目，得3分；</w:t>
            </w:r>
          </w:p>
          <w:p w14:paraId="77DD1630">
            <w:pPr>
              <w:pStyle w:val="5"/>
              <w:keepNext w:val="0"/>
              <w:keepLines w:val="0"/>
              <w:suppressLineNumbers w:val="0"/>
              <w:spacing w:before="0" w:beforeAutospacing="0" w:after="0" w:afterAutospacing="0"/>
              <w:ind w:left="0" w:right="0" w:firstLine="0"/>
              <w:rPr>
                <w:rFonts w:hint="default" w:asciiTheme="minorEastAsia" w:hAnsiTheme="minorEastAsia" w:eastAsiaTheme="minorEastAsia"/>
                <w:sz w:val="24"/>
                <w:szCs w:val="24"/>
                <w:highlight w:val="none"/>
              </w:rPr>
            </w:pPr>
            <w:r>
              <w:rPr>
                <w:rFonts w:hint="eastAsia" w:asciiTheme="minorEastAsia" w:hAnsiTheme="minorEastAsia" w:eastAsiaTheme="minorEastAsia"/>
                <w:sz w:val="24"/>
                <w:highlight w:val="none"/>
              </w:rPr>
              <w:t>注：不提供不得分。</w:t>
            </w:r>
          </w:p>
        </w:tc>
      </w:tr>
      <w:tr w14:paraId="6835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044" w:type="pct"/>
            <w:shd w:val="clear" w:color="auto" w:fill="auto"/>
            <w:vAlign w:val="center"/>
          </w:tcPr>
          <w:p w14:paraId="08D45BFC">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合同条款响应情况</w:t>
            </w:r>
            <w:r>
              <w:rPr>
                <w:rFonts w:hint="eastAsia" w:asciiTheme="minorEastAsia" w:hAnsiTheme="minorEastAsia" w:eastAsiaTheme="minorEastAsia"/>
                <w:sz w:val="24"/>
                <w:highlight w:val="none"/>
              </w:rPr>
              <w:t>（</w:t>
            </w:r>
            <w:r>
              <w:rPr>
                <w:rFonts w:hint="default" w:asciiTheme="minorEastAsia" w:hAnsiTheme="minorEastAsia" w:eastAsiaTheme="minorEastAsia"/>
                <w:sz w:val="24"/>
                <w:highlight w:val="none"/>
              </w:rPr>
              <w:t>5</w:t>
            </w:r>
            <w:r>
              <w:rPr>
                <w:rFonts w:hint="eastAsia" w:asciiTheme="minorEastAsia" w:hAnsiTheme="minorEastAsia" w:eastAsiaTheme="minorEastAsia"/>
                <w:sz w:val="24"/>
                <w:highlight w:val="none"/>
              </w:rPr>
              <w:t>分）</w:t>
            </w:r>
          </w:p>
        </w:tc>
        <w:tc>
          <w:tcPr>
            <w:tcW w:w="3955" w:type="pct"/>
            <w:shd w:val="clear" w:color="auto" w:fill="auto"/>
            <w:vAlign w:val="center"/>
          </w:tcPr>
          <w:p w14:paraId="34D2BF6C">
            <w:pPr>
              <w:pStyle w:val="33"/>
              <w:keepNext w:val="0"/>
              <w:keepLines w:val="0"/>
              <w:widowControl/>
              <w:suppressLineNumbers w:val="0"/>
              <w:spacing w:before="0" w:beforeAutospacing="0" w:after="0" w:afterAutospacing="0"/>
              <w:ind w:left="0" w:right="0" w:firstLine="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由供应商对本项目询比文件《第五部分</w:t>
            </w:r>
            <w:r>
              <w:rPr>
                <w:rFonts w:hint="eastAsia" w:ascii="宋体" w:hAnsi="宋体" w:eastAsia="宋体" w:cs="Times New Roman"/>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合同书格式》中的合同条款作出响应，出具《合同条款响应表》，全部响应，得5分；部分响应，得1分；无响应，得0分。</w:t>
            </w:r>
          </w:p>
          <w:p w14:paraId="31C53588">
            <w:pPr>
              <w:keepNext w:val="0"/>
              <w:keepLines w:val="0"/>
              <w:widowControl w:val="0"/>
              <w:suppressLineNumbers w:val="0"/>
              <w:spacing w:before="0" w:beforeAutospacing="0" w:after="0" w:afterAutospacing="0"/>
              <w:ind w:left="0" w:right="0"/>
              <w:jc w:val="both"/>
              <w:rPr>
                <w:rFonts w:hint="default"/>
                <w:highlight w:val="none"/>
              </w:rPr>
            </w:pPr>
            <w:r>
              <w:rPr>
                <w:rFonts w:hint="eastAsia" w:ascii="宋体" w:hAnsi="宋体" w:eastAsia="宋体" w:cs="宋体"/>
                <w:kern w:val="2"/>
                <w:sz w:val="24"/>
                <w:szCs w:val="24"/>
                <w:highlight w:val="none"/>
                <w:lang w:val="en-US" w:eastAsia="zh-CN" w:bidi="ar"/>
              </w:rPr>
              <w:t>注：以供应商响应文件中的《合同条款响应表》中的响应情况填写内容为准，未提供的视为无响应。</w:t>
            </w:r>
          </w:p>
          <w:p w14:paraId="609B6013">
            <w:pPr>
              <w:pStyle w:val="5"/>
              <w:keepNext w:val="0"/>
              <w:keepLines w:val="0"/>
              <w:suppressLineNumbers w:val="0"/>
              <w:spacing w:before="0" w:beforeAutospacing="0" w:after="0" w:afterAutospacing="0"/>
              <w:ind w:left="0" w:right="0" w:firstLine="0"/>
              <w:rPr>
                <w:rFonts w:hint="default" w:asciiTheme="minorEastAsia" w:hAnsiTheme="minorEastAsia" w:eastAsiaTheme="minorEastAsia"/>
                <w:sz w:val="24"/>
                <w:highlight w:val="none"/>
                <w:lang w:val="en-US" w:eastAsia="zh-CN"/>
              </w:rPr>
            </w:pPr>
          </w:p>
        </w:tc>
      </w:tr>
    </w:tbl>
    <w:p w14:paraId="66B7D79F">
      <w:pPr>
        <w:spacing w:line="312" w:lineRule="auto"/>
        <w:rPr>
          <w:rFonts w:asciiTheme="majorEastAsia" w:hAnsiTheme="majorEastAsia" w:eastAsiaTheme="majorEastAsia"/>
          <w:sz w:val="28"/>
          <w:szCs w:val="28"/>
          <w:highlight w:val="none"/>
        </w:rPr>
      </w:pPr>
    </w:p>
    <w:p w14:paraId="0542C8CB">
      <w:pPr>
        <w:pStyle w:val="5"/>
        <w:rPr>
          <w:highlight w:val="none"/>
        </w:rPr>
      </w:pPr>
      <w:bookmarkStart w:id="8" w:name="_Toc14789"/>
    </w:p>
    <w:p w14:paraId="1FA926A2">
      <w:pPr>
        <w:spacing w:line="312" w:lineRule="auto"/>
        <w:jc w:val="center"/>
        <w:outlineLvl w:val="0"/>
        <w:rPr>
          <w:rFonts w:asciiTheme="minorEastAsia" w:hAnsiTheme="minorEastAsia" w:eastAsiaTheme="minorEastAsia"/>
          <w:b/>
          <w:sz w:val="28"/>
          <w:szCs w:val="28"/>
          <w:highlight w:val="none"/>
        </w:rPr>
      </w:pPr>
      <w:r>
        <w:rPr>
          <w:rFonts w:hint="eastAsia" w:asciiTheme="majorEastAsia" w:hAnsiTheme="majorEastAsia" w:eastAsiaTheme="majorEastAsia"/>
          <w:b/>
          <w:sz w:val="28"/>
          <w:szCs w:val="28"/>
          <w:highlight w:val="none"/>
        </w:rPr>
        <w:t>技术评估表</w:t>
      </w:r>
    </w:p>
    <w:tbl>
      <w:tblPr>
        <w:tblStyle w:val="37"/>
        <w:tblW w:w="94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7513"/>
      </w:tblGrid>
      <w:tr w14:paraId="3065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shd w:val="clear" w:color="auto" w:fill="auto"/>
          </w:tcPr>
          <w:p w14:paraId="6EE81FDA">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评审项目</w:t>
            </w:r>
          </w:p>
        </w:tc>
        <w:tc>
          <w:tcPr>
            <w:tcW w:w="7513" w:type="dxa"/>
            <w:shd w:val="clear" w:color="auto" w:fill="auto"/>
          </w:tcPr>
          <w:p w14:paraId="381B864F">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评分标准</w:t>
            </w:r>
          </w:p>
        </w:tc>
      </w:tr>
      <w:tr w14:paraId="7AD3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984" w:type="dxa"/>
            <w:shd w:val="clear" w:color="auto" w:fill="auto"/>
            <w:vAlign w:val="center"/>
          </w:tcPr>
          <w:p w14:paraId="2EE16BDA">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工作方法及工作重难点分析（</w:t>
            </w:r>
            <w:r>
              <w:rPr>
                <w:rFonts w:hint="default" w:asciiTheme="minorEastAsia" w:hAnsiTheme="minorEastAsia" w:eastAsiaTheme="minorEastAsia"/>
                <w:sz w:val="24"/>
                <w:highlight w:val="none"/>
              </w:rPr>
              <w:t>2</w:t>
            </w:r>
            <w:r>
              <w:rPr>
                <w:rFonts w:hint="eastAsia" w:asciiTheme="minorEastAsia" w:hAnsiTheme="minorEastAsia" w:eastAsiaTheme="minorEastAsia"/>
                <w:sz w:val="24"/>
                <w:highlight w:val="none"/>
              </w:rPr>
              <w:t>0分）</w:t>
            </w:r>
          </w:p>
        </w:tc>
        <w:tc>
          <w:tcPr>
            <w:tcW w:w="7513" w:type="dxa"/>
            <w:shd w:val="clear" w:color="auto" w:fill="auto"/>
          </w:tcPr>
          <w:p w14:paraId="2517F515">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由供应商提供针对本项目的工作方法及工作重难点分析方案</w:t>
            </w:r>
            <w:r>
              <w:rPr>
                <w:rFonts w:hint="default" w:asciiTheme="minorEastAsia" w:hAnsiTheme="minorEastAsia" w:eastAsiaTheme="minorEastAsia"/>
                <w:sz w:val="24"/>
                <w:highlight w:val="none"/>
              </w:rPr>
              <w:t>（含专利价值及转化可行性评估方案）</w:t>
            </w:r>
            <w:r>
              <w:rPr>
                <w:rFonts w:hint="eastAsia" w:asciiTheme="minorEastAsia" w:hAnsiTheme="minorEastAsia" w:eastAsiaTheme="minorEastAsia"/>
                <w:sz w:val="24"/>
                <w:highlight w:val="none"/>
              </w:rPr>
              <w:t>，由评审小组综合评分。</w:t>
            </w:r>
          </w:p>
          <w:p w14:paraId="59E7A016">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1、工作方法可操作性、合理性、科学性、创新性强，对工作方案中的重、难点分析准确到位，适用本项目，得</w:t>
            </w:r>
            <w:r>
              <w:rPr>
                <w:rFonts w:hint="default" w:asciiTheme="minorEastAsia" w:hAnsiTheme="minorEastAsia" w:eastAsiaTheme="minorEastAsia"/>
                <w:sz w:val="24"/>
                <w:highlight w:val="none"/>
              </w:rPr>
              <w:t>2</w:t>
            </w:r>
            <w:r>
              <w:rPr>
                <w:rFonts w:hint="eastAsia" w:asciiTheme="minorEastAsia" w:hAnsiTheme="minorEastAsia" w:eastAsiaTheme="minorEastAsia"/>
                <w:sz w:val="24"/>
                <w:highlight w:val="none"/>
              </w:rPr>
              <w:t xml:space="preserve">0分； </w:t>
            </w:r>
          </w:p>
          <w:p w14:paraId="68FE2A60">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2、工作方法可操作性、合理性、科学性、创新性较强，对工作方案中的重、难点分析较准确，比较适用本项目，得</w:t>
            </w:r>
            <w:r>
              <w:rPr>
                <w:rFonts w:hint="default" w:asciiTheme="minorEastAsia" w:hAnsiTheme="minorEastAsia" w:eastAsiaTheme="minorEastAsia"/>
                <w:sz w:val="24"/>
                <w:highlight w:val="none"/>
              </w:rPr>
              <w:t>15</w:t>
            </w:r>
            <w:r>
              <w:rPr>
                <w:rFonts w:hint="eastAsia" w:asciiTheme="minorEastAsia" w:hAnsiTheme="minorEastAsia" w:eastAsiaTheme="minorEastAsia"/>
                <w:sz w:val="24"/>
                <w:highlight w:val="none"/>
              </w:rPr>
              <w:t>分；</w:t>
            </w:r>
          </w:p>
          <w:p w14:paraId="03FACE99">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3、工作方法基本可操作、基本合理、基本科学，对工作方案中的重、难点分析基本准确，基本适用本项目，得10分；</w:t>
            </w:r>
          </w:p>
          <w:p w14:paraId="2DF418A4">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4、工作方法可操作性、合理性、科学性一般，对工作方案中的重、难点分析较模糊，适用性一般，得5分</w:t>
            </w:r>
            <w:r>
              <w:rPr>
                <w:rFonts w:hint="default" w:asciiTheme="minorEastAsia" w:hAnsiTheme="minorEastAsia" w:eastAsiaTheme="minorEastAsia"/>
                <w:sz w:val="24"/>
                <w:highlight w:val="none"/>
              </w:rPr>
              <w:t>。</w:t>
            </w:r>
          </w:p>
          <w:p w14:paraId="25B52D89">
            <w:pPr>
              <w:pStyle w:val="5"/>
              <w:keepNext w:val="0"/>
              <w:keepLines w:val="0"/>
              <w:suppressLineNumbers w:val="0"/>
              <w:spacing w:before="0" w:beforeAutospacing="0" w:after="0" w:afterAutospacing="0"/>
              <w:ind w:left="0" w:right="0" w:firstLine="0"/>
              <w:rPr>
                <w:rFonts w:hint="default"/>
                <w:highlight w:val="none"/>
              </w:rPr>
            </w:pPr>
            <w:r>
              <w:rPr>
                <w:rFonts w:hint="eastAsia" w:asciiTheme="minorEastAsia" w:hAnsiTheme="minorEastAsia" w:eastAsiaTheme="minorEastAsia"/>
                <w:sz w:val="24"/>
                <w:szCs w:val="24"/>
                <w:highlight w:val="none"/>
              </w:rPr>
              <w:t>注：不提供不得分。</w:t>
            </w:r>
          </w:p>
        </w:tc>
      </w:tr>
      <w:tr w14:paraId="1308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984" w:type="dxa"/>
            <w:shd w:val="clear" w:color="auto" w:fill="auto"/>
            <w:vAlign w:val="center"/>
          </w:tcPr>
          <w:p w14:paraId="41EDC7BF">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服务机构设置(</w:t>
            </w:r>
            <w:r>
              <w:rPr>
                <w:rFonts w:hint="default" w:asciiTheme="minorEastAsia" w:hAnsiTheme="minorEastAsia" w:eastAsiaTheme="minorEastAsia"/>
                <w:sz w:val="24"/>
                <w:highlight w:val="none"/>
              </w:rPr>
              <w:t>10</w:t>
            </w:r>
            <w:r>
              <w:rPr>
                <w:rFonts w:hint="eastAsia" w:asciiTheme="minorEastAsia" w:hAnsiTheme="minorEastAsia" w:eastAsiaTheme="minorEastAsia"/>
                <w:sz w:val="24"/>
                <w:highlight w:val="none"/>
              </w:rPr>
              <w:t>分)</w:t>
            </w:r>
          </w:p>
        </w:tc>
        <w:tc>
          <w:tcPr>
            <w:tcW w:w="7513" w:type="dxa"/>
            <w:shd w:val="clear" w:color="auto" w:fill="auto"/>
          </w:tcPr>
          <w:p w14:paraId="7D28373B">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由评审小组根据供应商的服务机构设置合理性、便利性等进行评审：  </w:t>
            </w:r>
          </w:p>
          <w:p w14:paraId="5319DB02">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1、服务机构设置合理、具有便利性，响应速度快，得</w:t>
            </w:r>
            <w:r>
              <w:rPr>
                <w:rFonts w:hint="default" w:asciiTheme="minorEastAsia" w:hAnsiTheme="minorEastAsia" w:eastAsiaTheme="minorEastAsia"/>
                <w:sz w:val="24"/>
                <w:highlight w:val="none"/>
              </w:rPr>
              <w:t>10</w:t>
            </w:r>
            <w:r>
              <w:rPr>
                <w:rFonts w:hint="eastAsia" w:asciiTheme="minorEastAsia" w:hAnsiTheme="minorEastAsia" w:eastAsiaTheme="minorEastAsia"/>
                <w:sz w:val="24"/>
                <w:highlight w:val="none"/>
              </w:rPr>
              <w:t xml:space="preserve">分；  </w:t>
            </w:r>
          </w:p>
          <w:p w14:paraId="4BD30181">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2、服务机构设置较合理、较有便利性，响应速度较快，得</w:t>
            </w:r>
            <w:r>
              <w:rPr>
                <w:rFonts w:hint="default" w:asciiTheme="minorEastAsia" w:hAnsiTheme="minorEastAsia" w:eastAsiaTheme="minorEastAsia"/>
                <w:sz w:val="24"/>
                <w:highlight w:val="none"/>
              </w:rPr>
              <w:t>8</w:t>
            </w:r>
            <w:r>
              <w:rPr>
                <w:rFonts w:hint="eastAsia" w:asciiTheme="minorEastAsia" w:hAnsiTheme="minorEastAsia" w:eastAsiaTheme="minorEastAsia"/>
                <w:sz w:val="24"/>
                <w:highlight w:val="none"/>
              </w:rPr>
              <w:t xml:space="preserve">分； </w:t>
            </w:r>
          </w:p>
          <w:p w14:paraId="05975C56">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3、服务机构设置基本合理、基本有便利性，响应速度较慢，得</w:t>
            </w:r>
            <w:r>
              <w:rPr>
                <w:rFonts w:hint="default" w:asciiTheme="minorEastAsia" w:hAnsiTheme="minorEastAsia" w:eastAsiaTheme="minorEastAsia"/>
                <w:sz w:val="24"/>
                <w:highlight w:val="none"/>
              </w:rPr>
              <w:t>5</w:t>
            </w:r>
            <w:r>
              <w:rPr>
                <w:rFonts w:hint="eastAsia" w:asciiTheme="minorEastAsia" w:hAnsiTheme="minorEastAsia" w:eastAsiaTheme="minorEastAsia"/>
                <w:sz w:val="24"/>
                <w:highlight w:val="none"/>
              </w:rPr>
              <w:t xml:space="preserve">分； </w:t>
            </w:r>
          </w:p>
          <w:p w14:paraId="0C9BAA9A">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4、服务机构设置不够合理，便利性一般 ，响应速度慢，得</w:t>
            </w:r>
            <w:r>
              <w:rPr>
                <w:rFonts w:hint="default" w:asciiTheme="minorEastAsia" w:hAnsiTheme="minorEastAsia" w:eastAsiaTheme="minorEastAsia"/>
                <w:sz w:val="24"/>
                <w:highlight w:val="none"/>
              </w:rPr>
              <w:t>3</w:t>
            </w:r>
            <w:r>
              <w:rPr>
                <w:rFonts w:hint="eastAsia" w:asciiTheme="minorEastAsia" w:hAnsiTheme="minorEastAsia" w:eastAsiaTheme="minorEastAsia"/>
                <w:sz w:val="24"/>
                <w:highlight w:val="none"/>
              </w:rPr>
              <w:t xml:space="preserve">分。 </w:t>
            </w:r>
          </w:p>
          <w:p w14:paraId="48B42D55">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注：不提供不得分。</w:t>
            </w:r>
          </w:p>
        </w:tc>
      </w:tr>
      <w:tr w14:paraId="1052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984" w:type="dxa"/>
            <w:shd w:val="clear" w:color="auto" w:fill="auto"/>
            <w:vAlign w:val="center"/>
          </w:tcPr>
          <w:p w14:paraId="3894175B">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供应商服务人员专业技术能力</w:t>
            </w:r>
          </w:p>
          <w:p w14:paraId="3CDA3747">
            <w:pPr>
              <w:pStyle w:val="5"/>
              <w:keepNext w:val="0"/>
              <w:keepLines w:val="0"/>
              <w:suppressLineNumbers w:val="0"/>
              <w:spacing w:before="0" w:beforeAutospacing="0" w:after="0" w:afterAutospacing="0"/>
              <w:ind w:left="0" w:right="0"/>
              <w:rPr>
                <w:rFonts w:hint="default"/>
                <w:highlight w:val="none"/>
              </w:rPr>
            </w:pPr>
            <w:r>
              <w:rPr>
                <w:rFonts w:hint="default"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10分</w:t>
            </w:r>
            <w:r>
              <w:rPr>
                <w:rFonts w:hint="default" w:asciiTheme="minorEastAsia" w:hAnsiTheme="minorEastAsia" w:eastAsiaTheme="minorEastAsia"/>
                <w:sz w:val="24"/>
                <w:szCs w:val="24"/>
                <w:highlight w:val="none"/>
              </w:rPr>
              <w:t>)</w:t>
            </w:r>
          </w:p>
        </w:tc>
        <w:tc>
          <w:tcPr>
            <w:tcW w:w="7513" w:type="dxa"/>
            <w:shd w:val="clear" w:color="auto" w:fill="auto"/>
          </w:tcPr>
          <w:p w14:paraId="6B5A0EFD">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根据供应商拟派本项目负责与我院专利发明人对接的人员技术能力进行评价，具有医学或生命科学专业专利代理师资格证，每提供一人有该项资格证的得2分，最高得10分。  </w:t>
            </w:r>
          </w:p>
          <w:p w14:paraId="3B00F9C5">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注：同时提供①相关证书复印件；②供应商在本项目投标截止日之前</w:t>
            </w:r>
            <w:r>
              <w:rPr>
                <w:rFonts w:hint="default" w:asciiTheme="minorEastAsia" w:hAnsiTheme="minorEastAsia" w:eastAsiaTheme="minorEastAsia"/>
                <w:sz w:val="24"/>
                <w:highlight w:val="none"/>
              </w:rPr>
              <w:t>3个月内任意1个月为其购买社保的证明文件复印件。不符合或不提供不得分。</w:t>
            </w:r>
          </w:p>
        </w:tc>
      </w:tr>
    </w:tbl>
    <w:p w14:paraId="23193107">
      <w:pPr>
        <w:pStyle w:val="5"/>
        <w:rPr>
          <w:rFonts w:asciiTheme="minorEastAsia" w:hAnsiTheme="minorEastAsia" w:eastAsiaTheme="minorEastAsia"/>
          <w:sz w:val="24"/>
          <w:szCs w:val="24"/>
          <w:highlight w:val="none"/>
        </w:rPr>
      </w:pPr>
    </w:p>
    <w:p w14:paraId="1210C141">
      <w:pPr>
        <w:pStyle w:val="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（2）报价得分：价格分统一采用低价优先法计算，即满足询比文件要求的各报价中取最低的为评标基准价，其价格分为满分。价格分计算公式：</w:t>
      </w:r>
    </w:p>
    <w:p w14:paraId="48AE5956">
      <w:pPr>
        <w:pStyle w:val="5"/>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响应报价得分=【评标基准价／响应供应商报价折扣率】×价格权值×100</w:t>
      </w:r>
    </w:p>
    <w:p w14:paraId="315EB013">
      <w:pPr>
        <w:pStyle w:val="5"/>
        <w:rPr>
          <w:rFonts w:asciiTheme="minorEastAsia" w:hAnsiTheme="minorEastAsia" w:eastAsiaTheme="minorEastAsia"/>
          <w:b/>
          <w:sz w:val="24"/>
          <w:szCs w:val="24"/>
          <w:highlight w:val="none"/>
        </w:rPr>
      </w:pPr>
    </w:p>
    <w:p w14:paraId="16FE2071">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14:paraId="198F6318">
      <w:pPr>
        <w:pStyle w:val="5"/>
        <w:ind w:firstLine="0"/>
        <w:rPr>
          <w:rFonts w:asciiTheme="minorEastAsia" w:hAnsiTheme="minorEastAsia" w:eastAsiaTheme="minorEastAsia"/>
          <w:b/>
          <w:sz w:val="24"/>
          <w:szCs w:val="24"/>
          <w:highlight w:val="none"/>
        </w:rPr>
      </w:pPr>
    </w:p>
    <w:p w14:paraId="7D313F0F">
      <w:pPr>
        <w:spacing w:line="312" w:lineRule="auto"/>
        <w:jc w:val="center"/>
        <w:outlineLvl w:val="0"/>
        <w:rPr>
          <w:rFonts w:asciiTheme="minorEastAsia" w:hAnsiTheme="minorEastAsia" w:eastAsiaTheme="minorEastAsia"/>
          <w:b/>
          <w:sz w:val="32"/>
          <w:highlight w:val="none"/>
        </w:rPr>
      </w:pPr>
      <w:r>
        <w:rPr>
          <w:rFonts w:hint="eastAsia" w:asciiTheme="minorEastAsia" w:hAnsiTheme="minorEastAsia" w:eastAsiaTheme="minorEastAsia"/>
          <w:b/>
          <w:sz w:val="32"/>
          <w:highlight w:val="none"/>
        </w:rPr>
        <w:t>第五部分  合同书格式</w:t>
      </w:r>
      <w:bookmarkEnd w:id="8"/>
    </w:p>
    <w:p w14:paraId="12459357">
      <w:pPr>
        <w:spacing w:line="360" w:lineRule="auto"/>
        <w:rPr>
          <w:rFonts w:ascii="宋体" w:hAnsi="宋体"/>
          <w:b/>
          <w:color w:val="000000"/>
          <w:sz w:val="24"/>
          <w:highlight w:val="none"/>
        </w:rPr>
      </w:pPr>
      <w:r>
        <w:rPr>
          <w:rFonts w:hint="eastAsia" w:ascii="宋体" w:hAnsi="宋体"/>
          <w:b/>
          <w:color w:val="000000"/>
          <w:sz w:val="24"/>
          <w:highlight w:val="none"/>
        </w:rPr>
        <w:t xml:space="preserve">                                 </w:t>
      </w:r>
    </w:p>
    <w:p w14:paraId="5D16EDF3">
      <w:pPr>
        <w:widowControl/>
        <w:spacing w:line="440" w:lineRule="exact"/>
        <w:textAlignment w:val="bottom"/>
        <w:rPr>
          <w:rFonts w:asciiTheme="majorEastAsia" w:hAnsiTheme="majorEastAsia" w:eastAsiaTheme="majorEastAsia"/>
          <w:b/>
          <w:color w:val="000000" w:themeColor="text1"/>
          <w:sz w:val="24"/>
          <w:szCs w:val="22"/>
          <w:highlight w:val="none"/>
          <w14:textFill>
            <w14:solidFill>
              <w14:schemeClr w14:val="tx1"/>
            </w14:solidFill>
          </w14:textFill>
        </w:rPr>
      </w:pPr>
      <w:r>
        <w:rPr>
          <w:rFonts w:asciiTheme="majorEastAsia" w:hAnsiTheme="majorEastAsia" w:eastAsiaTheme="majorEastAsia"/>
          <w:b/>
          <w:color w:val="000000" w:themeColor="text1"/>
          <w:sz w:val="24"/>
          <w:szCs w:val="22"/>
          <w:highlight w:val="none"/>
          <w14:textFill>
            <w14:solidFill>
              <w14:schemeClr w14:val="tx1"/>
            </w14:solidFill>
          </w14:textFill>
        </w:rPr>
        <w:t xml:space="preserve">委托方（甲方）： </w:t>
      </w:r>
      <w:r>
        <w:rPr>
          <w:rFonts w:hint="eastAsia" w:asciiTheme="majorEastAsia" w:hAnsiTheme="majorEastAsia" w:eastAsiaTheme="majorEastAsia"/>
          <w:b/>
          <w:color w:val="000000" w:themeColor="text1"/>
          <w:sz w:val="24"/>
          <w:szCs w:val="22"/>
          <w:highlight w:val="none"/>
          <w14:textFill>
            <w14:solidFill>
              <w14:schemeClr w14:val="tx1"/>
            </w14:solidFill>
          </w14:textFill>
        </w:rPr>
        <w:t>广州医科大学附属番禺中心医院</w:t>
      </w:r>
    </w:p>
    <w:p w14:paraId="4F705674">
      <w:pPr>
        <w:widowControl/>
        <w:spacing w:line="440" w:lineRule="exact"/>
        <w:textAlignment w:val="bottom"/>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电  话：</w:t>
      </w:r>
      <w:r>
        <w:rPr>
          <w:rFonts w:hint="eastAsia" w:asciiTheme="majorEastAsia" w:hAnsiTheme="majorEastAsia" w:eastAsiaTheme="majorEastAsia"/>
          <w:color w:val="000000" w:themeColor="text1"/>
          <w:sz w:val="24"/>
          <w:highlight w:val="none"/>
          <w14:textFill>
            <w14:solidFill>
              <w14:schemeClr w14:val="tx1"/>
            </w14:solidFill>
          </w14:textFill>
        </w:rPr>
        <w:t>020-34858239</w:t>
      </w:r>
    </w:p>
    <w:p w14:paraId="67588C10">
      <w:pPr>
        <w:widowControl/>
        <w:spacing w:line="440" w:lineRule="exact"/>
        <w:textAlignment w:val="bottom"/>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地  址： </w:t>
      </w:r>
    </w:p>
    <w:p w14:paraId="71C05505">
      <w:pPr>
        <w:widowControl/>
        <w:spacing w:line="440" w:lineRule="exact"/>
        <w:textAlignment w:val="bottom"/>
        <w:rPr>
          <w:rFonts w:asciiTheme="majorEastAsia" w:hAnsiTheme="majorEastAsia" w:eastAsiaTheme="majorEastAsia"/>
          <w:b/>
          <w:color w:val="000000" w:themeColor="text1"/>
          <w:sz w:val="24"/>
          <w:szCs w:val="22"/>
          <w:highlight w:val="none"/>
          <w14:textFill>
            <w14:solidFill>
              <w14:schemeClr w14:val="tx1"/>
            </w14:solidFill>
          </w14:textFill>
        </w:rPr>
      </w:pPr>
    </w:p>
    <w:p w14:paraId="00227925">
      <w:pPr>
        <w:widowControl/>
        <w:spacing w:line="440" w:lineRule="exact"/>
        <w:textAlignment w:val="bottom"/>
        <w:rPr>
          <w:rFonts w:asciiTheme="majorEastAsia" w:hAnsiTheme="majorEastAsia" w:eastAsiaTheme="majorEastAsia"/>
          <w:b/>
          <w:color w:val="000000" w:themeColor="text1"/>
          <w:sz w:val="24"/>
          <w:szCs w:val="22"/>
          <w:highlight w:val="none"/>
          <w14:textFill>
            <w14:solidFill>
              <w14:schemeClr w14:val="tx1"/>
            </w14:solidFill>
          </w14:textFill>
        </w:rPr>
      </w:pPr>
      <w:r>
        <w:rPr>
          <w:rFonts w:asciiTheme="majorEastAsia" w:hAnsiTheme="majorEastAsia" w:eastAsiaTheme="majorEastAsia"/>
          <w:b/>
          <w:color w:val="000000" w:themeColor="text1"/>
          <w:sz w:val="24"/>
          <w:szCs w:val="22"/>
          <w:highlight w:val="none"/>
          <w14:textFill>
            <w14:solidFill>
              <w14:schemeClr w14:val="tx1"/>
            </w14:solidFill>
          </w14:textFill>
        </w:rPr>
        <w:t>受托方（乙方）：</w:t>
      </w:r>
    </w:p>
    <w:p w14:paraId="6B0A422E">
      <w:pPr>
        <w:widowControl/>
        <w:spacing w:line="440" w:lineRule="exact"/>
        <w:textAlignment w:val="bottom"/>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电  话</w:t>
      </w:r>
      <w:r>
        <w:rPr>
          <w:rFonts w:hint="eastAsia" w:asciiTheme="majorEastAsia" w:hAnsiTheme="majorEastAsia" w:eastAsiaTheme="majorEastAsia"/>
          <w:color w:val="000000" w:themeColor="text1"/>
          <w:sz w:val="24"/>
          <w:highlight w:val="none"/>
          <w14:textFill>
            <w14:solidFill>
              <w14:schemeClr w14:val="tx1"/>
            </w14:solidFill>
          </w14:textFill>
        </w:rPr>
        <w:t>：</w:t>
      </w:r>
    </w:p>
    <w:p w14:paraId="6B12DF5F">
      <w:pPr>
        <w:widowControl/>
        <w:spacing w:line="440" w:lineRule="exact"/>
        <w:textAlignment w:val="bottom"/>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地  址：</w:t>
      </w:r>
    </w:p>
    <w:p w14:paraId="56A6F9CF">
      <w:pPr>
        <w:pStyle w:val="77"/>
        <w:numPr>
          <w:ilvl w:val="0"/>
          <w:numId w:val="7"/>
        </w:numPr>
        <w:tabs>
          <w:tab w:val="left" w:pos="-6946"/>
        </w:tabs>
        <w:spacing w:before="31" w:beforeLines="10" w:after="31" w:afterLines="10" w:line="440" w:lineRule="exact"/>
        <w:ind w:firstLineChars="0"/>
        <w:rPr>
          <w:rFonts w:asciiTheme="majorEastAsia" w:hAnsiTheme="majorEastAsia" w:eastAsiaTheme="majorEastAsia"/>
          <w:b/>
          <w:color w:val="000000" w:themeColor="text1"/>
          <w:sz w:val="24"/>
          <w:szCs w:val="24"/>
          <w:highlight w:val="none"/>
          <w14:textFill>
            <w14:solidFill>
              <w14:schemeClr w14:val="tx1"/>
            </w14:solidFill>
          </w14:textFill>
        </w:rPr>
      </w:pPr>
      <w:r>
        <w:rPr>
          <w:rFonts w:asciiTheme="majorEastAsia" w:hAnsiTheme="majorEastAsia" w:eastAsiaTheme="majorEastAsia"/>
          <w:b/>
          <w:color w:val="000000" w:themeColor="text1"/>
          <w:sz w:val="24"/>
          <w:szCs w:val="24"/>
          <w:highlight w:val="none"/>
          <w14:textFill>
            <w14:solidFill>
              <w14:schemeClr w14:val="tx1"/>
            </w14:solidFill>
          </w14:textFill>
        </w:rPr>
        <w:t xml:space="preserve">   知识产权服务事项</w:t>
      </w:r>
    </w:p>
    <w:p w14:paraId="6C59C87A">
      <w:pPr>
        <w:tabs>
          <w:tab w:val="left" w:pos="-6946"/>
        </w:tabs>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具体服务事项见本项目询比文件《</w:t>
      </w:r>
      <w:r>
        <w:rPr>
          <w:rFonts w:hint="eastAsia" w:asciiTheme="majorEastAsia" w:hAnsiTheme="majorEastAsia" w:eastAsiaTheme="majorEastAsia"/>
          <w:color w:val="000000" w:themeColor="text1"/>
          <w:sz w:val="24"/>
          <w:highlight w:val="none"/>
          <w14:textFill>
            <w14:solidFill>
              <w14:schemeClr w14:val="tx1"/>
            </w14:solidFill>
          </w14:textFill>
        </w:rPr>
        <w:t>第三部分用户需求书</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w:t>
      </w:r>
    </w:p>
    <w:p w14:paraId="3A6253DB">
      <w:pPr>
        <w:tabs>
          <w:tab w:val="left" w:pos="-6946"/>
        </w:tabs>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第二条    甲方的权利和义务</w:t>
      </w:r>
    </w:p>
    <w:p w14:paraId="56424A4F">
      <w:pPr>
        <w:tabs>
          <w:tab w:val="left" w:pos="-6946"/>
        </w:tabs>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1. 甲方的权利</w:t>
      </w:r>
    </w:p>
    <w:p w14:paraId="5AFEECC1">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甲方享有如下权利：</w:t>
      </w:r>
    </w:p>
    <w:p w14:paraId="0FB60CC7">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1.1甲方有权就本协议规定的已委托或即将委托乙方代理的知识产权</w:t>
      </w:r>
      <w:r>
        <w:rPr>
          <w:rFonts w:hint="eastAsia" w:asciiTheme="majorEastAsia" w:hAnsiTheme="majorEastAsia" w:eastAsiaTheme="majorEastAsia"/>
          <w:color w:val="000000" w:themeColor="text1"/>
          <w:sz w:val="24"/>
          <w:highlight w:val="none"/>
          <w14:textFill>
            <w14:solidFill>
              <w14:schemeClr w14:val="tx1"/>
            </w14:solidFill>
          </w14:textFill>
        </w:rPr>
        <w:t>服务事项</w:t>
      </w:r>
      <w:r>
        <w:rPr>
          <w:rFonts w:asciiTheme="majorEastAsia" w:hAnsiTheme="majorEastAsia" w:eastAsiaTheme="majorEastAsia"/>
          <w:color w:val="000000" w:themeColor="text1"/>
          <w:sz w:val="24"/>
          <w:highlight w:val="none"/>
          <w14:textFill>
            <w14:solidFill>
              <w14:schemeClr w14:val="tx1"/>
            </w14:solidFill>
          </w14:textFill>
        </w:rPr>
        <w:t>向乙方提出咨询。</w:t>
      </w:r>
    </w:p>
    <w:p w14:paraId="36B62E6F">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1.2甲方有权要求乙方按甲方要求定期或不定期地向甲方报告有关具体知识产权服务事项的进展情况。</w:t>
      </w:r>
    </w:p>
    <w:p w14:paraId="39EDC440">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1.3甲方有权要求乙方提供其为甲方提供知识产权服务</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事项</w:t>
      </w:r>
      <w:r>
        <w:rPr>
          <w:rFonts w:asciiTheme="majorEastAsia" w:hAnsiTheme="majorEastAsia" w:eastAsiaTheme="majorEastAsia"/>
          <w:color w:val="000000" w:themeColor="text1"/>
          <w:sz w:val="24"/>
          <w:highlight w:val="none"/>
          <w14:textFill>
            <w14:solidFill>
              <w14:schemeClr w14:val="tx1"/>
            </w14:solidFill>
          </w14:textFill>
        </w:rPr>
        <w:t>所收取费用的正式发票，以便甲方及时支付费用。</w:t>
      </w:r>
    </w:p>
    <w:p w14:paraId="253322D8">
      <w:pPr>
        <w:tabs>
          <w:tab w:val="left" w:pos="-6946"/>
        </w:tabs>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2. 甲方的义务</w:t>
      </w:r>
    </w:p>
    <w:p w14:paraId="38A5F67D">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甲方应履行如下义务：</w:t>
      </w:r>
    </w:p>
    <w:p w14:paraId="23A8B4C4">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2.1根据乙方提供的专业意见要求，甲方应当及时、真实、详尽地向乙方提供与本协议规定的委托事务相关的全部文件及背景资料。</w:t>
      </w:r>
    </w:p>
    <w:p w14:paraId="11D3E55B">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2.2 甲方应当积极、主动地配合乙方办理本协议规定的各项知识产权</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服务事项</w:t>
      </w:r>
      <w:r>
        <w:rPr>
          <w:rFonts w:asciiTheme="majorEastAsia" w:hAnsiTheme="majorEastAsia" w:eastAsiaTheme="majorEastAsia"/>
          <w:color w:val="000000" w:themeColor="text1"/>
          <w:sz w:val="24"/>
          <w:highlight w:val="none"/>
          <w14:textFill>
            <w14:solidFill>
              <w14:schemeClr w14:val="tx1"/>
            </w14:solidFill>
          </w14:textFill>
        </w:rPr>
        <w:t xml:space="preserve">，为乙方提供各种必要条件或便利，包括但不限于在乙方要求的期限内就相关具体事务向乙方作出明确指示。 </w:t>
      </w:r>
    </w:p>
    <w:p w14:paraId="076DBFE3">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2.3 甲方应当按照本协议约定的方式和期限及时向乙方足额支付各种费用。</w:t>
      </w:r>
    </w:p>
    <w:p w14:paraId="2375FFB8">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2.4甲方有义务配合乙方，对乙方为其提供知识产权服务</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事项</w:t>
      </w:r>
      <w:r>
        <w:rPr>
          <w:rFonts w:asciiTheme="majorEastAsia" w:hAnsiTheme="majorEastAsia" w:eastAsiaTheme="majorEastAsia"/>
          <w:color w:val="000000" w:themeColor="text1"/>
          <w:sz w:val="24"/>
          <w:highlight w:val="none"/>
          <w14:textFill>
            <w14:solidFill>
              <w14:schemeClr w14:val="tx1"/>
            </w14:solidFill>
          </w14:textFill>
        </w:rPr>
        <w:t>的工作内容及项目进行核对统计，对核对无误的应予以书面确认。</w:t>
      </w:r>
    </w:p>
    <w:p w14:paraId="1592EB26">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2.5 </w:t>
      </w:r>
      <w:r>
        <w:rPr>
          <w:rFonts w:hint="eastAsia" w:asciiTheme="majorEastAsia" w:hAnsiTheme="majorEastAsia" w:eastAsiaTheme="majorEastAsia"/>
          <w:color w:val="000000" w:themeColor="text1"/>
          <w:sz w:val="24"/>
          <w:highlight w:val="none"/>
          <w14:textFill>
            <w14:solidFill>
              <w14:schemeClr w14:val="tx1"/>
            </w14:solidFill>
          </w14:textFill>
        </w:rPr>
        <w:t>甲方指定专人作为联系人（姓名：_______，  电话：_______， 邮箱：_______），负责委托事项的沟通与协调。上述通讯方式为甲方的有效联系方式</w:t>
      </w:r>
      <w:r>
        <w:rPr>
          <w:rFonts w:asciiTheme="majorEastAsia" w:hAnsiTheme="majorEastAsia" w:eastAsiaTheme="majorEastAsia"/>
          <w:color w:val="000000" w:themeColor="text1"/>
          <w:sz w:val="24"/>
          <w:highlight w:val="none"/>
          <w14:textFill>
            <w14:solidFill>
              <w14:schemeClr w14:val="tx1"/>
            </w14:solidFill>
          </w14:textFill>
        </w:rPr>
        <w:t>。若联系方式发生变化，应及时通知乙方。如因甲方地址变更未通知乙方，以致权利证明文件或其他文件邮寄遗失的，甲方自行承担一切后果与损失。</w:t>
      </w:r>
    </w:p>
    <w:p w14:paraId="32A32D27">
      <w:pPr>
        <w:tabs>
          <w:tab w:val="left" w:pos="-6946"/>
        </w:tabs>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第三条    乙方的权利和义务</w:t>
      </w:r>
    </w:p>
    <w:p w14:paraId="555C1894">
      <w:pPr>
        <w:tabs>
          <w:tab w:val="left" w:pos="-6946"/>
        </w:tabs>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1. 乙方的权利</w:t>
      </w:r>
    </w:p>
    <w:p w14:paraId="2D29ED49">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乙方享有如下权利：</w:t>
      </w:r>
    </w:p>
    <w:p w14:paraId="635B8896">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1.1 乙方有权要求甲方指派专门人员为联系人，以方便乙方向甲方提供本协议规定的知识产权服务</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事项</w:t>
      </w:r>
      <w:r>
        <w:rPr>
          <w:rFonts w:asciiTheme="majorEastAsia" w:hAnsiTheme="majorEastAsia" w:eastAsiaTheme="majorEastAsia"/>
          <w:color w:val="000000" w:themeColor="text1"/>
          <w:sz w:val="24"/>
          <w:highlight w:val="none"/>
          <w14:textFill>
            <w14:solidFill>
              <w14:schemeClr w14:val="tx1"/>
            </w14:solidFill>
          </w14:textFill>
        </w:rPr>
        <w:t>。</w:t>
      </w:r>
    </w:p>
    <w:p w14:paraId="0A27B23D">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1.2 乙方有权要求甲方向乙方及时提供真实、详尽的与本协议规定的委托事务有关的全部文件及背景资料。</w:t>
      </w:r>
    </w:p>
    <w:p w14:paraId="3C8A0F09">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1.3 乙方有权要求甲方按本协议的约定及时、足额地支付各种费用。</w:t>
      </w:r>
    </w:p>
    <w:p w14:paraId="60755136">
      <w:pPr>
        <w:tabs>
          <w:tab w:val="left" w:pos="-6946"/>
        </w:tabs>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2. 乙方的义务</w:t>
      </w:r>
    </w:p>
    <w:p w14:paraId="35090226">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乙方应履行如下义务：</w:t>
      </w:r>
    </w:p>
    <w:p w14:paraId="4CFDCE28">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2.1 乙方应当积极、认真、及时地办理本协议规定的委托事项，以确实维护甲方的利益。</w:t>
      </w:r>
    </w:p>
    <w:p w14:paraId="6358003E">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2.2 乙方应当根据本协议的规定及相关授权处理受托事务，不得超越代理权限。</w:t>
      </w:r>
    </w:p>
    <w:p w14:paraId="67E4A010">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2.3乙方有义务根据甲方要求及时、真实、详尽地向甲方报告受托事务的进展情况，并在收到任何官方文件或资料后，于</w:t>
      </w:r>
      <w:r>
        <w:rPr>
          <w:rFonts w:hint="eastAsia" w:asciiTheme="majorEastAsia" w:hAnsiTheme="majorEastAsia" w:eastAsiaTheme="majorEastAsia"/>
          <w:color w:val="000000" w:themeColor="text1"/>
          <w:sz w:val="24"/>
          <w:highlight w:val="none"/>
          <w14:textFill>
            <w14:solidFill>
              <w14:schemeClr w14:val="tx1"/>
            </w14:solidFill>
          </w14:textFill>
        </w:rPr>
        <w:t>十</w:t>
      </w:r>
      <w:r>
        <w:rPr>
          <w:rFonts w:asciiTheme="majorEastAsia" w:hAnsiTheme="majorEastAsia" w:eastAsiaTheme="majorEastAsia"/>
          <w:color w:val="000000" w:themeColor="text1"/>
          <w:sz w:val="24"/>
          <w:highlight w:val="none"/>
          <w14:textFill>
            <w14:solidFill>
              <w14:schemeClr w14:val="tx1"/>
            </w14:solidFill>
          </w14:textFill>
        </w:rPr>
        <w:t>个工作日内通知甲方并将应送达给甲方的官方文件或资料及时送达。</w:t>
      </w:r>
    </w:p>
    <w:p w14:paraId="4E378D7D">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2.4鉴于知识产权事务办理所需的时间较长，若本协议期限届满或终止后，甲乙双方未续约且有知识产权事务尚未办理完毕，则乙方应在获得任何有关甲方知识产权事务的信息或资料后及时通知甲方，并将相关资料提供给甲方，以便甲方继续处理该等知识产权事务。</w:t>
      </w:r>
    </w:p>
    <w:p w14:paraId="5AC20914">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第四条  费用及支付</w:t>
      </w:r>
    </w:p>
    <w:p w14:paraId="3807F4E0">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经友好协商，甲乙双方一致同意，有关具体知识产权事务费用的约定如下：</w:t>
      </w:r>
    </w:p>
    <w:p w14:paraId="521F4B04">
      <w:pPr>
        <w:tabs>
          <w:tab w:val="left" w:pos="-6946"/>
        </w:tabs>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1. 办理各项具体知识产权事务的费用说明</w:t>
      </w:r>
    </w:p>
    <w:p w14:paraId="6B198B2D">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说明：</w:t>
      </w:r>
    </w:p>
    <w:p w14:paraId="2897FE73">
      <w:pPr>
        <w:spacing w:before="31" w:beforeLines="10" w:after="31" w:afterLines="10" w:line="440" w:lineRule="exact"/>
        <w:ind w:firstLine="480" w:firstLineChars="200"/>
        <w:rPr>
          <w:rFonts w:asciiTheme="majorEastAsia" w:hAnsiTheme="majorEastAsia" w:eastAsiaTheme="majorEastAsia"/>
          <w:b/>
          <w:color w:val="000000" w:themeColor="text1"/>
          <w:sz w:val="24"/>
          <w:szCs w:val="22"/>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1</w:t>
      </w:r>
      <w:r>
        <w:rPr>
          <w:rFonts w:asciiTheme="majorEastAsia" w:hAnsiTheme="majorEastAsia" w:eastAsiaTheme="majorEastAsia"/>
          <w:color w:val="000000" w:themeColor="text1"/>
          <w:sz w:val="24"/>
          <w:highlight w:val="none"/>
          <w14:textFill>
            <w14:solidFill>
              <w14:schemeClr w14:val="tx1"/>
            </w14:solidFill>
          </w14:textFill>
        </w:rPr>
        <w:t>甲方委托乙方在中国大陆办理具体知识产权事务时，相应地应向国家专利局、专利复审委员会这些行政机构支付的官费，统一由乙方代为准时交纳。甲方统一支付官费给乙方，并由乙方出具相应的官费正式发票。其中，官费</w:t>
      </w:r>
      <w:r>
        <w:rPr>
          <w:rFonts w:hint="eastAsia" w:asciiTheme="majorEastAsia" w:hAnsiTheme="majorEastAsia" w:eastAsiaTheme="majorEastAsia"/>
          <w:color w:val="000000" w:themeColor="text1"/>
          <w:sz w:val="24"/>
          <w:highlight w:val="none"/>
          <w14:textFill>
            <w14:solidFill>
              <w14:schemeClr w14:val="tx1"/>
            </w14:solidFill>
          </w14:textFill>
        </w:rPr>
        <w:t>部分</w:t>
      </w:r>
      <w:r>
        <w:rPr>
          <w:rFonts w:asciiTheme="majorEastAsia" w:hAnsiTheme="majorEastAsia" w:eastAsiaTheme="majorEastAsia"/>
          <w:color w:val="000000" w:themeColor="text1"/>
          <w:sz w:val="24"/>
          <w:highlight w:val="none"/>
          <w14:textFill>
            <w14:solidFill>
              <w14:schemeClr w14:val="tx1"/>
            </w14:solidFill>
          </w14:textFill>
        </w:rPr>
        <w:t>由乙方开具</w:t>
      </w:r>
      <w:r>
        <w:rPr>
          <w:rFonts w:hint="eastAsia" w:asciiTheme="majorEastAsia" w:hAnsiTheme="majorEastAsia" w:eastAsiaTheme="majorEastAsia"/>
          <w:color w:val="000000" w:themeColor="text1"/>
          <w:sz w:val="24"/>
          <w:highlight w:val="none"/>
          <w14:textFill>
            <w14:solidFill>
              <w14:schemeClr w14:val="tx1"/>
            </w14:solidFill>
          </w14:textFill>
        </w:rPr>
        <w:t>增值税普通发票</w:t>
      </w:r>
      <w:r>
        <w:rPr>
          <w:rFonts w:asciiTheme="majorEastAsia" w:hAnsiTheme="majorEastAsia" w:eastAsiaTheme="majorEastAsia"/>
          <w:color w:val="000000" w:themeColor="text1"/>
          <w:sz w:val="24"/>
          <w:highlight w:val="none"/>
          <w14:textFill>
            <w14:solidFill>
              <w14:schemeClr w14:val="tx1"/>
            </w14:solidFill>
          </w14:textFill>
        </w:rPr>
        <w:t>，发票抬头为</w:t>
      </w:r>
      <w:r>
        <w:rPr>
          <w:rFonts w:hint="eastAsia" w:asciiTheme="majorEastAsia" w:hAnsiTheme="majorEastAsia" w:eastAsiaTheme="majorEastAsia"/>
          <w:color w:val="000000" w:themeColor="text1"/>
          <w:sz w:val="24"/>
          <w:highlight w:val="none"/>
          <w14:textFill>
            <w14:solidFill>
              <w14:schemeClr w14:val="tx1"/>
            </w14:solidFill>
          </w14:textFill>
        </w:rPr>
        <w:t>“广州医科大学附属番禺中心医院”</w:t>
      </w:r>
      <w:r>
        <w:rPr>
          <w:rFonts w:asciiTheme="majorEastAsia" w:hAnsiTheme="majorEastAsia" w:eastAsiaTheme="majorEastAsia"/>
          <w:color w:val="000000" w:themeColor="text1"/>
          <w:sz w:val="24"/>
          <w:highlight w:val="none"/>
          <w14:textFill>
            <w14:solidFill>
              <w14:schemeClr w14:val="tx1"/>
            </w14:solidFill>
          </w14:textFill>
        </w:rPr>
        <w:t>。</w:t>
      </w:r>
    </w:p>
    <w:p w14:paraId="74266B07">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2</w:t>
      </w:r>
      <w:r>
        <w:rPr>
          <w:rFonts w:asciiTheme="majorEastAsia" w:hAnsiTheme="majorEastAsia" w:eastAsiaTheme="majorEastAsia"/>
          <w:color w:val="000000" w:themeColor="text1"/>
          <w:sz w:val="24"/>
          <w:highlight w:val="none"/>
          <w14:textFill>
            <w14:solidFill>
              <w14:schemeClr w14:val="tx1"/>
            </w14:solidFill>
          </w14:textFill>
        </w:rPr>
        <w:t>甲方委托乙方在中国大陆办理具体知识产权事务时，甲方统一支付代理费给乙方。乙方根据甲方书面通知办理相关事务，并向甲方出具相应金额的代理费正式发票</w:t>
      </w:r>
      <w:r>
        <w:rPr>
          <w:rFonts w:hint="eastAsia" w:asciiTheme="majorEastAsia" w:hAnsiTheme="majorEastAsia" w:eastAsiaTheme="majorEastAsia"/>
          <w:color w:val="000000" w:themeColor="text1"/>
          <w:sz w:val="24"/>
          <w:highlight w:val="none"/>
          <w14:textFill>
            <w14:solidFill>
              <w14:schemeClr w14:val="tx1"/>
            </w14:solidFill>
          </w14:textFill>
        </w:rPr>
        <w:t>。</w:t>
      </w:r>
      <w:r>
        <w:rPr>
          <w:rFonts w:asciiTheme="majorEastAsia" w:hAnsiTheme="majorEastAsia" w:eastAsiaTheme="majorEastAsia"/>
          <w:color w:val="000000" w:themeColor="text1"/>
          <w:sz w:val="24"/>
          <w:highlight w:val="none"/>
          <w14:textFill>
            <w14:solidFill>
              <w14:schemeClr w14:val="tx1"/>
            </w14:solidFill>
          </w14:textFill>
        </w:rPr>
        <w:t>其中，代理费发票由乙方开具增值税普通发票，发票抬头为</w:t>
      </w:r>
      <w:r>
        <w:rPr>
          <w:rFonts w:hint="eastAsia" w:asciiTheme="majorEastAsia" w:hAnsiTheme="majorEastAsia" w:eastAsiaTheme="majorEastAsia"/>
          <w:color w:val="000000" w:themeColor="text1"/>
          <w:sz w:val="24"/>
          <w:highlight w:val="none"/>
          <w14:textFill>
            <w14:solidFill>
              <w14:schemeClr w14:val="tx1"/>
            </w14:solidFill>
          </w14:textFill>
        </w:rPr>
        <w:t>“广州医科大学附属番禺中心医院”</w:t>
      </w:r>
      <w:r>
        <w:rPr>
          <w:rFonts w:asciiTheme="majorEastAsia" w:hAnsiTheme="majorEastAsia" w:eastAsiaTheme="majorEastAsia"/>
          <w:color w:val="000000" w:themeColor="text1"/>
          <w:sz w:val="24"/>
          <w:highlight w:val="none"/>
          <w14:textFill>
            <w14:solidFill>
              <w14:schemeClr w14:val="tx1"/>
            </w14:solidFill>
          </w14:textFill>
        </w:rPr>
        <w:t>。</w:t>
      </w:r>
    </w:p>
    <w:p w14:paraId="43CBFA33">
      <w:pPr>
        <w:spacing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b/>
          <w:color w:val="000000" w:themeColor="text1"/>
          <w:sz w:val="24"/>
          <w:szCs w:val="22"/>
          <w:highlight w:val="none"/>
          <w14:textFill>
            <w14:solidFill>
              <w14:schemeClr w14:val="tx1"/>
            </w14:solidFill>
          </w14:textFill>
        </w:rPr>
        <w:t>1.</w:t>
      </w:r>
      <w:r>
        <w:rPr>
          <w:rFonts w:hint="eastAsia" w:asciiTheme="majorEastAsia" w:hAnsiTheme="majorEastAsia" w:eastAsiaTheme="majorEastAsia"/>
          <w:b/>
          <w:color w:val="000000" w:themeColor="text1"/>
          <w:sz w:val="24"/>
          <w:szCs w:val="22"/>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2"/>
          <w:highlight w:val="none"/>
          <w14:textFill>
            <w14:solidFill>
              <w14:schemeClr w14:val="tx1"/>
            </w14:solidFill>
          </w14:textFill>
        </w:rPr>
        <w:t>官费</w:t>
      </w:r>
      <w:r>
        <w:rPr>
          <w:rFonts w:asciiTheme="majorEastAsia" w:hAnsiTheme="majorEastAsia" w:eastAsiaTheme="majorEastAsia"/>
          <w:color w:val="000000" w:themeColor="text1"/>
          <w:sz w:val="24"/>
          <w:szCs w:val="22"/>
          <w:highlight w:val="none"/>
          <w14:textFill>
            <w14:solidFill>
              <w14:schemeClr w14:val="tx1"/>
            </w14:solidFill>
          </w14:textFill>
        </w:rPr>
        <w:t>费用仅</w:t>
      </w:r>
      <w:r>
        <w:rPr>
          <w:rFonts w:hint="eastAsia" w:asciiTheme="majorEastAsia" w:hAnsiTheme="majorEastAsia" w:eastAsiaTheme="majorEastAsia"/>
          <w:color w:val="000000" w:themeColor="text1"/>
          <w:sz w:val="24"/>
          <w:szCs w:val="22"/>
          <w:highlight w:val="none"/>
          <w14:textFill>
            <w14:solidFill>
              <w14:schemeClr w14:val="tx1"/>
            </w14:solidFill>
          </w14:textFill>
        </w:rPr>
        <w:t>是</w:t>
      </w:r>
      <w:r>
        <w:rPr>
          <w:rFonts w:asciiTheme="majorEastAsia" w:hAnsiTheme="majorEastAsia" w:eastAsiaTheme="majorEastAsia"/>
          <w:color w:val="000000" w:themeColor="text1"/>
          <w:sz w:val="24"/>
          <w:szCs w:val="22"/>
          <w:highlight w:val="none"/>
          <w14:textFill>
            <w14:solidFill>
              <w14:schemeClr w14:val="tx1"/>
            </w14:solidFill>
          </w14:textFill>
        </w:rPr>
        <w:t>申请人为：</w:t>
      </w:r>
      <w:r>
        <w:rPr>
          <w:rFonts w:hint="eastAsia" w:asciiTheme="majorEastAsia" w:hAnsiTheme="majorEastAsia" w:eastAsiaTheme="majorEastAsia"/>
          <w:color w:val="000000" w:themeColor="text1"/>
          <w:sz w:val="24"/>
          <w:szCs w:val="22"/>
          <w:highlight w:val="none"/>
          <w14:textFill>
            <w14:solidFill>
              <w14:schemeClr w14:val="tx1"/>
            </w14:solidFill>
          </w14:textFill>
        </w:rPr>
        <w:t>“</w:t>
      </w:r>
      <w:r>
        <w:rPr>
          <w:rFonts w:hint="eastAsia" w:asciiTheme="majorEastAsia" w:hAnsiTheme="majorEastAsia" w:eastAsiaTheme="majorEastAsia"/>
          <w:color w:val="000000" w:themeColor="text1"/>
          <w:sz w:val="24"/>
          <w:highlight w:val="none"/>
          <w14:textFill>
            <w14:solidFill>
              <w14:schemeClr w14:val="tx1"/>
            </w14:solidFill>
          </w14:textFill>
        </w:rPr>
        <w:t>广州医科大学附属番禺中心医院“</w:t>
      </w:r>
      <w:r>
        <w:rPr>
          <w:rFonts w:asciiTheme="majorEastAsia" w:hAnsiTheme="majorEastAsia" w:eastAsiaTheme="majorEastAsia"/>
          <w:color w:val="000000" w:themeColor="text1"/>
          <w:sz w:val="24"/>
          <w:highlight w:val="none"/>
          <w14:textFill>
            <w14:solidFill>
              <w14:schemeClr w14:val="tx1"/>
            </w14:solidFill>
          </w14:textFill>
        </w:rPr>
        <w:t>一个</w:t>
      </w:r>
      <w:r>
        <w:rPr>
          <w:rFonts w:hint="eastAsia" w:asciiTheme="majorEastAsia" w:hAnsiTheme="majorEastAsia" w:eastAsiaTheme="majorEastAsia"/>
          <w:color w:val="000000" w:themeColor="text1"/>
          <w:sz w:val="24"/>
          <w:highlight w:val="none"/>
          <w14:textFill>
            <w14:solidFill>
              <w14:schemeClr w14:val="tx1"/>
            </w14:solidFill>
          </w14:textFill>
        </w:rPr>
        <w:t>申请人，</w:t>
      </w:r>
      <w:r>
        <w:rPr>
          <w:rFonts w:asciiTheme="majorEastAsia" w:hAnsiTheme="majorEastAsia" w:eastAsiaTheme="majorEastAsia"/>
          <w:color w:val="000000" w:themeColor="text1"/>
          <w:sz w:val="24"/>
          <w:highlight w:val="none"/>
          <w14:textFill>
            <w14:solidFill>
              <w14:schemeClr w14:val="tx1"/>
            </w14:solidFill>
          </w14:textFill>
        </w:rPr>
        <w:t>并且符合</w:t>
      </w:r>
      <w:r>
        <w:rPr>
          <w:rFonts w:hint="eastAsia" w:asciiTheme="majorEastAsia" w:hAnsiTheme="majorEastAsia" w:eastAsiaTheme="majorEastAsia"/>
          <w:color w:val="000000" w:themeColor="text1"/>
          <w:sz w:val="24"/>
          <w:highlight w:val="none"/>
          <w14:textFill>
            <w14:solidFill>
              <w14:schemeClr w14:val="tx1"/>
            </w14:solidFill>
          </w14:textFill>
        </w:rPr>
        <w:t>办理</w:t>
      </w:r>
      <w:r>
        <w:rPr>
          <w:rFonts w:asciiTheme="majorEastAsia" w:hAnsiTheme="majorEastAsia" w:eastAsiaTheme="majorEastAsia"/>
          <w:color w:val="000000" w:themeColor="text1"/>
          <w:sz w:val="24"/>
          <w:highlight w:val="none"/>
          <w14:textFill>
            <w14:solidFill>
              <w14:schemeClr w14:val="tx1"/>
            </w14:solidFill>
          </w14:textFill>
        </w:rPr>
        <w:t>国家费减</w:t>
      </w:r>
      <w:r>
        <w:rPr>
          <w:rFonts w:hint="eastAsia" w:asciiTheme="majorEastAsia" w:hAnsiTheme="majorEastAsia" w:eastAsiaTheme="majorEastAsia"/>
          <w:color w:val="000000" w:themeColor="text1"/>
          <w:sz w:val="24"/>
          <w:highlight w:val="none"/>
          <w14:textFill>
            <w14:solidFill>
              <w14:schemeClr w14:val="tx1"/>
            </w14:solidFill>
          </w14:textFill>
        </w:rPr>
        <w:t>时</w:t>
      </w:r>
      <w:r>
        <w:rPr>
          <w:rFonts w:asciiTheme="majorEastAsia" w:hAnsiTheme="majorEastAsia" w:eastAsiaTheme="majorEastAsia"/>
          <w:color w:val="000000" w:themeColor="text1"/>
          <w:sz w:val="24"/>
          <w:highlight w:val="none"/>
          <w14:textFill>
            <w14:solidFill>
              <w14:schemeClr w14:val="tx1"/>
            </w14:solidFill>
          </w14:textFill>
        </w:rPr>
        <w:t>的费用，</w:t>
      </w:r>
      <w:r>
        <w:rPr>
          <w:rFonts w:hint="eastAsia" w:asciiTheme="majorEastAsia" w:hAnsiTheme="majorEastAsia" w:eastAsiaTheme="majorEastAsia"/>
          <w:color w:val="000000" w:themeColor="text1"/>
          <w:sz w:val="24"/>
          <w:highlight w:val="none"/>
          <w14:textFill>
            <w14:solidFill>
              <w14:schemeClr w14:val="tx1"/>
            </w14:solidFill>
          </w14:textFill>
        </w:rPr>
        <w:t>如果出现</w:t>
      </w:r>
      <w:r>
        <w:rPr>
          <w:rFonts w:asciiTheme="majorEastAsia" w:hAnsiTheme="majorEastAsia" w:eastAsiaTheme="majorEastAsia"/>
          <w:color w:val="000000" w:themeColor="text1"/>
          <w:sz w:val="24"/>
          <w:highlight w:val="none"/>
          <w14:textFill>
            <w14:solidFill>
              <w14:schemeClr w14:val="tx1"/>
            </w14:solidFill>
          </w14:textFill>
        </w:rPr>
        <w:t>多个申请人，</w:t>
      </w:r>
      <w:r>
        <w:rPr>
          <w:rFonts w:hint="eastAsia" w:asciiTheme="majorEastAsia" w:hAnsiTheme="majorEastAsia" w:eastAsiaTheme="majorEastAsia"/>
          <w:color w:val="000000" w:themeColor="text1"/>
          <w:sz w:val="24"/>
          <w:highlight w:val="none"/>
          <w14:textFill>
            <w14:solidFill>
              <w14:schemeClr w14:val="tx1"/>
            </w14:solidFill>
          </w14:textFill>
        </w:rPr>
        <w:t>或者</w:t>
      </w:r>
      <w:r>
        <w:rPr>
          <w:rFonts w:asciiTheme="majorEastAsia" w:hAnsiTheme="majorEastAsia" w:eastAsiaTheme="majorEastAsia"/>
          <w:color w:val="000000" w:themeColor="text1"/>
          <w:sz w:val="24"/>
          <w:highlight w:val="none"/>
          <w14:textFill>
            <w14:solidFill>
              <w14:schemeClr w14:val="tx1"/>
            </w14:solidFill>
          </w14:textFill>
        </w:rPr>
        <w:t>国家政策有变动的情况下，官费</w:t>
      </w:r>
      <w:r>
        <w:rPr>
          <w:rFonts w:hint="eastAsia" w:asciiTheme="majorEastAsia" w:hAnsiTheme="majorEastAsia" w:eastAsiaTheme="majorEastAsia"/>
          <w:color w:val="000000" w:themeColor="text1"/>
          <w:sz w:val="24"/>
          <w:highlight w:val="none"/>
          <w14:textFill>
            <w14:solidFill>
              <w14:schemeClr w14:val="tx1"/>
            </w14:solidFill>
          </w14:textFill>
        </w:rPr>
        <w:t>变动</w:t>
      </w:r>
      <w:r>
        <w:rPr>
          <w:rFonts w:asciiTheme="majorEastAsia" w:hAnsiTheme="majorEastAsia" w:eastAsiaTheme="majorEastAsia"/>
          <w:color w:val="000000" w:themeColor="text1"/>
          <w:sz w:val="24"/>
          <w:highlight w:val="none"/>
          <w14:textFill>
            <w14:solidFill>
              <w14:schemeClr w14:val="tx1"/>
            </w14:solidFill>
          </w14:textFill>
        </w:rPr>
        <w:t>的费用</w:t>
      </w:r>
      <w:r>
        <w:rPr>
          <w:rFonts w:hint="eastAsia" w:asciiTheme="majorEastAsia" w:hAnsiTheme="majorEastAsia" w:eastAsiaTheme="majorEastAsia"/>
          <w:color w:val="000000" w:themeColor="text1"/>
          <w:sz w:val="24"/>
          <w:highlight w:val="none"/>
          <w14:textFill>
            <w14:solidFill>
              <w14:schemeClr w14:val="tx1"/>
            </w14:solidFill>
          </w14:textFill>
        </w:rPr>
        <w:t>则另行协商</w:t>
      </w:r>
      <w:r>
        <w:rPr>
          <w:rFonts w:asciiTheme="majorEastAsia" w:hAnsiTheme="majorEastAsia" w:eastAsiaTheme="majorEastAsia"/>
          <w:color w:val="000000" w:themeColor="text1"/>
          <w:sz w:val="24"/>
          <w:highlight w:val="none"/>
          <w14:textFill>
            <w14:solidFill>
              <w14:schemeClr w14:val="tx1"/>
            </w14:solidFill>
          </w14:textFill>
        </w:rPr>
        <w:t>。</w:t>
      </w:r>
    </w:p>
    <w:p w14:paraId="14392639">
      <w:pPr>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b/>
          <w:color w:val="000000" w:themeColor="text1"/>
          <w:sz w:val="24"/>
          <w:highlight w:val="none"/>
          <w:lang w:val="en-US" w:eastAsia="zh-CN"/>
          <w14:textFill>
            <w14:solidFill>
              <w14:schemeClr w14:val="tx1"/>
            </w14:solidFill>
          </w14:textFill>
        </w:rPr>
        <w:t>2.</w:t>
      </w:r>
      <w:r>
        <w:rPr>
          <w:rFonts w:asciiTheme="majorEastAsia" w:hAnsiTheme="majorEastAsia" w:eastAsiaTheme="majorEastAsia"/>
          <w:b/>
          <w:color w:val="000000" w:themeColor="text1"/>
          <w:sz w:val="24"/>
          <w:highlight w:val="none"/>
          <w14:textFill>
            <w14:solidFill>
              <w14:schemeClr w14:val="tx1"/>
            </w14:solidFill>
          </w14:textFill>
        </w:rPr>
        <w:t>费用的支付</w:t>
      </w:r>
    </w:p>
    <w:p w14:paraId="36FE7F09">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甲方应按如下方式向乙方支付费用：</w:t>
      </w:r>
    </w:p>
    <w:p w14:paraId="407EB332">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2</w:t>
      </w:r>
      <w:r>
        <w:rPr>
          <w:rFonts w:asciiTheme="majorEastAsia" w:hAnsiTheme="majorEastAsia" w:eastAsiaTheme="majorEastAsia"/>
          <w:color w:val="000000" w:themeColor="text1"/>
          <w:sz w:val="24"/>
          <w:highlight w:val="none"/>
          <w14:textFill>
            <w14:solidFill>
              <w14:schemeClr w14:val="tx1"/>
            </w14:solidFill>
          </w14:textFill>
        </w:rPr>
        <w:t>.1 费用金额：</w:t>
      </w:r>
      <w:r>
        <w:rPr>
          <w:rFonts w:hint="eastAsia" w:asciiTheme="majorEastAsia" w:hAnsiTheme="majorEastAsia" w:eastAsiaTheme="majorEastAsia"/>
          <w:color w:val="000000" w:themeColor="text1"/>
          <w:sz w:val="24"/>
          <w:highlight w:val="none"/>
          <w14:textFill>
            <w14:solidFill>
              <w14:schemeClr w14:val="tx1"/>
            </w14:solidFill>
          </w14:textFill>
        </w:rPr>
        <w:t>本协议总价为</w:t>
      </w:r>
      <w:r>
        <w:rPr>
          <w:rFonts w:hint="eastAsia"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asciiTheme="majorEastAsia" w:hAnsiTheme="majorEastAsia" w:eastAsiaTheme="majorEastAsia"/>
          <w:color w:val="000000" w:themeColor="text1"/>
          <w:sz w:val="24"/>
          <w:highlight w:val="none"/>
          <w14:textFill>
            <w14:solidFill>
              <w14:schemeClr w14:val="tx1"/>
            </w14:solidFill>
          </w14:textFill>
        </w:rPr>
        <w:t>，即</w:t>
      </w:r>
      <w:r>
        <w:rPr>
          <w:rFonts w:hint="eastAsia" w:asciiTheme="majorEastAsia" w:hAnsiTheme="majorEastAsia" w:eastAsiaTheme="majorEastAsia"/>
          <w:color w:val="000000" w:themeColor="text1"/>
          <w:sz w:val="24"/>
          <w:highlight w:val="none"/>
          <w:u w:val="single"/>
          <w14:textFill>
            <w14:solidFill>
              <w14:schemeClr w14:val="tx1"/>
            </w14:solidFill>
          </w14:textFill>
        </w:rPr>
        <w:t>¥</w:t>
      </w:r>
      <w:r>
        <w:rPr>
          <w:rFonts w:asciiTheme="majorEastAsia" w:hAnsiTheme="majorEastAsia" w:eastAsiaTheme="majorEastAsia"/>
          <w:color w:val="000000" w:themeColor="text1"/>
          <w:sz w:val="24"/>
          <w:highlight w:val="none"/>
          <w:u w:val="single"/>
          <w14:textFill>
            <w14:solidFill>
              <w14:schemeClr w14:val="tx1"/>
            </w14:solidFill>
          </w14:textFill>
        </w:rPr>
        <w:t xml:space="preserve">      </w:t>
      </w:r>
      <w:r>
        <w:rPr>
          <w:rFonts w:hint="eastAsia" w:asciiTheme="majorEastAsia" w:hAnsiTheme="majorEastAsia" w:eastAsiaTheme="majorEastAsia"/>
          <w:color w:val="000000" w:themeColor="text1"/>
          <w:sz w:val="24"/>
          <w:highlight w:val="none"/>
          <w14:textFill>
            <w14:solidFill>
              <w14:schemeClr w14:val="tx1"/>
            </w14:solidFill>
          </w14:textFill>
        </w:rPr>
        <w:t>，</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不含税价为_________，税率为_______，中标折扣率为_________，</w:t>
      </w:r>
      <w:r>
        <w:rPr>
          <w:rFonts w:hint="eastAsia" w:asciiTheme="majorEastAsia" w:hAnsiTheme="majorEastAsia" w:eastAsiaTheme="majorEastAsia"/>
          <w:color w:val="000000" w:themeColor="text1"/>
          <w:sz w:val="24"/>
          <w:highlight w:val="none"/>
          <w14:textFill>
            <w14:solidFill>
              <w14:schemeClr w14:val="tx1"/>
            </w14:solidFill>
          </w14:textFill>
        </w:rPr>
        <w:t>按批次结算。</w:t>
      </w:r>
    </w:p>
    <w:p w14:paraId="343E462A">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2</w:t>
      </w:r>
      <w:r>
        <w:rPr>
          <w:rFonts w:asciiTheme="majorEastAsia" w:hAnsiTheme="majorEastAsia" w:eastAsiaTheme="majorEastAsia"/>
          <w:color w:val="000000" w:themeColor="text1"/>
          <w:sz w:val="24"/>
          <w:highlight w:val="none"/>
          <w14:textFill>
            <w14:solidFill>
              <w14:schemeClr w14:val="tx1"/>
            </w14:solidFill>
          </w14:textFill>
        </w:rPr>
        <w:t>.2 支付方式：</w:t>
      </w:r>
    </w:p>
    <w:p w14:paraId="3A8E43A8">
      <w:pPr>
        <w:spacing w:before="31" w:beforeLines="10" w:after="31" w:afterLines="10" w:line="440" w:lineRule="exact"/>
        <w:ind w:firstLine="480" w:firstLineChars="200"/>
        <w:rPr>
          <w:rFonts w:hint="default" w:asciiTheme="majorEastAsia" w:hAnsiTheme="majorEastAsia" w:eastAsiaTheme="majorEastAsia"/>
          <w:color w:val="000000" w:themeColor="text1"/>
          <w:sz w:val="24"/>
          <w:highlight w:val="none"/>
          <w:lang w:val="en-US"/>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w:t>
      </w:r>
      <w:r>
        <w:rPr>
          <w:rStyle w:val="141"/>
          <w:rFonts w:hint="eastAsia" w:asciiTheme="minorEastAsia" w:hAnsiTheme="minorEastAsia" w:eastAsiaTheme="minorEastAsia"/>
          <w:highlight w:val="none"/>
        </w:rPr>
        <w:t>按照专利申请批次，据实结算，全年总费用不超过合同金额;先支付结算金额的 80% ，结算金额的 20% 为考核结算金额，根据年终考核结果再进行支付。</w:t>
      </w:r>
    </w:p>
    <w:p w14:paraId="41E317D3">
      <w:pPr>
        <w:pStyle w:val="5"/>
        <w:spacing w:line="360" w:lineRule="auto"/>
        <w:ind w:firstLine="417" w:firstLineChars="174"/>
        <w:rPr>
          <w:rStyle w:val="141"/>
          <w:rFonts w:hint="eastAsia" w:asciiTheme="minorEastAsia" w:hAnsiTheme="minorEastAsia" w:eastAsiaTheme="minorEastAsia"/>
          <w:highlight w:val="none"/>
        </w:rPr>
      </w:pPr>
      <w:r>
        <w:rPr>
          <w:rFonts w:asciiTheme="majorEastAsia" w:hAnsiTheme="majorEastAsia" w:eastAsiaTheme="majorEastAsia"/>
          <w:color w:val="000000" w:themeColor="text1"/>
          <w:sz w:val="24"/>
          <w:szCs w:val="24"/>
          <w:highlight w:val="none"/>
          <w14:textFill>
            <w14:solidFill>
              <w14:schemeClr w14:val="tx1"/>
            </w14:solidFill>
          </w14:textFill>
        </w:rPr>
        <w:t>（2）</w:t>
      </w:r>
      <w:r>
        <w:rPr>
          <w:rStyle w:val="141"/>
          <w:rFonts w:hint="eastAsia" w:asciiTheme="minorEastAsia" w:hAnsiTheme="minorEastAsia" w:eastAsiaTheme="minorEastAsia"/>
          <w:highlight w:val="none"/>
        </w:rPr>
        <w:t>由专利代理公司按批次出具专利账单，提供请款函，甲方支付相关费用后专利代理公司15天内出具等额合规发票。</w:t>
      </w:r>
    </w:p>
    <w:p w14:paraId="1CA3FB63">
      <w:pPr>
        <w:pStyle w:val="5"/>
        <w:spacing w:line="360" w:lineRule="auto"/>
        <w:ind w:firstLine="417" w:firstLineChars="174"/>
        <w:rPr>
          <w:rStyle w:val="141"/>
          <w:rFonts w:hint="eastAsia" w:asciiTheme="minorEastAsia" w:hAnsiTheme="minorEastAsia" w:eastAsiaTheme="minorEastAsia"/>
          <w:highlight w:val="none"/>
          <w:lang w:val="en-US"/>
        </w:rPr>
      </w:pPr>
      <w:r>
        <w:rPr>
          <w:rStyle w:val="141"/>
          <w:rFonts w:hint="eastAsia" w:asciiTheme="minorEastAsia" w:hAnsiTheme="minorEastAsia" w:eastAsiaTheme="minorEastAsia"/>
          <w:highlight w:val="none"/>
          <w:lang w:val="en-US"/>
        </w:rPr>
        <w:t>2.3考核制度</w:t>
      </w:r>
    </w:p>
    <w:p w14:paraId="56679A52">
      <w:pPr>
        <w:pStyle w:val="5"/>
        <w:spacing w:line="360" w:lineRule="auto"/>
        <w:ind w:firstLine="417" w:firstLineChars="174"/>
        <w:rPr>
          <w:rStyle w:val="141"/>
          <w:rFonts w:hint="default" w:asciiTheme="minorEastAsia" w:hAnsiTheme="minorEastAsia" w:eastAsiaTheme="minorEastAsia"/>
          <w:highlight w:val="none"/>
          <w:lang w:val="en-US"/>
        </w:rPr>
      </w:pPr>
      <w:r>
        <w:rPr>
          <w:rStyle w:val="141"/>
          <w:rFonts w:hint="eastAsia" w:asciiTheme="minorEastAsia" w:hAnsiTheme="minorEastAsia" w:eastAsiaTheme="minorEastAsia"/>
          <w:highlight w:val="none"/>
          <w:lang w:val="en-US"/>
        </w:rPr>
        <w:t xml:space="preserve">                         专利代理服务项目考核表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4018"/>
        <w:gridCol w:w="1371"/>
        <w:gridCol w:w="2484"/>
      </w:tblGrid>
      <w:tr w14:paraId="4BFD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54382649">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考核条款</w:t>
            </w:r>
          </w:p>
        </w:tc>
        <w:tc>
          <w:tcPr>
            <w:tcW w:w="4018" w:type="dxa"/>
          </w:tcPr>
          <w:p w14:paraId="01CE044D">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考核要求</w:t>
            </w:r>
          </w:p>
        </w:tc>
        <w:tc>
          <w:tcPr>
            <w:tcW w:w="1371" w:type="dxa"/>
          </w:tcPr>
          <w:p w14:paraId="411D1EE8">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达标情况</w:t>
            </w:r>
          </w:p>
        </w:tc>
        <w:tc>
          <w:tcPr>
            <w:tcW w:w="2484" w:type="dxa"/>
          </w:tcPr>
          <w:p w14:paraId="18F2B9A6">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备注</w:t>
            </w:r>
          </w:p>
        </w:tc>
      </w:tr>
      <w:tr w14:paraId="4BDC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7E5F8C64">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（1）</w:t>
            </w:r>
            <w:r>
              <w:rPr>
                <w:rStyle w:val="141"/>
                <w:rFonts w:hint="default" w:asciiTheme="minorEastAsia" w:hAnsiTheme="minorEastAsia" w:eastAsiaTheme="minorEastAsia"/>
                <w:sz w:val="22"/>
                <w:szCs w:val="22"/>
                <w:highlight w:val="none"/>
                <w:vertAlign w:val="baseline"/>
                <w:lang w:val="en-US"/>
              </w:rPr>
              <w:t>非正常专利前置评估</w:t>
            </w:r>
          </w:p>
        </w:tc>
        <w:tc>
          <w:tcPr>
            <w:tcW w:w="4018" w:type="dxa"/>
          </w:tcPr>
          <w:p w14:paraId="4DCCC6A1">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乙方</w:t>
            </w:r>
            <w:r>
              <w:rPr>
                <w:rStyle w:val="141"/>
                <w:rFonts w:hint="default" w:asciiTheme="minorEastAsia" w:hAnsiTheme="minorEastAsia" w:eastAsiaTheme="minorEastAsia"/>
                <w:sz w:val="22"/>
                <w:szCs w:val="22"/>
                <w:highlight w:val="none"/>
                <w:vertAlign w:val="baseline"/>
                <w:lang w:val="en-US"/>
              </w:rPr>
              <w:t>对</w:t>
            </w:r>
            <w:r>
              <w:rPr>
                <w:rStyle w:val="141"/>
                <w:rFonts w:hint="eastAsia" w:asciiTheme="minorEastAsia" w:hAnsiTheme="minorEastAsia" w:eastAsiaTheme="minorEastAsia"/>
                <w:sz w:val="22"/>
                <w:szCs w:val="22"/>
                <w:highlight w:val="none"/>
                <w:vertAlign w:val="baseline"/>
                <w:lang w:val="en-US"/>
              </w:rPr>
              <w:t>甲方</w:t>
            </w:r>
            <w:r>
              <w:rPr>
                <w:rStyle w:val="141"/>
                <w:rFonts w:hint="default" w:asciiTheme="minorEastAsia" w:hAnsiTheme="minorEastAsia" w:eastAsiaTheme="minorEastAsia"/>
                <w:sz w:val="22"/>
                <w:szCs w:val="22"/>
                <w:highlight w:val="none"/>
                <w:vertAlign w:val="baseline"/>
                <w:lang w:val="en-US"/>
              </w:rPr>
              <w:t>提交的专利进行前置审查，不得出现被认定的非正常专利</w:t>
            </w:r>
          </w:p>
        </w:tc>
        <w:tc>
          <w:tcPr>
            <w:tcW w:w="1371" w:type="dxa"/>
          </w:tcPr>
          <w:p w14:paraId="465D15BF">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2D4DBF0D">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2D05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7724952B">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（2）专利价值评估</w:t>
            </w:r>
          </w:p>
        </w:tc>
        <w:tc>
          <w:tcPr>
            <w:tcW w:w="4018" w:type="dxa"/>
          </w:tcPr>
          <w:p w14:paraId="6D22A937">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default" w:asciiTheme="minorEastAsia" w:hAnsiTheme="minorEastAsia" w:eastAsiaTheme="minorEastAsia"/>
                <w:sz w:val="22"/>
                <w:szCs w:val="22"/>
                <w:highlight w:val="none"/>
                <w:vertAlign w:val="baseline"/>
              </w:rPr>
              <w:t>甲方提供3项专利成果，乙方评估专利成果转化应用的市场价值，1个月内出具转化可行性报告</w:t>
            </w:r>
          </w:p>
        </w:tc>
        <w:tc>
          <w:tcPr>
            <w:tcW w:w="1371" w:type="dxa"/>
          </w:tcPr>
          <w:p w14:paraId="197C4DE3">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409EB467">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1562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02C7FC9D">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（3）科技成果转化</w:t>
            </w:r>
          </w:p>
        </w:tc>
        <w:tc>
          <w:tcPr>
            <w:tcW w:w="4018" w:type="dxa"/>
          </w:tcPr>
          <w:p w14:paraId="6DF05ED0">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default" w:asciiTheme="minorEastAsia" w:hAnsiTheme="minorEastAsia" w:eastAsiaTheme="minorEastAsia"/>
                <w:sz w:val="22"/>
                <w:szCs w:val="22"/>
                <w:highlight w:val="none"/>
                <w:vertAlign w:val="baseline"/>
                <w:lang w:val="en-US"/>
              </w:rPr>
              <w:t>提供转化渠道及指导，推动成果转化不得低于1项</w:t>
            </w:r>
          </w:p>
        </w:tc>
        <w:tc>
          <w:tcPr>
            <w:tcW w:w="1371" w:type="dxa"/>
          </w:tcPr>
          <w:p w14:paraId="1F53C958">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50992487">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27F9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08A84B0A">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（4）专利相关培训</w:t>
            </w:r>
          </w:p>
        </w:tc>
        <w:tc>
          <w:tcPr>
            <w:tcW w:w="4018" w:type="dxa"/>
          </w:tcPr>
          <w:p w14:paraId="50F4E5F7">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default" w:asciiTheme="minorEastAsia" w:hAnsiTheme="minorEastAsia" w:eastAsiaTheme="minorEastAsia"/>
                <w:sz w:val="22"/>
                <w:szCs w:val="22"/>
                <w:highlight w:val="none"/>
                <w:vertAlign w:val="baseline"/>
                <w:lang w:val="en-US"/>
              </w:rPr>
              <w:t>根据医院需求开展全院性专利相关培训，不得低于1次</w:t>
            </w:r>
          </w:p>
        </w:tc>
        <w:tc>
          <w:tcPr>
            <w:tcW w:w="1371" w:type="dxa"/>
          </w:tcPr>
          <w:p w14:paraId="4C10494A">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734AA019">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3284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3914F16D">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（5）服务时间</w:t>
            </w:r>
          </w:p>
        </w:tc>
        <w:tc>
          <w:tcPr>
            <w:tcW w:w="4018" w:type="dxa"/>
          </w:tcPr>
          <w:p w14:paraId="1E6E833B">
            <w:pPr>
              <w:pStyle w:val="5"/>
              <w:keepNext w:val="0"/>
              <w:keepLines w:val="0"/>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default" w:asciiTheme="minorEastAsia" w:hAnsiTheme="minorEastAsia" w:eastAsiaTheme="minorEastAsia"/>
                <w:sz w:val="22"/>
                <w:szCs w:val="22"/>
                <w:highlight w:val="none"/>
                <w:vertAlign w:val="baseline"/>
                <w:lang w:val="en-US"/>
              </w:rPr>
              <w:t>具有充足的技术人员指导，我院提交专利技术交底书后，1个月内要完成专利申请提交</w:t>
            </w:r>
          </w:p>
        </w:tc>
        <w:tc>
          <w:tcPr>
            <w:tcW w:w="1371" w:type="dxa"/>
          </w:tcPr>
          <w:p w14:paraId="4F66918D">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c>
          <w:tcPr>
            <w:tcW w:w="2484" w:type="dxa"/>
          </w:tcPr>
          <w:p w14:paraId="4E1D85C0">
            <w:pPr>
              <w:pStyle w:val="5"/>
              <w:keepNext w:val="0"/>
              <w:keepLines w:val="0"/>
              <w:suppressLineNumbers w:val="0"/>
              <w:spacing w:before="0" w:beforeAutospacing="0" w:after="0" w:afterAutospacing="0" w:line="360" w:lineRule="auto"/>
              <w:ind w:left="0" w:right="0"/>
              <w:rPr>
                <w:rStyle w:val="141"/>
                <w:rFonts w:hint="default" w:asciiTheme="minorEastAsia" w:hAnsiTheme="minorEastAsia" w:eastAsiaTheme="minorEastAsia"/>
                <w:sz w:val="22"/>
                <w:szCs w:val="22"/>
                <w:highlight w:val="none"/>
                <w:vertAlign w:val="baseline"/>
                <w:lang w:val="en-US"/>
              </w:rPr>
            </w:pPr>
          </w:p>
        </w:tc>
      </w:tr>
      <w:tr w14:paraId="3B80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tcPr>
          <w:p w14:paraId="4DE65E1B">
            <w:pPr>
              <w:pStyle w:val="5"/>
              <w:keepNext w:val="0"/>
              <w:keepLines w:val="0"/>
              <w:numPr>
                <w:ilvl w:val="0"/>
                <w:numId w:val="4"/>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上述第（1）考核条款不达标，</w:t>
            </w:r>
            <w:r>
              <w:rPr>
                <w:rStyle w:val="141"/>
                <w:rFonts w:hint="eastAsia" w:asciiTheme="minorEastAsia" w:hAnsiTheme="minorEastAsia" w:eastAsiaTheme="minorEastAsia"/>
                <w:sz w:val="22"/>
                <w:szCs w:val="22"/>
                <w:highlight w:val="none"/>
              </w:rPr>
              <w:t>不予支付考核结算金额</w:t>
            </w:r>
          </w:p>
          <w:p w14:paraId="7E44C21A">
            <w:pPr>
              <w:pStyle w:val="5"/>
              <w:keepNext w:val="0"/>
              <w:keepLines w:val="0"/>
              <w:numPr>
                <w:ilvl w:val="0"/>
                <w:numId w:val="4"/>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上述第（2）—（5）考核条款，每项考核条款不达标，扣除考核结算金额的25%</w:t>
            </w:r>
          </w:p>
          <w:p w14:paraId="127A2EE9">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 xml:space="preserve">   本年度考核结算金额共________元，__________考核条款不达标，扣除金额_________元，扣除后的考核结算金额为__________元，按合同约定支付考核结算金额__________元</w:t>
            </w:r>
          </w:p>
          <w:p w14:paraId="57436292">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p>
          <w:p w14:paraId="066E38ED">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 xml:space="preserve">                                                             考核部门：科教科</w:t>
            </w:r>
          </w:p>
          <w:p w14:paraId="3F104194">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 xml:space="preserve">                                                            考核人员：</w:t>
            </w:r>
          </w:p>
          <w:p w14:paraId="62F74507">
            <w:pPr>
              <w:pStyle w:val="5"/>
              <w:keepNext w:val="0"/>
              <w:keepLines w:val="0"/>
              <w:numPr>
                <w:ilvl w:val="-1"/>
                <w:numId w:val="0"/>
              </w:numPr>
              <w:suppressLineNumbers w:val="0"/>
              <w:spacing w:before="0" w:beforeAutospacing="0" w:after="0" w:afterAutospacing="0" w:line="360" w:lineRule="auto"/>
              <w:ind w:left="0" w:right="0" w:firstLine="0"/>
              <w:rPr>
                <w:rStyle w:val="141"/>
                <w:rFonts w:hint="default" w:asciiTheme="minorEastAsia" w:hAnsiTheme="minorEastAsia" w:eastAsiaTheme="minorEastAsia"/>
                <w:sz w:val="22"/>
                <w:szCs w:val="22"/>
                <w:highlight w:val="none"/>
                <w:vertAlign w:val="baseline"/>
                <w:lang w:val="en-US"/>
              </w:rPr>
            </w:pPr>
            <w:r>
              <w:rPr>
                <w:rStyle w:val="141"/>
                <w:rFonts w:hint="eastAsia" w:asciiTheme="minorEastAsia" w:hAnsiTheme="minorEastAsia" w:eastAsiaTheme="minorEastAsia"/>
                <w:sz w:val="22"/>
                <w:szCs w:val="22"/>
                <w:highlight w:val="none"/>
                <w:vertAlign w:val="baseline"/>
                <w:lang w:val="en-US"/>
              </w:rPr>
              <w:t xml:space="preserve">                                                                年    月    日</w:t>
            </w:r>
          </w:p>
        </w:tc>
      </w:tr>
    </w:tbl>
    <w:p w14:paraId="3D76CEC6">
      <w:pPr>
        <w:pStyle w:val="5"/>
        <w:spacing w:line="360" w:lineRule="auto"/>
        <w:ind w:firstLine="417" w:firstLineChars="174"/>
        <w:rPr>
          <w:rStyle w:val="141"/>
          <w:rFonts w:hint="default" w:asciiTheme="minorEastAsia" w:hAnsiTheme="minorEastAsia" w:eastAsiaTheme="minorEastAsia"/>
          <w:highlight w:val="none"/>
          <w:lang w:val="en-US"/>
        </w:rPr>
      </w:pPr>
    </w:p>
    <w:p w14:paraId="6D0418B7">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2</w:t>
      </w:r>
      <w:r>
        <w:rPr>
          <w:rFonts w:asciiTheme="majorEastAsia" w:hAnsiTheme="majorEastAsia" w:eastAsiaTheme="majorEastAsia"/>
          <w:color w:val="000000" w:themeColor="text1"/>
          <w:sz w:val="24"/>
          <w:highlight w:val="none"/>
          <w14:textFill>
            <w14:solidFill>
              <w14:schemeClr w14:val="tx1"/>
            </w14:solidFill>
          </w14:textFill>
        </w:rPr>
        <w:t>.</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4</w:t>
      </w:r>
      <w:r>
        <w:rPr>
          <w:rFonts w:asciiTheme="majorEastAsia" w:hAnsiTheme="majorEastAsia" w:eastAsiaTheme="majorEastAsia"/>
          <w:color w:val="000000" w:themeColor="text1"/>
          <w:sz w:val="24"/>
          <w:highlight w:val="none"/>
          <w14:textFill>
            <w14:solidFill>
              <w14:schemeClr w14:val="tx1"/>
            </w14:solidFill>
          </w14:textFill>
        </w:rPr>
        <w:t xml:space="preserve"> 乙方</w:t>
      </w:r>
      <w:r>
        <w:rPr>
          <w:rFonts w:hint="eastAsia" w:asciiTheme="majorEastAsia" w:hAnsiTheme="majorEastAsia" w:eastAsiaTheme="majorEastAsia"/>
          <w:color w:val="000000" w:themeColor="text1"/>
          <w:sz w:val="24"/>
          <w:highlight w:val="none"/>
          <w14:textFill>
            <w14:solidFill>
              <w14:schemeClr w14:val="tx1"/>
            </w14:solidFill>
          </w14:textFill>
        </w:rPr>
        <w:t>银行</w:t>
      </w:r>
      <w:r>
        <w:rPr>
          <w:rFonts w:asciiTheme="majorEastAsia" w:hAnsiTheme="majorEastAsia" w:eastAsiaTheme="majorEastAsia"/>
          <w:color w:val="000000" w:themeColor="text1"/>
          <w:sz w:val="24"/>
          <w:highlight w:val="none"/>
          <w14:textFill>
            <w14:solidFill>
              <w14:schemeClr w14:val="tx1"/>
            </w14:solidFill>
          </w14:textFill>
        </w:rPr>
        <w:t>帐号：</w:t>
      </w:r>
    </w:p>
    <w:p w14:paraId="112C63F7">
      <w:pPr>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b/>
          <w:color w:val="000000" w:themeColor="text1"/>
          <w:sz w:val="24"/>
          <w:highlight w:val="none"/>
          <w14:textFill>
            <w14:solidFill>
              <w14:schemeClr w14:val="tx1"/>
            </w14:solidFill>
          </w14:textFill>
        </w:rPr>
        <w:t>开</w:t>
      </w:r>
      <w:r>
        <w:rPr>
          <w:rFonts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asciiTheme="majorEastAsia" w:hAnsiTheme="majorEastAsia" w:eastAsiaTheme="majorEastAsia"/>
          <w:b/>
          <w:color w:val="000000" w:themeColor="text1"/>
          <w:sz w:val="24"/>
          <w:highlight w:val="none"/>
          <w14:textFill>
            <w14:solidFill>
              <w14:schemeClr w14:val="tx1"/>
            </w14:solidFill>
          </w14:textFill>
        </w:rPr>
        <w:t>户</w:t>
      </w:r>
      <w:r>
        <w:rPr>
          <w:rFonts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asciiTheme="majorEastAsia" w:hAnsiTheme="majorEastAsia" w:eastAsiaTheme="majorEastAsia"/>
          <w:b/>
          <w:color w:val="000000" w:themeColor="text1"/>
          <w:sz w:val="24"/>
          <w:highlight w:val="none"/>
          <w14:textFill>
            <w14:solidFill>
              <w14:schemeClr w14:val="tx1"/>
            </w14:solidFill>
          </w14:textFill>
        </w:rPr>
        <w:t>名：</w:t>
      </w:r>
      <w:r>
        <w:rPr>
          <w:rFonts w:asciiTheme="majorEastAsia" w:hAnsiTheme="majorEastAsia" w:eastAsiaTheme="majorEastAsia"/>
          <w:b/>
          <w:color w:val="000000" w:themeColor="text1"/>
          <w:sz w:val="24"/>
          <w:highlight w:val="none"/>
          <w14:textFill>
            <w14:solidFill>
              <w14:schemeClr w14:val="tx1"/>
            </w14:solidFill>
          </w14:textFill>
        </w:rPr>
        <w:t xml:space="preserve"> </w:t>
      </w:r>
    </w:p>
    <w:p w14:paraId="1CEA13E9">
      <w:pPr>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b/>
          <w:color w:val="000000" w:themeColor="text1"/>
          <w:sz w:val="24"/>
          <w:highlight w:val="none"/>
          <w14:textFill>
            <w14:solidFill>
              <w14:schemeClr w14:val="tx1"/>
            </w14:solidFill>
          </w14:textFill>
        </w:rPr>
        <w:t>开</w:t>
      </w:r>
      <w:r>
        <w:rPr>
          <w:rFonts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asciiTheme="majorEastAsia" w:hAnsiTheme="majorEastAsia" w:eastAsiaTheme="majorEastAsia"/>
          <w:b/>
          <w:color w:val="000000" w:themeColor="text1"/>
          <w:sz w:val="24"/>
          <w:highlight w:val="none"/>
          <w14:textFill>
            <w14:solidFill>
              <w14:schemeClr w14:val="tx1"/>
            </w14:solidFill>
          </w14:textFill>
        </w:rPr>
        <w:t>户</w:t>
      </w:r>
      <w:r>
        <w:rPr>
          <w:rFonts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asciiTheme="majorEastAsia" w:hAnsiTheme="majorEastAsia" w:eastAsiaTheme="majorEastAsia"/>
          <w:b/>
          <w:color w:val="000000" w:themeColor="text1"/>
          <w:sz w:val="24"/>
          <w:highlight w:val="none"/>
          <w14:textFill>
            <w14:solidFill>
              <w14:schemeClr w14:val="tx1"/>
            </w14:solidFill>
          </w14:textFill>
        </w:rPr>
        <w:t>行：</w:t>
      </w:r>
    </w:p>
    <w:p w14:paraId="62085FC4">
      <w:pPr>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b/>
          <w:color w:val="000000" w:themeColor="text1"/>
          <w:sz w:val="24"/>
          <w:highlight w:val="none"/>
          <w14:textFill>
            <w14:solidFill>
              <w14:schemeClr w14:val="tx1"/>
            </w14:solidFill>
          </w14:textFill>
        </w:rPr>
        <w:t>银行账户：</w:t>
      </w:r>
    </w:p>
    <w:p w14:paraId="22073FC5">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2</w:t>
      </w:r>
      <w:r>
        <w:rPr>
          <w:rFonts w:asciiTheme="majorEastAsia" w:hAnsiTheme="majorEastAsia" w:eastAsiaTheme="majorEastAsia"/>
          <w:color w:val="000000" w:themeColor="text1"/>
          <w:sz w:val="24"/>
          <w:highlight w:val="none"/>
          <w14:textFill>
            <w14:solidFill>
              <w14:schemeClr w14:val="tx1"/>
            </w14:solidFill>
          </w14:textFill>
        </w:rPr>
        <w:t>.</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5</w:t>
      </w:r>
      <w:r>
        <w:rPr>
          <w:rFonts w:asciiTheme="majorEastAsia" w:hAnsiTheme="majorEastAsia" w:eastAsiaTheme="majorEastAsia"/>
          <w:color w:val="000000" w:themeColor="text1"/>
          <w:sz w:val="24"/>
          <w:highlight w:val="none"/>
          <w14:textFill>
            <w14:solidFill>
              <w14:schemeClr w14:val="tx1"/>
            </w14:solidFill>
          </w14:textFill>
        </w:rPr>
        <w:t>、乙方保证上述银行账户信息的正确性。如甲方已汇款，但乙方在合理时间内未收到相应款项，甲方应提供汇款凭证，以便乙方核对。</w:t>
      </w:r>
    </w:p>
    <w:p w14:paraId="688FBE78">
      <w:pPr>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第五条    保密义务</w:t>
      </w:r>
    </w:p>
    <w:p w14:paraId="248B971C">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乙方有义务对甲方以书面形式明确告知乙方的技术信息承担保密责任，保密义务起始时间为乙方获得甲方交付的记载有技术秘密的书面资料之日。乙方承担保密责任的注意程度不能低于乙方对自身商业秘密采取保密措施的注意程度。</w:t>
      </w:r>
    </w:p>
    <w:p w14:paraId="487454AA">
      <w:pPr>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第六条    违约责任</w:t>
      </w:r>
    </w:p>
    <w:p w14:paraId="3E70AF9A">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1</w:t>
      </w:r>
      <w:r>
        <w:rPr>
          <w:rFonts w:asciiTheme="majorEastAsia" w:hAnsiTheme="majorEastAsia" w:eastAsiaTheme="majorEastAsia"/>
          <w:color w:val="000000" w:themeColor="text1"/>
          <w:sz w:val="24"/>
          <w:highlight w:val="none"/>
          <w14:textFill>
            <w14:solidFill>
              <w14:schemeClr w14:val="tx1"/>
            </w14:solidFill>
          </w14:textFill>
        </w:rPr>
        <w:t xml:space="preserve">. 如甲方违反本协议有关费用支付的规定，逾期支付乙方根据本协议应收取的各种费用，造成相关注册或保护程序终止或无效的，乙方对此不承担任何责任，但因乙方原因导致的除外。 </w:t>
      </w:r>
    </w:p>
    <w:p w14:paraId="63CDF535">
      <w:pPr>
        <w:spacing w:before="31" w:beforeLines="10" w:after="31" w:afterLines="10" w:line="440" w:lineRule="exact"/>
        <w:ind w:firstLine="480" w:firstLineChars="200"/>
        <w:rPr>
          <w:rFonts w:hint="eastAsia"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2</w:t>
      </w:r>
      <w:r>
        <w:rPr>
          <w:rFonts w:hint="eastAsia" w:asciiTheme="majorEastAsia" w:hAnsiTheme="majorEastAsia" w:eastAsiaTheme="majorEastAsia"/>
          <w:color w:val="000000" w:themeColor="text1"/>
          <w:sz w:val="24"/>
          <w:highlight w:val="none"/>
          <w14:textFill>
            <w14:solidFill>
              <w14:schemeClr w14:val="tx1"/>
            </w14:solidFill>
          </w14:textFill>
        </w:rPr>
        <w:t>.如乙方的服务存在违约行为</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w:t>
      </w:r>
      <w:r>
        <w:rPr>
          <w:rFonts w:hint="eastAsia" w:asciiTheme="majorEastAsia" w:hAnsiTheme="majorEastAsia" w:eastAsiaTheme="majorEastAsia"/>
          <w:color w:val="000000" w:themeColor="text1"/>
          <w:sz w:val="24"/>
          <w:highlight w:val="none"/>
          <w14:textFill>
            <w14:solidFill>
              <w14:schemeClr w14:val="tx1"/>
            </w14:solidFill>
          </w14:textFill>
        </w:rPr>
        <w:t>且未能在甲方指定期限内整改到位的，甲方有权单方面终止合同</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,乙方需支付合同总额20%违约金</w:t>
      </w:r>
      <w:r>
        <w:rPr>
          <w:rFonts w:hint="eastAsia" w:asciiTheme="majorEastAsia" w:hAnsiTheme="majorEastAsia" w:eastAsiaTheme="majorEastAsia"/>
          <w:color w:val="000000" w:themeColor="text1"/>
          <w:sz w:val="24"/>
          <w:highlight w:val="none"/>
          <w14:textFill>
            <w14:solidFill>
              <w14:schemeClr w14:val="tx1"/>
            </w14:solidFill>
          </w14:textFill>
        </w:rPr>
        <w:t>。</w:t>
      </w:r>
    </w:p>
    <w:p w14:paraId="133B6A5B">
      <w:pPr>
        <w:spacing w:before="31" w:beforeLines="10" w:after="31" w:afterLines="10" w:line="440" w:lineRule="exact"/>
        <w:ind w:firstLine="480" w:firstLineChars="200"/>
        <w:rPr>
          <w:rFonts w:hint="default" w:asciiTheme="majorEastAsia" w:hAnsiTheme="majorEastAsia" w:eastAsiaTheme="majorEastAsia"/>
          <w:color w:val="000000" w:themeColor="text1"/>
          <w:sz w:val="24"/>
          <w:highlight w:val="none"/>
          <w:lang w:val="en-US" w:eastAsia="zh-CN"/>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3.因乙方过错导致甲方知识产权失效的，乙方需赔偿甲方直接及间接损失。</w:t>
      </w:r>
    </w:p>
    <w:p w14:paraId="78EF56AA">
      <w:pPr>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p>
    <w:p w14:paraId="6781546E">
      <w:pPr>
        <w:spacing w:before="31" w:beforeLines="10" w:after="31" w:afterLines="10" w:line="440" w:lineRule="exact"/>
        <w:ind w:firstLine="480" w:firstLineChars="200"/>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第七条    协议的解除</w:t>
      </w:r>
    </w:p>
    <w:p w14:paraId="222EAD65">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 xml:space="preserve"> 如因乙方违约导致本协议终止履行，乙方应退还未履行部分的代理费、顾问费用剩余部分。如造成甲方损失的，乙方应赔偿甲方因此受到的实际损失。 </w:t>
      </w:r>
    </w:p>
    <w:p w14:paraId="32854E92">
      <w:pPr>
        <w:tabs>
          <w:tab w:val="left" w:pos="540"/>
          <w:tab w:val="left" w:pos="900"/>
        </w:tabs>
        <w:spacing w:before="31" w:beforeLines="10" w:after="31" w:afterLines="10" w:line="440" w:lineRule="exact"/>
        <w:ind w:firstLine="470" w:firstLineChars="196"/>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第八条</w:t>
      </w:r>
      <w:r>
        <w:rPr>
          <w:rFonts w:hint="eastAsia" w:asciiTheme="majorEastAsia" w:hAnsiTheme="majorEastAsia" w:eastAsiaTheme="majorEastAsia"/>
          <w:b/>
          <w:color w:val="000000" w:themeColor="text1"/>
          <w:sz w:val="24"/>
          <w:highlight w:val="none"/>
          <w14:textFill>
            <w14:solidFill>
              <w14:schemeClr w14:val="tx1"/>
            </w14:solidFill>
          </w14:textFill>
        </w:rPr>
        <w:t xml:space="preserve">   </w:t>
      </w:r>
      <w:r>
        <w:rPr>
          <w:rFonts w:asciiTheme="majorEastAsia" w:hAnsiTheme="majorEastAsia" w:eastAsiaTheme="majorEastAsia"/>
          <w:b/>
          <w:color w:val="000000" w:themeColor="text1"/>
          <w:sz w:val="24"/>
          <w:highlight w:val="none"/>
          <w14:textFill>
            <w14:solidFill>
              <w14:schemeClr w14:val="tx1"/>
            </w14:solidFill>
          </w14:textFill>
        </w:rPr>
        <w:t>协议生效及期限</w:t>
      </w:r>
    </w:p>
    <w:p w14:paraId="4DA4229F">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1、本协议自甲、乙双方代表人签字并各自加盖公章（或合同专用章）之日起生效。</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合同期限</w:t>
      </w:r>
      <w:r>
        <w:rPr>
          <w:rFonts w:hint="eastAsia" w:asciiTheme="majorEastAsia" w:hAnsiTheme="majorEastAsia" w:eastAsiaTheme="majorEastAsia"/>
          <w:color w:val="000000" w:themeColor="text1"/>
          <w:sz w:val="24"/>
          <w:highlight w:val="none"/>
          <w14:textFill>
            <w14:solidFill>
              <w14:schemeClr w14:val="tx1"/>
            </w14:solidFill>
          </w14:textFill>
        </w:rPr>
        <w:t>：1年，以合同签订日为起始时间，以合同金额或服务周期先到者为合同结束时间，考核周期与</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合同期限</w:t>
      </w:r>
      <w:r>
        <w:rPr>
          <w:rFonts w:hint="eastAsia" w:asciiTheme="majorEastAsia" w:hAnsiTheme="majorEastAsia" w:eastAsiaTheme="majorEastAsia"/>
          <w:color w:val="000000" w:themeColor="text1"/>
          <w:sz w:val="24"/>
          <w:highlight w:val="none"/>
          <w14:textFill>
            <w14:solidFill>
              <w14:schemeClr w14:val="tx1"/>
            </w14:solidFill>
          </w14:textFill>
        </w:rPr>
        <w:t>一致。</w:t>
      </w:r>
    </w:p>
    <w:p w14:paraId="4C20ADC8">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2、乙方</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在</w:t>
      </w:r>
      <w:r>
        <w:rPr>
          <w:rFonts w:asciiTheme="majorEastAsia" w:hAnsiTheme="majorEastAsia" w:eastAsiaTheme="majorEastAsia"/>
          <w:color w:val="000000" w:themeColor="text1"/>
          <w:sz w:val="24"/>
          <w:highlight w:val="none"/>
          <w14:textFill>
            <w14:solidFill>
              <w14:schemeClr w14:val="tx1"/>
            </w14:solidFill>
          </w14:textFill>
        </w:rPr>
        <w:t>接受甲方委托的具体知识产权事务之日起，应当</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按照约定的时限</w:t>
      </w:r>
      <w:r>
        <w:rPr>
          <w:rFonts w:asciiTheme="majorEastAsia" w:hAnsiTheme="majorEastAsia" w:eastAsiaTheme="majorEastAsia"/>
          <w:color w:val="000000" w:themeColor="text1"/>
          <w:sz w:val="24"/>
          <w:highlight w:val="none"/>
          <w14:textFill>
            <w14:solidFill>
              <w14:schemeClr w14:val="tx1"/>
            </w14:solidFill>
          </w14:textFill>
        </w:rPr>
        <w:t>完成专利申请文件的撰写、递交、答复审查意见以及其他取得专利证书的必要事项。</w:t>
      </w:r>
    </w:p>
    <w:p w14:paraId="27F8B637">
      <w:pPr>
        <w:spacing w:before="31" w:beforeLines="10" w:after="31" w:afterLines="10" w:line="440" w:lineRule="exact"/>
        <w:ind w:firstLine="57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第九条  文本</w:t>
      </w:r>
    </w:p>
    <w:p w14:paraId="31366AF5">
      <w:pPr>
        <w:spacing w:before="31" w:beforeLines="10" w:after="31" w:afterLines="10" w:line="440" w:lineRule="exact"/>
        <w:ind w:firstLine="57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本协议壹式</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叁</w:t>
      </w:r>
      <w:r>
        <w:rPr>
          <w:rFonts w:asciiTheme="majorEastAsia" w:hAnsiTheme="majorEastAsia" w:eastAsiaTheme="majorEastAsia"/>
          <w:color w:val="000000" w:themeColor="text1"/>
          <w:sz w:val="24"/>
          <w:highlight w:val="none"/>
          <w14:textFill>
            <w14:solidFill>
              <w14:schemeClr w14:val="tx1"/>
            </w14:solidFill>
          </w14:textFill>
        </w:rPr>
        <w:t>份，</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甲方执贰份，乙方</w:t>
      </w:r>
      <w:r>
        <w:rPr>
          <w:rFonts w:asciiTheme="majorEastAsia" w:hAnsiTheme="majorEastAsia" w:eastAsiaTheme="majorEastAsia"/>
          <w:color w:val="000000" w:themeColor="text1"/>
          <w:sz w:val="24"/>
          <w:highlight w:val="none"/>
          <w14:textFill>
            <w14:solidFill>
              <w14:schemeClr w14:val="tx1"/>
            </w14:solidFill>
          </w14:textFill>
        </w:rPr>
        <w:t>执壹份，每份具有同等法律效力。</w:t>
      </w:r>
    </w:p>
    <w:p w14:paraId="2888CB7F">
      <w:pPr>
        <w:spacing w:line="440" w:lineRule="exact"/>
        <w:ind w:firstLine="573"/>
        <w:outlineLvl w:val="9"/>
        <w:rPr>
          <w:rFonts w:asciiTheme="majorEastAsia" w:hAnsiTheme="majorEastAsia" w:eastAsiaTheme="majorEastAsia"/>
          <w:b/>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第十条</w:t>
      </w:r>
      <w:r>
        <w:rPr>
          <w:rFonts w:hint="eastAsia" w:asciiTheme="majorEastAsia" w:hAnsiTheme="majorEastAsia" w:eastAsiaTheme="majorEastAsia"/>
          <w:b/>
          <w:color w:val="000000" w:themeColor="text1"/>
          <w:sz w:val="24"/>
          <w:highlight w:val="none"/>
          <w14:textFill>
            <w14:solidFill>
              <w14:schemeClr w14:val="tx1"/>
            </w14:solidFill>
          </w14:textFill>
        </w:rPr>
        <w:t xml:space="preserve">  </w:t>
      </w:r>
      <w:r>
        <w:rPr>
          <w:rFonts w:asciiTheme="majorEastAsia" w:hAnsiTheme="majorEastAsia" w:eastAsiaTheme="majorEastAsia"/>
          <w:b/>
          <w:color w:val="000000" w:themeColor="text1"/>
          <w:sz w:val="24"/>
          <w:highlight w:val="none"/>
          <w14:textFill>
            <w14:solidFill>
              <w14:schemeClr w14:val="tx1"/>
            </w14:solidFill>
          </w14:textFill>
        </w:rPr>
        <w:t>争议的解决</w:t>
      </w:r>
    </w:p>
    <w:p w14:paraId="0D18759B">
      <w:pPr>
        <w:spacing w:line="440" w:lineRule="exact"/>
        <w:ind w:firstLine="57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本协议履行过程中产生的或与本协议有关的一切争议，均应由双方友好协商解决；协商不成，任何一方可向</w:t>
      </w:r>
      <w:r>
        <w:rPr>
          <w:rFonts w:hint="eastAsia" w:asciiTheme="majorEastAsia" w:hAnsiTheme="majorEastAsia" w:eastAsiaTheme="majorEastAsia"/>
          <w:color w:val="000000" w:themeColor="text1"/>
          <w:sz w:val="24"/>
          <w:highlight w:val="none"/>
          <w14:textFill>
            <w14:solidFill>
              <w14:schemeClr w14:val="tx1"/>
            </w14:solidFill>
          </w14:textFill>
        </w:rPr>
        <w:t>甲方所在地</w:t>
      </w:r>
      <w:r>
        <w:rPr>
          <w:rFonts w:asciiTheme="majorEastAsia" w:hAnsiTheme="majorEastAsia" w:eastAsiaTheme="majorEastAsia"/>
          <w:color w:val="000000" w:themeColor="text1"/>
          <w:sz w:val="24"/>
          <w:highlight w:val="none"/>
          <w14:textFill>
            <w14:solidFill>
              <w14:schemeClr w14:val="tx1"/>
            </w14:solidFill>
          </w14:textFill>
        </w:rPr>
        <w:t>有管辖权法院提起诉讼。</w:t>
      </w:r>
    </w:p>
    <w:p w14:paraId="106EB3CB">
      <w:pPr>
        <w:spacing w:before="31" w:beforeLines="10" w:after="31" w:afterLines="10" w:line="44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第十一条 其他</w:t>
      </w:r>
    </w:p>
    <w:p w14:paraId="4CACBAD4">
      <w:pPr>
        <w:pStyle w:val="5"/>
        <w:spacing w:before="31" w:beforeLines="10" w:after="31" w:afterLines="10"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1. 甲乙双方确认本协议中任何条款的无效不影响本协议任何其他条款的有效性。</w:t>
      </w:r>
    </w:p>
    <w:p w14:paraId="27AADCF3">
      <w:pPr>
        <w:pStyle w:val="5"/>
        <w:spacing w:before="31" w:beforeLines="10" w:after="31" w:afterLines="10"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2. 甲乙双方确认本协议或其中任何条款的任何变更、补充、删除或替代必须以书面形式作出并经双方签字盖章后方可生效。</w:t>
      </w:r>
    </w:p>
    <w:p w14:paraId="001758FA">
      <w:pPr>
        <w:pStyle w:val="5"/>
        <w:spacing w:before="31" w:beforeLines="10" w:after="31" w:afterLines="10"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3. 甲乙双方确认，本协议涉及的其他未尽事宜应由甲乙双方另行协商，签订补充协议。补充协议是本协议的组成部分。</w:t>
      </w:r>
    </w:p>
    <w:p w14:paraId="02EB99CE">
      <w:pPr>
        <w:tabs>
          <w:tab w:val="left" w:pos="3480"/>
        </w:tabs>
        <w:spacing w:before="31" w:beforeLines="10" w:after="31" w:afterLines="10" w:line="440" w:lineRule="exact"/>
        <w:rPr>
          <w:rFonts w:asciiTheme="majorEastAsia" w:hAnsiTheme="majorEastAsia" w:eastAsiaTheme="majorEastAsia"/>
          <w:color w:val="000000" w:themeColor="text1"/>
          <w:sz w:val="24"/>
          <w:highlight w:val="none"/>
          <w14:textFill>
            <w14:solidFill>
              <w14:schemeClr w14:val="tx1"/>
            </w14:solidFill>
          </w14:textFill>
        </w:rPr>
      </w:pPr>
    </w:p>
    <w:tbl>
      <w:tblPr>
        <w:tblStyle w:val="37"/>
        <w:tblW w:w="9039" w:type="dxa"/>
        <w:tblInd w:w="0" w:type="dxa"/>
        <w:tblLayout w:type="fixed"/>
        <w:tblCellMar>
          <w:top w:w="0" w:type="dxa"/>
          <w:left w:w="108" w:type="dxa"/>
          <w:bottom w:w="0" w:type="dxa"/>
          <w:right w:w="108" w:type="dxa"/>
        </w:tblCellMar>
      </w:tblPr>
      <w:tblGrid>
        <w:gridCol w:w="4503"/>
        <w:gridCol w:w="4536"/>
      </w:tblGrid>
      <w:tr w14:paraId="41F58635">
        <w:tblPrEx>
          <w:tblCellMar>
            <w:top w:w="0" w:type="dxa"/>
            <w:left w:w="108" w:type="dxa"/>
            <w:bottom w:w="0" w:type="dxa"/>
            <w:right w:w="108" w:type="dxa"/>
          </w:tblCellMar>
        </w:tblPrEx>
        <w:trPr>
          <w:trHeight w:val="3660" w:hRule="atLeast"/>
        </w:trPr>
        <w:tc>
          <w:tcPr>
            <w:tcW w:w="4503" w:type="dxa"/>
          </w:tcPr>
          <w:p w14:paraId="793F356D">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p>
          <w:p w14:paraId="1F9E2120">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r>
              <w:rPr>
                <w:rFonts w:hint="default" w:asciiTheme="majorEastAsia" w:hAnsiTheme="majorEastAsia" w:eastAsiaTheme="majorEastAsia"/>
                <w:color w:val="000000" w:themeColor="text1"/>
                <w:sz w:val="24"/>
                <w:highlight w:val="none"/>
                <w14:textFill>
                  <w14:solidFill>
                    <w14:schemeClr w14:val="tx1"/>
                  </w14:solidFill>
                </w14:textFill>
              </w:rPr>
              <w:t>甲方：</w:t>
            </w:r>
            <w:r>
              <w:rPr>
                <w:rFonts w:hint="eastAsia" w:asciiTheme="majorEastAsia" w:hAnsiTheme="majorEastAsia" w:eastAsiaTheme="majorEastAsia"/>
                <w:color w:val="000000" w:themeColor="text1"/>
                <w:sz w:val="24"/>
                <w:highlight w:val="none"/>
                <w14:textFill>
                  <w14:solidFill>
                    <w14:schemeClr w14:val="tx1"/>
                  </w14:solidFill>
                </w14:textFill>
              </w:rPr>
              <w:t>广州医科大学附属番禺中心医院</w:t>
            </w:r>
          </w:p>
          <w:p w14:paraId="7F770701">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r>
              <w:rPr>
                <w:rFonts w:hint="default" w:asciiTheme="majorEastAsia" w:hAnsiTheme="majorEastAsia" w:eastAsiaTheme="majorEastAsia"/>
                <w:color w:val="000000" w:themeColor="text1"/>
                <w:sz w:val="24"/>
                <w:highlight w:val="none"/>
                <w14:textFill>
                  <w14:solidFill>
                    <w14:schemeClr w14:val="tx1"/>
                  </w14:solidFill>
                </w14:textFill>
              </w:rPr>
              <w:t>（盖章）</w:t>
            </w:r>
          </w:p>
          <w:p w14:paraId="0A29F70E">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授权代表</w:t>
            </w:r>
            <w:r>
              <w:rPr>
                <w:rFonts w:hint="eastAsia" w:asciiTheme="majorEastAsia" w:hAnsiTheme="majorEastAsia" w:eastAsiaTheme="majorEastAsia"/>
                <w:color w:val="000000" w:themeColor="text1"/>
                <w:sz w:val="24"/>
                <w:highlight w:val="none"/>
                <w14:textFill>
                  <w14:solidFill>
                    <w14:schemeClr w14:val="tx1"/>
                  </w14:solidFill>
                </w14:textFill>
              </w:rPr>
              <w:t>：</w:t>
            </w:r>
          </w:p>
          <w:p w14:paraId="27F50981">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p>
          <w:p w14:paraId="4EEFC94B">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r>
              <w:rPr>
                <w:rFonts w:hint="default" w:asciiTheme="majorEastAsia" w:hAnsiTheme="majorEastAsia" w:eastAsiaTheme="majorEastAsia"/>
                <w:color w:val="000000" w:themeColor="text1"/>
                <w:sz w:val="24"/>
                <w:highlight w:val="none"/>
                <w14:textFill>
                  <w14:solidFill>
                    <w14:schemeClr w14:val="tx1"/>
                  </w14:solidFill>
                </w14:textFill>
              </w:rPr>
              <w:t xml:space="preserve">日期：    </w:t>
            </w:r>
            <w:r>
              <w:rPr>
                <w:rFonts w:hint="eastAsia" w:asciiTheme="majorEastAsia" w:hAnsiTheme="majorEastAsia" w:eastAsiaTheme="majorEastAsia"/>
                <w:color w:val="000000" w:themeColor="text1"/>
                <w:sz w:val="24"/>
                <w:highlight w:val="none"/>
                <w14:textFill>
                  <w14:solidFill>
                    <w14:schemeClr w14:val="tx1"/>
                  </w14:solidFill>
                </w14:textFill>
              </w:rPr>
              <w:t xml:space="preserve">  </w:t>
            </w:r>
            <w:r>
              <w:rPr>
                <w:rFonts w:hint="default" w:asciiTheme="majorEastAsia" w:hAnsiTheme="majorEastAsia" w:eastAsiaTheme="majorEastAsia"/>
                <w:color w:val="000000" w:themeColor="text1"/>
                <w:sz w:val="24"/>
                <w:highlight w:val="none"/>
                <w14:textFill>
                  <w14:solidFill>
                    <w14:schemeClr w14:val="tx1"/>
                  </w14:solidFill>
                </w14:textFill>
              </w:rPr>
              <w:t xml:space="preserve">年    </w:t>
            </w:r>
            <w:r>
              <w:rPr>
                <w:rFonts w:hint="eastAsia" w:asciiTheme="majorEastAsia" w:hAnsiTheme="majorEastAsia" w:eastAsiaTheme="majorEastAsia"/>
                <w:color w:val="000000" w:themeColor="text1"/>
                <w:sz w:val="24"/>
                <w:highlight w:val="none"/>
                <w14:textFill>
                  <w14:solidFill>
                    <w14:schemeClr w14:val="tx1"/>
                  </w14:solidFill>
                </w14:textFill>
              </w:rPr>
              <w:t xml:space="preserve"> </w:t>
            </w:r>
            <w:r>
              <w:rPr>
                <w:rFonts w:hint="default" w:asciiTheme="majorEastAsia" w:hAnsiTheme="majorEastAsia" w:eastAsiaTheme="majorEastAsia"/>
                <w:color w:val="000000" w:themeColor="text1"/>
                <w:sz w:val="24"/>
                <w:highlight w:val="none"/>
                <w14:textFill>
                  <w14:solidFill>
                    <w14:schemeClr w14:val="tx1"/>
                  </w14:solidFill>
                </w14:textFill>
              </w:rPr>
              <w:t xml:space="preserve"> 月  </w:t>
            </w:r>
            <w:r>
              <w:rPr>
                <w:rFonts w:hint="eastAsia" w:asciiTheme="majorEastAsia" w:hAnsiTheme="majorEastAsia" w:eastAsiaTheme="majorEastAsia"/>
                <w:color w:val="000000" w:themeColor="text1"/>
                <w:sz w:val="24"/>
                <w:highlight w:val="none"/>
                <w14:textFill>
                  <w14:solidFill>
                    <w14:schemeClr w14:val="tx1"/>
                  </w14:solidFill>
                </w14:textFill>
              </w:rPr>
              <w:t xml:space="preserve"> </w:t>
            </w:r>
            <w:r>
              <w:rPr>
                <w:rFonts w:hint="default" w:asciiTheme="majorEastAsia" w:hAnsiTheme="majorEastAsia" w:eastAsiaTheme="majorEastAsia"/>
                <w:color w:val="000000" w:themeColor="text1"/>
                <w:sz w:val="24"/>
                <w:highlight w:val="none"/>
                <w14:textFill>
                  <w14:solidFill>
                    <w14:schemeClr w14:val="tx1"/>
                  </w14:solidFill>
                </w14:textFill>
              </w:rPr>
              <w:t xml:space="preserve">   日</w:t>
            </w:r>
          </w:p>
        </w:tc>
        <w:tc>
          <w:tcPr>
            <w:tcW w:w="4536" w:type="dxa"/>
          </w:tcPr>
          <w:p w14:paraId="61C63078">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p>
          <w:p w14:paraId="29C09B3A">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r>
              <w:rPr>
                <w:rFonts w:hint="default" w:asciiTheme="majorEastAsia" w:hAnsiTheme="majorEastAsia" w:eastAsiaTheme="majorEastAsia"/>
                <w:color w:val="000000" w:themeColor="text1"/>
                <w:sz w:val="24"/>
                <w:highlight w:val="none"/>
                <w14:textFill>
                  <w14:solidFill>
                    <w14:schemeClr w14:val="tx1"/>
                  </w14:solidFill>
                </w14:textFill>
              </w:rPr>
              <w:t xml:space="preserve">乙方： </w:t>
            </w:r>
          </w:p>
          <w:p w14:paraId="670881DA">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r>
              <w:rPr>
                <w:rFonts w:hint="default" w:asciiTheme="majorEastAsia" w:hAnsiTheme="majorEastAsia" w:eastAsiaTheme="majorEastAsia"/>
                <w:color w:val="000000" w:themeColor="text1"/>
                <w:sz w:val="24"/>
                <w:highlight w:val="none"/>
                <w14:textFill>
                  <w14:solidFill>
                    <w14:schemeClr w14:val="tx1"/>
                  </w14:solidFill>
                </w14:textFill>
              </w:rPr>
              <w:t>（盖章）</w:t>
            </w:r>
          </w:p>
          <w:p w14:paraId="4897BC24">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授权代表</w:t>
            </w:r>
            <w:r>
              <w:rPr>
                <w:rFonts w:hint="eastAsia" w:asciiTheme="majorEastAsia" w:hAnsiTheme="majorEastAsia" w:eastAsiaTheme="majorEastAsia"/>
                <w:color w:val="000000" w:themeColor="text1"/>
                <w:sz w:val="24"/>
                <w:highlight w:val="none"/>
                <w14:textFill>
                  <w14:solidFill>
                    <w14:schemeClr w14:val="tx1"/>
                  </w14:solidFill>
                </w14:textFill>
              </w:rPr>
              <w:t>：</w:t>
            </w:r>
          </w:p>
          <w:p w14:paraId="21332155">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p>
          <w:p w14:paraId="55B28826">
            <w:pPr>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000000" w:themeColor="text1"/>
                <w:sz w:val="24"/>
                <w:highlight w:val="none"/>
                <w14:textFill>
                  <w14:solidFill>
                    <w14:schemeClr w14:val="tx1"/>
                  </w14:solidFill>
                </w14:textFill>
              </w:rPr>
            </w:pPr>
            <w:r>
              <w:rPr>
                <w:rFonts w:hint="default" w:asciiTheme="majorEastAsia" w:hAnsiTheme="majorEastAsia" w:eastAsiaTheme="majorEastAsia"/>
                <w:color w:val="000000" w:themeColor="text1"/>
                <w:sz w:val="24"/>
                <w:highlight w:val="none"/>
                <w14:textFill>
                  <w14:solidFill>
                    <w14:schemeClr w14:val="tx1"/>
                  </w14:solidFill>
                </w14:textFill>
              </w:rPr>
              <w:t xml:space="preserve">日期：    </w:t>
            </w:r>
            <w:r>
              <w:rPr>
                <w:rFonts w:hint="eastAsia" w:asciiTheme="majorEastAsia" w:hAnsiTheme="majorEastAsia" w:eastAsiaTheme="majorEastAsia"/>
                <w:color w:val="000000" w:themeColor="text1"/>
                <w:sz w:val="24"/>
                <w:highlight w:val="none"/>
                <w14:textFill>
                  <w14:solidFill>
                    <w14:schemeClr w14:val="tx1"/>
                  </w14:solidFill>
                </w14:textFill>
              </w:rPr>
              <w:t xml:space="preserve">  </w:t>
            </w:r>
            <w:r>
              <w:rPr>
                <w:rFonts w:hint="default" w:asciiTheme="majorEastAsia" w:hAnsiTheme="majorEastAsia" w:eastAsiaTheme="majorEastAsia"/>
                <w:color w:val="000000" w:themeColor="text1"/>
                <w:sz w:val="24"/>
                <w:highlight w:val="none"/>
                <w14:textFill>
                  <w14:solidFill>
                    <w14:schemeClr w14:val="tx1"/>
                  </w14:solidFill>
                </w14:textFill>
              </w:rPr>
              <w:t xml:space="preserve">年 </w:t>
            </w:r>
            <w:r>
              <w:rPr>
                <w:rFonts w:hint="eastAsia" w:asciiTheme="majorEastAsia" w:hAnsiTheme="majorEastAsia" w:eastAsiaTheme="majorEastAsia"/>
                <w:color w:val="000000" w:themeColor="text1"/>
                <w:sz w:val="24"/>
                <w:highlight w:val="none"/>
                <w14:textFill>
                  <w14:solidFill>
                    <w14:schemeClr w14:val="tx1"/>
                  </w14:solidFill>
                </w14:textFill>
              </w:rPr>
              <w:t xml:space="preserve"> </w:t>
            </w:r>
            <w:r>
              <w:rPr>
                <w:rFonts w:hint="default" w:asciiTheme="majorEastAsia" w:hAnsiTheme="majorEastAsia" w:eastAsiaTheme="majorEastAsia"/>
                <w:color w:val="000000" w:themeColor="text1"/>
                <w:sz w:val="24"/>
                <w:highlight w:val="none"/>
                <w14:textFill>
                  <w14:solidFill>
                    <w14:schemeClr w14:val="tx1"/>
                  </w14:solidFill>
                </w14:textFill>
              </w:rPr>
              <w:t xml:space="preserve">    月      日</w:t>
            </w:r>
          </w:p>
        </w:tc>
      </w:tr>
    </w:tbl>
    <w:p w14:paraId="387523ED">
      <w:pPr>
        <w:pStyle w:val="5"/>
        <w:ind w:firstLine="0"/>
        <w:rPr>
          <w:highlight w:val="none"/>
        </w:rPr>
      </w:pPr>
    </w:p>
    <w:p w14:paraId="59DF948F">
      <w:pPr>
        <w:pStyle w:val="2"/>
        <w:spacing w:before="0" w:after="0" w:line="360" w:lineRule="auto"/>
        <w:ind w:firstLine="640" w:firstLineChars="200"/>
        <w:jc w:val="center"/>
        <w:rPr>
          <w:rFonts w:asciiTheme="minorEastAsia" w:hAnsiTheme="minorEastAsia" w:eastAsiaTheme="minorEastAsia"/>
          <w:color w:val="000000"/>
          <w:kern w:val="0"/>
          <w:sz w:val="32"/>
          <w:szCs w:val="36"/>
          <w:highlight w:val="none"/>
        </w:rPr>
      </w:pPr>
      <w:r>
        <w:rPr>
          <w:rFonts w:hint="eastAsia" w:asciiTheme="minorEastAsia" w:hAnsiTheme="minorEastAsia" w:eastAsiaTheme="minorEastAsia"/>
          <w:sz w:val="32"/>
          <w:szCs w:val="36"/>
          <w:highlight w:val="none"/>
        </w:rPr>
        <w:t xml:space="preserve">第六部分  </w:t>
      </w:r>
      <w:r>
        <w:rPr>
          <w:rFonts w:hint="eastAsia" w:asciiTheme="minorEastAsia" w:hAnsiTheme="minorEastAsia" w:eastAsiaTheme="minorEastAsia"/>
          <w:color w:val="000000"/>
          <w:kern w:val="0"/>
          <w:sz w:val="32"/>
          <w:szCs w:val="36"/>
          <w:highlight w:val="none"/>
        </w:rPr>
        <w:t>响应文件格式</w:t>
      </w:r>
    </w:p>
    <w:p w14:paraId="771E7181">
      <w:pPr>
        <w:pStyle w:val="12"/>
        <w:spacing w:line="48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请响应供应商严格按照表格内容及要求制作响应文件，所有证书类文件提供复印件且必须在有效期内。</w:t>
      </w:r>
    </w:p>
    <w:p w14:paraId="01AF9FD7">
      <w:pPr>
        <w:pStyle w:val="12"/>
        <w:spacing w:line="480" w:lineRule="auto"/>
        <w:jc w:val="center"/>
        <w:outlineLvl w:val="1"/>
        <w:rPr>
          <w:rFonts w:asciiTheme="minorEastAsia" w:hAnsiTheme="minorEastAsia" w:eastAsiaTheme="minorEastAsia"/>
          <w:b/>
          <w:sz w:val="28"/>
          <w:szCs w:val="24"/>
          <w:highlight w:val="none"/>
        </w:rPr>
      </w:pPr>
      <w:r>
        <w:rPr>
          <w:rFonts w:hint="eastAsia" w:asciiTheme="minorEastAsia" w:hAnsiTheme="minorEastAsia" w:eastAsiaTheme="minorEastAsia"/>
          <w:b/>
          <w:sz w:val="28"/>
          <w:szCs w:val="24"/>
          <w:highlight w:val="none"/>
        </w:rPr>
        <w:t>格式1  授权委托书</w:t>
      </w:r>
    </w:p>
    <w:p w14:paraId="073C938A">
      <w:pPr>
        <w:pStyle w:val="12"/>
        <w:spacing w:line="480" w:lineRule="auto"/>
        <w:ind w:firstLine="560" w:firstLineChars="200"/>
        <w:jc w:val="center"/>
        <w:rPr>
          <w:rFonts w:asciiTheme="minorEastAsia" w:hAnsiTheme="minorEastAsia" w:eastAsiaTheme="minorEastAsia"/>
          <w:b/>
          <w:sz w:val="28"/>
          <w:szCs w:val="24"/>
          <w:highlight w:val="none"/>
        </w:rPr>
      </w:pPr>
    </w:p>
    <w:p w14:paraId="2CD62A0C">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兹授权（委托代理人姓名）为我方委托代理人，其权限是：办理“</w:t>
      </w:r>
      <w:r>
        <w:rPr>
          <w:rFonts w:hint="eastAsia" w:asciiTheme="minorEastAsia" w:hAnsiTheme="minorEastAsia" w:eastAsiaTheme="minorEastAsia"/>
          <w:bCs/>
          <w:sz w:val="24"/>
          <w:u w:val="single"/>
        </w:rPr>
        <w:t>广州医科大学附属番禺中心医院2025年专利代理服务项目</w:t>
      </w:r>
      <w:r>
        <w:rPr>
          <w:rFonts w:hint="eastAsia" w:asciiTheme="minorEastAsia" w:hAnsiTheme="minorEastAsia" w:eastAsiaTheme="minorEastAsia"/>
          <w:bCs/>
          <w:sz w:val="24"/>
        </w:rPr>
        <w:t>”的询比事宜。本授权书有效期与本公司响应文件中标注的询比有效期相同，自法定代表人签字之日起生效。</w:t>
      </w:r>
    </w:p>
    <w:p w14:paraId="31D691EA">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附：代理人性别：年龄：职务：</w:t>
      </w:r>
    </w:p>
    <w:p w14:paraId="5AD795C2">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身份证号码：</w:t>
      </w:r>
    </w:p>
    <w:p w14:paraId="28B7F2E7">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（营业执照等）注册号码：</w:t>
      </w:r>
    </w:p>
    <w:p w14:paraId="6EF1E23C">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企业类型：</w:t>
      </w:r>
    </w:p>
    <w:p w14:paraId="28692E74">
      <w:pPr>
        <w:pStyle w:val="64"/>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经营范围：</w:t>
      </w:r>
    </w:p>
    <w:p w14:paraId="33DF7F67">
      <w:pPr>
        <w:pStyle w:val="64"/>
        <w:spacing w:line="360" w:lineRule="auto"/>
        <w:ind w:firstLine="480" w:firstLineChars="200"/>
        <w:rPr>
          <w:rFonts w:asciiTheme="minorEastAsia" w:hAnsiTheme="minorEastAsia" w:eastAsiaTheme="minorEastAsia"/>
          <w:sz w:val="24"/>
          <w:szCs w:val="24"/>
          <w:u w:val="single"/>
        </w:rPr>
      </w:pPr>
      <w:r>
        <w:rPr>
          <w:rFonts w:hint="eastAsia" w:cs="Courier New" w:asciiTheme="minorEastAsia" w:hAnsiTheme="minorEastAsia" w:eastAsiaTheme="minorEastAsia"/>
          <w:kern w:val="0"/>
          <w:sz w:val="24"/>
          <w:szCs w:val="24"/>
        </w:rPr>
        <w:t>　　　　　　　</w:t>
      </w:r>
    </w:p>
    <w:p w14:paraId="1270A12C">
      <w:pPr>
        <w:pStyle w:val="17"/>
        <w:spacing w:line="360" w:lineRule="auto"/>
        <w:rPr>
          <w:rFonts w:asciiTheme="minorEastAsia" w:hAnsiTheme="minorEastAsia" w:eastAsiaTheme="minorEastAsia"/>
          <w:sz w:val="24"/>
          <w:szCs w:val="24"/>
          <w:u w:val="single"/>
        </w:rPr>
      </w:pPr>
    </w:p>
    <w:p w14:paraId="27123197">
      <w:pPr>
        <w:pStyle w:val="17"/>
        <w:spacing w:line="360" w:lineRule="auto"/>
        <w:ind w:left="3399" w:leftChars="161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法定代表人（负责人）：（签名）</w:t>
      </w:r>
    </w:p>
    <w:p w14:paraId="07289A48">
      <w:pPr>
        <w:pStyle w:val="17"/>
        <w:spacing w:line="360" w:lineRule="auto"/>
        <w:ind w:left="3399" w:leftChars="1619"/>
        <w:rPr>
          <w:rFonts w:asciiTheme="minorEastAsia" w:hAnsiTheme="minorEastAsia" w:eastAsiaTheme="minorEastAsia"/>
          <w:sz w:val="24"/>
          <w:szCs w:val="24"/>
        </w:rPr>
      </w:pPr>
    </w:p>
    <w:p w14:paraId="22310018">
      <w:pPr>
        <w:pStyle w:val="17"/>
        <w:spacing w:line="360" w:lineRule="auto"/>
        <w:ind w:left="3399" w:leftChars="1619"/>
        <w:rPr>
          <w:rFonts w:asciiTheme="minorEastAsia" w:hAnsiTheme="minorEastAsia" w:eastAsiaTheme="minorEastAsia"/>
          <w:sz w:val="24"/>
          <w:szCs w:val="24"/>
        </w:rPr>
      </w:pPr>
      <w:r>
        <w:rPr>
          <w:rFonts w:hint="eastAsia" w:asciiTheme="minorEastAsia" w:hAnsiTheme="minorEastAsia" w:eastAsiaTheme="minorEastAsia"/>
          <w:sz w:val="24"/>
          <w:szCs w:val="24"/>
        </w:rPr>
        <w:t>授权单位（单位公章）：</w:t>
      </w:r>
    </w:p>
    <w:p w14:paraId="6B1E0CFD">
      <w:pPr>
        <w:pStyle w:val="17"/>
        <w:spacing w:line="360" w:lineRule="auto"/>
        <w:ind w:right="480"/>
        <w:rPr>
          <w:rFonts w:asciiTheme="minorEastAsia" w:hAnsiTheme="minorEastAsia" w:eastAsiaTheme="minorEastAsia"/>
          <w:sz w:val="24"/>
          <w:szCs w:val="24"/>
        </w:rPr>
      </w:pPr>
    </w:p>
    <w:p w14:paraId="2C684259">
      <w:pPr>
        <w:pStyle w:val="17"/>
        <w:spacing w:line="360" w:lineRule="auto"/>
        <w:ind w:left="3399" w:leftChars="1619"/>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r>
        <w:rPr>
          <w:rFonts w:hint="eastAsia" w:asciiTheme="minorEastAsia" w:hAnsiTheme="minorEastAsia" w:eastAsiaTheme="minorEastAsia"/>
          <w:bCs/>
          <w:sz w:val="24"/>
          <w:szCs w:val="24"/>
        </w:rPr>
        <w:t>：</w:t>
      </w:r>
      <w:r>
        <w:rPr>
          <w:rFonts w:hint="eastAsia" w:asciiTheme="minorEastAsia" w:hAnsiTheme="minorEastAsia" w:eastAsiaTheme="minorEastAsia"/>
          <w:sz w:val="24"/>
          <w:szCs w:val="24"/>
        </w:rPr>
        <w:t>（签名）</w:t>
      </w:r>
    </w:p>
    <w:p w14:paraId="38471219">
      <w:pPr>
        <w:pStyle w:val="17"/>
        <w:wordWrap w:val="0"/>
        <w:spacing w:line="360" w:lineRule="auto"/>
        <w:ind w:left="3399" w:leftChars="1619"/>
        <w:jc w:val="right"/>
        <w:rPr>
          <w:rFonts w:asciiTheme="minorEastAsia" w:hAnsiTheme="minorEastAsia" w:eastAsiaTheme="minorEastAsia"/>
          <w:sz w:val="24"/>
          <w:szCs w:val="24"/>
        </w:rPr>
      </w:pPr>
      <w:r>
        <w:rPr>
          <w:rFonts w:hint="eastAsia" w:cs="Arial" w:asciiTheme="minorEastAsia" w:hAnsiTheme="minorEastAsia" w:eastAsiaTheme="minorEastAsia"/>
          <w:sz w:val="24"/>
          <w:szCs w:val="24"/>
        </w:rPr>
        <w:t>X</w:t>
      </w:r>
      <w:r>
        <w:rPr>
          <w:rFonts w:cs="Arial" w:asciiTheme="minorEastAsia" w:hAnsiTheme="minorEastAsia" w:eastAsiaTheme="minorEastAsia"/>
          <w:sz w:val="24"/>
          <w:szCs w:val="24"/>
        </w:rPr>
        <w:t>XXX</w:t>
      </w:r>
      <w:r>
        <w:rPr>
          <w:rFonts w:hint="eastAsia" w:cs="Arial" w:asciiTheme="minorEastAsia" w:hAnsiTheme="minorEastAsia" w:eastAsiaTheme="minorEastAsia"/>
          <w:sz w:val="24"/>
          <w:szCs w:val="24"/>
        </w:rPr>
        <w:t>年XX月XX日</w:t>
      </w:r>
    </w:p>
    <w:p w14:paraId="7E46A988">
      <w:pPr>
        <w:pStyle w:val="17"/>
        <w:ind w:left="720" w:hanging="720" w:hangingChars="300"/>
        <w:rPr>
          <w:rFonts w:cs="仿宋_GB2312" w:asciiTheme="minorEastAsia" w:hAnsiTheme="minorEastAsia" w:eastAsiaTheme="minorEastAsia"/>
          <w:sz w:val="24"/>
          <w:szCs w:val="24"/>
        </w:rPr>
      </w:pPr>
    </w:p>
    <w:p w14:paraId="7B7469B3">
      <w:pPr>
        <w:pStyle w:val="17"/>
        <w:ind w:left="720" w:hanging="720" w:hangingChars="300"/>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说明：</w:t>
      </w:r>
    </w:p>
    <w:p w14:paraId="0AC2A00A">
      <w:pPr>
        <w:pStyle w:val="17"/>
        <w:widowControl/>
        <w:numPr>
          <w:ilvl w:val="0"/>
          <w:numId w:val="8"/>
        </w:numPr>
        <w:tabs>
          <w:tab w:val="left" w:pos="360"/>
          <w:tab w:val="clear" w:pos="1264"/>
        </w:tabs>
        <w:ind w:left="360" w:hanging="360"/>
        <w:rPr>
          <w:rFonts w:cs="仿宋_GB2312" w:asciiTheme="minorEastAsia" w:hAnsiTheme="minorEastAsia" w:eastAsiaTheme="minorEastAsia"/>
          <w:b/>
          <w:sz w:val="24"/>
          <w:szCs w:val="24"/>
          <w:lang w:val="zh-CN"/>
        </w:rPr>
      </w:pPr>
      <w:r>
        <w:rPr>
          <w:rFonts w:cs="仿宋_GB2312" w:asciiTheme="minorEastAsia" w:hAnsiTheme="minorEastAsia" w:eastAsiaTheme="minorEastAsia"/>
          <w:b/>
          <w:sz w:val="24"/>
          <w:szCs w:val="24"/>
          <w:lang w:val="zh-CN"/>
        </w:rPr>
        <w:t>法定代表人亲自</w:t>
      </w:r>
      <w:r>
        <w:rPr>
          <w:rFonts w:hint="eastAsia" w:cs="仿宋_GB2312" w:asciiTheme="minorEastAsia" w:hAnsiTheme="minorEastAsia" w:eastAsiaTheme="minorEastAsia"/>
          <w:b/>
          <w:sz w:val="24"/>
          <w:szCs w:val="24"/>
          <w:lang w:val="zh-CN"/>
        </w:rPr>
        <w:t>参加开标并</w:t>
      </w:r>
      <w:r>
        <w:rPr>
          <w:rFonts w:cs="仿宋_GB2312" w:asciiTheme="minorEastAsia" w:hAnsiTheme="minorEastAsia" w:eastAsiaTheme="minorEastAsia"/>
          <w:b/>
          <w:sz w:val="24"/>
          <w:szCs w:val="24"/>
          <w:lang w:val="zh-CN"/>
        </w:rPr>
        <w:t>签署</w:t>
      </w:r>
      <w:r>
        <w:rPr>
          <w:rFonts w:hint="eastAsia" w:cs="仿宋_GB2312" w:asciiTheme="minorEastAsia" w:hAnsiTheme="minorEastAsia" w:eastAsiaTheme="minorEastAsia"/>
          <w:b/>
          <w:sz w:val="24"/>
          <w:szCs w:val="24"/>
          <w:lang w:val="zh-CN"/>
        </w:rPr>
        <w:t>“响应廉洁承诺书”</w:t>
      </w:r>
      <w:r>
        <w:rPr>
          <w:rFonts w:cs="仿宋_GB2312" w:asciiTheme="minorEastAsia" w:hAnsiTheme="minorEastAsia" w:eastAsiaTheme="minorEastAsia"/>
          <w:b/>
          <w:sz w:val="24"/>
          <w:szCs w:val="24"/>
          <w:lang w:val="zh-CN"/>
        </w:rPr>
        <w:t>的，则无需提交本表</w:t>
      </w:r>
      <w:r>
        <w:rPr>
          <w:rFonts w:hint="eastAsia" w:cs="仿宋_GB2312" w:asciiTheme="minorEastAsia" w:hAnsiTheme="minorEastAsia" w:eastAsiaTheme="minorEastAsia"/>
          <w:b/>
          <w:sz w:val="24"/>
          <w:szCs w:val="24"/>
          <w:lang w:val="zh-CN"/>
        </w:rPr>
        <w:t>，但须提交法人身份证复印件。</w:t>
      </w:r>
    </w:p>
    <w:p w14:paraId="288A77E5">
      <w:pPr>
        <w:pStyle w:val="17"/>
        <w:widowControl/>
        <w:numPr>
          <w:ilvl w:val="0"/>
          <w:numId w:val="8"/>
        </w:numPr>
        <w:tabs>
          <w:tab w:val="left" w:pos="360"/>
          <w:tab w:val="clear" w:pos="1264"/>
        </w:tabs>
        <w:ind w:left="360" w:hanging="360"/>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“响应廉洁承诺书”</w:t>
      </w:r>
      <w:r>
        <w:rPr>
          <w:rFonts w:cs="仿宋_GB2312" w:asciiTheme="minorEastAsia" w:hAnsiTheme="minorEastAsia" w:eastAsiaTheme="minorEastAsia"/>
          <w:sz w:val="24"/>
          <w:szCs w:val="24"/>
          <w:lang w:val="zh-CN"/>
        </w:rPr>
        <w:t>由委托代理人签署的，则须提交有单位公章、法定代表人的亲笔签名或盖章、委托代理人的亲笔签名或盖章的本文件，三者缺一不可。</w:t>
      </w:r>
    </w:p>
    <w:p w14:paraId="7C979C5E">
      <w:pPr>
        <w:pStyle w:val="17"/>
        <w:widowControl/>
        <w:numPr>
          <w:ilvl w:val="0"/>
          <w:numId w:val="8"/>
        </w:numPr>
        <w:tabs>
          <w:tab w:val="left" w:pos="360"/>
          <w:tab w:val="clear" w:pos="1264"/>
        </w:tabs>
        <w:ind w:left="360" w:hanging="360"/>
        <w:rPr>
          <w:rFonts w:cs="仿宋_GB2312" w:asciiTheme="minorEastAsia" w:hAnsiTheme="minorEastAsia" w:eastAsiaTheme="minorEastAsia"/>
          <w:sz w:val="24"/>
          <w:szCs w:val="24"/>
          <w:lang w:val="zh-CN"/>
        </w:rPr>
      </w:pPr>
      <w:r>
        <w:rPr>
          <w:rFonts w:cs="仿宋_GB2312" w:asciiTheme="minorEastAsia" w:hAnsiTheme="minorEastAsia" w:eastAsiaTheme="minorEastAsia"/>
          <w:sz w:val="24"/>
          <w:szCs w:val="24"/>
          <w:lang w:val="zh-CN"/>
        </w:rPr>
        <w:t>非法人</w:t>
      </w:r>
      <w:r>
        <w:rPr>
          <w:rFonts w:hint="eastAsia" w:cs="仿宋_GB2312" w:asciiTheme="minorEastAsia" w:hAnsiTheme="minorEastAsia" w:eastAsiaTheme="minorEastAsia"/>
          <w:sz w:val="24"/>
          <w:szCs w:val="24"/>
          <w:lang w:val="zh-CN"/>
        </w:rPr>
        <w:t>响应</w:t>
      </w:r>
      <w:r>
        <w:rPr>
          <w:rFonts w:cs="仿宋_GB2312" w:asciiTheme="minorEastAsia" w:hAnsiTheme="minorEastAsia" w:eastAsiaTheme="minorEastAsia"/>
          <w:sz w:val="24"/>
          <w:szCs w:val="24"/>
          <w:lang w:val="zh-CN"/>
        </w:rPr>
        <w:t>的，负责人指《营业执照》上载明的负责人。</w:t>
      </w:r>
    </w:p>
    <w:p w14:paraId="6EF1D1D7">
      <w:pPr>
        <w:pStyle w:val="17"/>
        <w:rPr>
          <w:rFonts w:asciiTheme="minorEastAsia" w:hAnsiTheme="minorEastAsia" w:eastAsiaTheme="minorEastAsia"/>
          <w:b/>
          <w:sz w:val="28"/>
          <w:szCs w:val="28"/>
        </w:rPr>
      </w:pPr>
    </w:p>
    <w:p w14:paraId="4583AE93">
      <w:pPr>
        <w:pStyle w:val="12"/>
        <w:spacing w:line="480" w:lineRule="auto"/>
        <w:jc w:val="center"/>
        <w:outlineLvl w:val="1"/>
        <w:rPr>
          <w:rFonts w:asciiTheme="minorEastAsia" w:hAnsiTheme="minorEastAsia" w:eastAsiaTheme="minorEastAsia"/>
          <w:b/>
          <w:sz w:val="28"/>
          <w:szCs w:val="28"/>
        </w:rPr>
      </w:pPr>
      <w:r>
        <w:rPr>
          <w:rFonts w:asciiTheme="minorEastAsia" w:hAnsiTheme="minorEastAsia" w:eastAsiaTheme="minorEastAsia"/>
          <w:b/>
          <w:sz w:val="24"/>
          <w:szCs w:val="24"/>
        </w:rPr>
        <w:br w:type="page"/>
      </w:r>
      <w:r>
        <w:rPr>
          <w:rFonts w:hint="eastAsia" w:asciiTheme="minorEastAsia" w:hAnsiTheme="minorEastAsia" w:eastAsiaTheme="minorEastAsia"/>
          <w:b/>
          <w:sz w:val="28"/>
          <w:szCs w:val="28"/>
        </w:rPr>
        <w:t>格式2  响应廉洁承诺书（响应供应商）</w:t>
      </w:r>
    </w:p>
    <w:p w14:paraId="6326B80E">
      <w:pPr>
        <w:pStyle w:val="12"/>
        <w:ind w:firstLine="560" w:firstLineChars="200"/>
        <w:jc w:val="center"/>
        <w:rPr>
          <w:rFonts w:asciiTheme="minorEastAsia" w:hAnsiTheme="minorEastAsia" w:eastAsiaTheme="minorEastAsia"/>
          <w:b/>
          <w:sz w:val="28"/>
          <w:szCs w:val="28"/>
        </w:rPr>
      </w:pPr>
    </w:p>
    <w:p w14:paraId="1A4D31AE">
      <w:pPr>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按照国家卫计委“九不准”工作要求，为进一步加强医院廉洁文化建设，提高反腐倡廉自觉性，规范采购工作，充分体现公平、公正、公开原则根据国家有关法律、法规，按照番禺区中心医院廉洁建设责任制规定，本供应商郑重作出如下承诺：</w:t>
      </w:r>
    </w:p>
    <w:p w14:paraId="6EE7C3CE">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将遵循公开、公平、公正和诚实信用的原则参加询比活动。</w:t>
      </w:r>
    </w:p>
    <w:p w14:paraId="730E1212">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所提供的一切材料都是真实、有效、合法的。</w:t>
      </w:r>
    </w:p>
    <w:p w14:paraId="115390EA">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不得通过租借等方式从其他单位获取资格或者资质证书响应。</w:t>
      </w:r>
    </w:p>
    <w:p w14:paraId="4D7A43A2">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不得出现在自己编制的响应文件由其他单位加盖印章和由其他单位负责人签字问题。</w:t>
      </w:r>
    </w:p>
    <w:p w14:paraId="7679A2A9">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不得与采购人、采购代理机构及其他供应商私下串通协商，进行围标、串标、抬标，控制响应价格。</w:t>
      </w:r>
    </w:p>
    <w:p w14:paraId="4E48316A">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不得通过挂靠其他企业方式，一家企业以多家企业的名义去参加同一标的响应。</w:t>
      </w:r>
    </w:p>
    <w:p w14:paraId="083B365A">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不得转让、出租、出借资持证书、人员岗位证书或以其他方式允许他人以本企业名义响应。</w:t>
      </w:r>
    </w:p>
    <w:p w14:paraId="00DF0AE6">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不得向采购人或者评审小组成员行贿以牟取成交。</w:t>
      </w:r>
    </w:p>
    <w:p w14:paraId="712C6B53">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不得扰乱医院采购活动的正常秩序。</w:t>
      </w:r>
    </w:p>
    <w:p w14:paraId="5B38FE8B">
      <w:pPr>
        <w:numPr>
          <w:ilvl w:val="0"/>
          <w:numId w:val="9"/>
        </w:numPr>
        <w:tabs>
          <w:tab w:val="left" w:pos="993"/>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不得在开标后进行虚假恶意投诉。</w:t>
      </w:r>
    </w:p>
    <w:p w14:paraId="0A0C6510">
      <w:pPr>
        <w:tabs>
          <w:tab w:val="left" w:pos="5040"/>
        </w:tabs>
        <w:adjustRightInd w:val="0"/>
        <w:snapToGrid w:val="0"/>
        <w:spacing w:line="4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上述承诺事项均为本企业真实意见表达，愿承担一切责任。若有任何弄虚作假、违反本承诺内容的行为，自愿接受取消响应资格等有关处理，并承担法律责任；如已成交的，自动放弃成交资格；给采购人造成损失的，依法承担赔偿责任。</w:t>
      </w:r>
    </w:p>
    <w:p w14:paraId="1CB6A1F4">
      <w:pPr>
        <w:tabs>
          <w:tab w:val="left" w:pos="5040"/>
        </w:tabs>
        <w:adjustRightInd w:val="0"/>
        <w:snapToGrid w:val="0"/>
        <w:spacing w:line="460" w:lineRule="exact"/>
        <w:rPr>
          <w:rFonts w:asciiTheme="minorEastAsia" w:hAnsiTheme="minorEastAsia" w:eastAsiaTheme="minorEastAsia"/>
          <w:b/>
          <w:sz w:val="24"/>
        </w:rPr>
      </w:pPr>
    </w:p>
    <w:p w14:paraId="515B31C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询比项目：广州医科大学附属番禺中心医院2025年专利代理服务项目</w:t>
      </w:r>
    </w:p>
    <w:p w14:paraId="47080BB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响应供应商（盖章）：</w:t>
      </w:r>
    </w:p>
    <w:p w14:paraId="3B21470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法定代表人或授权委托人：</w:t>
      </w:r>
    </w:p>
    <w:p w14:paraId="0E65B89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（授权委托人需持有效授权委托书）</w:t>
      </w:r>
    </w:p>
    <w:p w14:paraId="3DFC37D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日期：</w:t>
      </w:r>
    </w:p>
    <w:p w14:paraId="62A71555">
      <w:pPr>
        <w:jc w:val="center"/>
        <w:rPr>
          <w:rFonts w:asciiTheme="minorEastAsia" w:hAnsiTheme="minorEastAsia" w:eastAsiaTheme="minorEastAsia"/>
          <w:b/>
          <w:sz w:val="28"/>
          <w:szCs w:val="28"/>
          <w:lang w:val="en-GB"/>
        </w:rPr>
      </w:pPr>
    </w:p>
    <w:p w14:paraId="5D12C096">
      <w:pPr>
        <w:jc w:val="center"/>
        <w:rPr>
          <w:rFonts w:asciiTheme="minorEastAsia" w:hAnsiTheme="minorEastAsia" w:eastAsiaTheme="minorEastAsia"/>
          <w:b/>
          <w:sz w:val="28"/>
          <w:szCs w:val="28"/>
          <w:lang w:val="en-GB"/>
        </w:rPr>
      </w:pPr>
    </w:p>
    <w:p w14:paraId="5BDF3AE3">
      <w:pPr>
        <w:pStyle w:val="12"/>
        <w:spacing w:line="480" w:lineRule="auto"/>
        <w:jc w:val="center"/>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lang w:val="en-GB"/>
        </w:rPr>
        <w:t>格式3  报价</w:t>
      </w:r>
      <w:r>
        <w:rPr>
          <w:rFonts w:hint="eastAsia" w:asciiTheme="minorEastAsia" w:hAnsiTheme="minorEastAsia" w:eastAsiaTheme="minorEastAsia"/>
          <w:b/>
          <w:sz w:val="28"/>
          <w:szCs w:val="28"/>
        </w:rPr>
        <w:t>一览表</w:t>
      </w:r>
    </w:p>
    <w:p w14:paraId="41ED7848">
      <w:pPr>
        <w:pStyle w:val="5"/>
      </w:pPr>
    </w:p>
    <w:p w14:paraId="2E8AFD1F">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广州医科大学附属番禺中心医院2025年专利代理服务项目</w:t>
      </w:r>
    </w:p>
    <w:p w14:paraId="4B308B30">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响应供应商名称：</w:t>
      </w:r>
    </w:p>
    <w:p w14:paraId="64B9D655">
      <w:pPr>
        <w:pStyle w:val="17"/>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[货币单位：人民币元]</w:t>
      </w:r>
    </w:p>
    <w:tbl>
      <w:tblPr>
        <w:tblStyle w:val="37"/>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2"/>
        <w:gridCol w:w="1026"/>
        <w:gridCol w:w="2633"/>
      </w:tblGrid>
      <w:tr w14:paraId="5753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172" w:type="dxa"/>
            <w:vAlign w:val="center"/>
          </w:tcPr>
          <w:p w14:paraId="76224AE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b/>
                <w:sz w:val="24"/>
              </w:rPr>
            </w:pPr>
            <w:r>
              <w:rPr>
                <w:rFonts w:hint="eastAsia" w:asciiTheme="minorEastAsia" w:hAnsiTheme="minorEastAsia" w:eastAsiaTheme="minorEastAsia"/>
                <w:b/>
                <w:sz w:val="24"/>
              </w:rPr>
              <w:t>名称</w:t>
            </w:r>
          </w:p>
        </w:tc>
        <w:tc>
          <w:tcPr>
            <w:tcW w:w="1026" w:type="dxa"/>
            <w:vAlign w:val="center"/>
          </w:tcPr>
          <w:p w14:paraId="27F141F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b/>
                <w:sz w:val="24"/>
              </w:rPr>
            </w:pPr>
            <w:r>
              <w:rPr>
                <w:rFonts w:hint="eastAsia" w:asciiTheme="minorEastAsia" w:hAnsiTheme="minorEastAsia" w:eastAsiaTheme="minorEastAsia"/>
                <w:b/>
                <w:sz w:val="24"/>
              </w:rPr>
              <w:t>数量</w:t>
            </w:r>
          </w:p>
        </w:tc>
        <w:tc>
          <w:tcPr>
            <w:tcW w:w="2633" w:type="dxa"/>
          </w:tcPr>
          <w:p w14:paraId="5A8AAD8B">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b/>
                <w:sz w:val="24"/>
              </w:rPr>
            </w:pPr>
            <w:r>
              <w:rPr>
                <w:rFonts w:hint="eastAsia" w:asciiTheme="minorEastAsia" w:hAnsiTheme="minorEastAsia" w:eastAsiaTheme="minorEastAsia"/>
                <w:b/>
                <w:sz w:val="24"/>
              </w:rPr>
              <w:t>代理费结算折扣率报价</w:t>
            </w:r>
          </w:p>
          <w:p w14:paraId="45A9EE0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b/>
                <w:sz w:val="24"/>
              </w:rPr>
            </w:pPr>
            <w:r>
              <w:rPr>
                <w:rFonts w:hint="eastAsia" w:asciiTheme="minorEastAsia" w:hAnsiTheme="minorEastAsia" w:eastAsiaTheme="minorEastAsia"/>
                <w:b/>
                <w:sz w:val="24"/>
              </w:rPr>
              <w:t>（折扣率报价范围为0-100%</w:t>
            </w:r>
            <w:r>
              <w:rPr>
                <w:rFonts w:hint="default" w:asciiTheme="minorEastAsia" w:hAnsiTheme="minorEastAsia" w:eastAsiaTheme="minorEastAsia"/>
                <w:b/>
                <w:sz w:val="24"/>
              </w:rPr>
              <w:t>，保留2位小数点的固定数值</w:t>
            </w:r>
            <w:r>
              <w:rPr>
                <w:rFonts w:hint="eastAsia" w:asciiTheme="minorEastAsia" w:hAnsiTheme="minorEastAsia" w:eastAsiaTheme="minorEastAsia"/>
                <w:b/>
                <w:sz w:val="24"/>
              </w:rPr>
              <w:t>）</w:t>
            </w:r>
          </w:p>
        </w:tc>
      </w:tr>
      <w:tr w14:paraId="6097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172" w:type="dxa"/>
            <w:vAlign w:val="center"/>
          </w:tcPr>
          <w:p w14:paraId="26F6E6B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广州医科大学附属番禺中心医院2025年专利代理服务项目</w:t>
            </w:r>
          </w:p>
        </w:tc>
        <w:tc>
          <w:tcPr>
            <w:tcW w:w="1026" w:type="dxa"/>
            <w:vAlign w:val="center"/>
          </w:tcPr>
          <w:p w14:paraId="69EC3FC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1项</w:t>
            </w:r>
          </w:p>
        </w:tc>
        <w:tc>
          <w:tcPr>
            <w:tcW w:w="2633" w:type="dxa"/>
          </w:tcPr>
          <w:p w14:paraId="7AE532F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sz w:val="24"/>
              </w:rPr>
            </w:pPr>
          </w:p>
        </w:tc>
      </w:tr>
    </w:tbl>
    <w:p w14:paraId="37780219">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w:t>
      </w:r>
    </w:p>
    <w:p w14:paraId="572A3330">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1.响应供应商须按要求填写所有信息，不得随意更改本表格式。</w:t>
      </w:r>
    </w:p>
    <w:p w14:paraId="32111585">
      <w:pPr>
        <w:pStyle w:val="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2.响应报价包含的内容及要求见第三部分用户需求书的“报价方式”。</w:t>
      </w:r>
    </w:p>
    <w:p w14:paraId="32F17B3E">
      <w:pPr>
        <w:pStyle w:val="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3.以人民币报价。</w:t>
      </w:r>
    </w:p>
    <w:p w14:paraId="5C30A6AC">
      <w:pPr>
        <w:pStyle w:val="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4.请务必检查响应报价的单位、小数点位、数值与分项汇总是否一致。</w:t>
      </w:r>
    </w:p>
    <w:p w14:paraId="0682F502">
      <w:pPr>
        <w:spacing w:line="360" w:lineRule="auto"/>
        <w:rPr>
          <w:rFonts w:asciiTheme="minorEastAsia" w:hAnsiTheme="minorEastAsia" w:eastAsiaTheme="minorEastAsia"/>
          <w:sz w:val="24"/>
        </w:rPr>
      </w:pPr>
    </w:p>
    <w:p w14:paraId="6B20748B">
      <w:pPr>
        <w:spacing w:line="360" w:lineRule="auto"/>
        <w:ind w:left="4252" w:leftChars="2025"/>
        <w:rPr>
          <w:rFonts w:asciiTheme="minorEastAsia" w:hAnsiTheme="minorEastAsia" w:eastAsiaTheme="minorEastAsia"/>
          <w:sz w:val="24"/>
        </w:rPr>
      </w:pPr>
      <w:r>
        <w:rPr>
          <w:rFonts w:hint="eastAsia" w:asciiTheme="minorEastAsia" w:hAnsiTheme="minorEastAsia" w:eastAsiaTheme="minorEastAsia"/>
          <w:sz w:val="24"/>
        </w:rPr>
        <w:t>响应供应商（单位公章）：</w:t>
      </w:r>
    </w:p>
    <w:p w14:paraId="6A286FAD">
      <w:pPr>
        <w:spacing w:line="360" w:lineRule="auto"/>
        <w:ind w:left="4252" w:leftChars="2025"/>
        <w:jc w:val="right"/>
        <w:rPr>
          <w:rFonts w:asciiTheme="minorEastAsia" w:hAnsiTheme="minorEastAsia" w:eastAsiaTheme="minorEastAsia"/>
          <w:sz w:val="24"/>
        </w:rPr>
      </w:pPr>
    </w:p>
    <w:p w14:paraId="49D05383">
      <w:pPr>
        <w:spacing w:line="360" w:lineRule="auto"/>
        <w:ind w:left="4252" w:leftChars="2025"/>
        <w:jc w:val="right"/>
        <w:rPr>
          <w:rFonts w:cs="Arial" w:asciiTheme="minorEastAsia" w:hAnsiTheme="minorEastAsia" w:eastAsiaTheme="minorEastAsia"/>
          <w:sz w:val="24"/>
        </w:rPr>
      </w:pPr>
      <w:r>
        <w:rPr>
          <w:rFonts w:hint="eastAsia" w:asciiTheme="minorEastAsia" w:hAnsiTheme="minorEastAsia" w:eastAsiaTheme="minorEastAsia"/>
          <w:sz w:val="24"/>
        </w:rPr>
        <w:t>日期：</w:t>
      </w:r>
      <w:r>
        <w:rPr>
          <w:rFonts w:hint="eastAsia" w:cs="Arial" w:asciiTheme="minorEastAsia" w:hAnsiTheme="minorEastAsia" w:eastAsiaTheme="minorEastAsia"/>
          <w:sz w:val="24"/>
        </w:rPr>
        <w:t>X</w:t>
      </w:r>
      <w:r>
        <w:rPr>
          <w:rFonts w:cs="Arial" w:asciiTheme="minorEastAsia" w:hAnsiTheme="minorEastAsia" w:eastAsiaTheme="minorEastAsia"/>
          <w:sz w:val="24"/>
        </w:rPr>
        <w:t>XXX</w:t>
      </w:r>
      <w:r>
        <w:rPr>
          <w:rFonts w:hint="eastAsia" w:cs="Arial" w:asciiTheme="minorEastAsia" w:hAnsiTheme="minorEastAsia" w:eastAsiaTheme="minorEastAsia"/>
          <w:sz w:val="24"/>
        </w:rPr>
        <w:t>年</w:t>
      </w:r>
      <w:r>
        <w:rPr>
          <w:rFonts w:cs="Arial" w:asciiTheme="minorEastAsia" w:hAnsiTheme="minorEastAsia" w:eastAsiaTheme="minorEastAsia"/>
          <w:sz w:val="24"/>
        </w:rPr>
        <w:t>XX</w:t>
      </w:r>
      <w:r>
        <w:rPr>
          <w:rFonts w:hint="eastAsia" w:cs="Arial" w:asciiTheme="minorEastAsia" w:hAnsiTheme="minorEastAsia" w:eastAsiaTheme="minorEastAsia"/>
          <w:sz w:val="24"/>
        </w:rPr>
        <w:t>月</w:t>
      </w:r>
      <w:r>
        <w:rPr>
          <w:rFonts w:cs="Arial" w:asciiTheme="minorEastAsia" w:hAnsiTheme="minorEastAsia" w:eastAsiaTheme="minorEastAsia"/>
          <w:sz w:val="24"/>
        </w:rPr>
        <w:t>XX</w:t>
      </w:r>
      <w:r>
        <w:rPr>
          <w:rFonts w:hint="eastAsia" w:cs="Arial" w:asciiTheme="minorEastAsia" w:hAnsiTheme="minorEastAsia" w:eastAsiaTheme="minorEastAsia"/>
          <w:sz w:val="24"/>
        </w:rPr>
        <w:t>日</w:t>
      </w:r>
    </w:p>
    <w:p w14:paraId="556363FD">
      <w:pPr>
        <w:pStyle w:val="17"/>
        <w:spacing w:line="360" w:lineRule="auto"/>
        <w:ind w:left="850" w:hanging="849" w:hangingChars="354"/>
        <w:rPr>
          <w:rFonts w:asciiTheme="minorEastAsia" w:hAnsiTheme="minorEastAsia" w:eastAsiaTheme="minorEastAsia"/>
          <w:sz w:val="24"/>
          <w:szCs w:val="24"/>
        </w:rPr>
      </w:pPr>
    </w:p>
    <w:p w14:paraId="70FB3350">
      <w:pPr>
        <w:pStyle w:val="12"/>
        <w:spacing w:line="480" w:lineRule="auto"/>
        <w:jc w:val="center"/>
        <w:outlineLvl w:val="9"/>
        <w:rPr>
          <w:lang w:val="en-GB"/>
        </w:rPr>
      </w:pPr>
      <w:r>
        <w:rPr>
          <w:rFonts w:asciiTheme="minorEastAsia" w:hAnsiTheme="minorEastAsia" w:eastAsiaTheme="minorEastAsia"/>
          <w:b/>
          <w:sz w:val="28"/>
          <w:szCs w:val="28"/>
          <w:lang w:val="en-GB"/>
        </w:rPr>
        <w:br w:type="page"/>
      </w:r>
    </w:p>
    <w:p w14:paraId="51320493">
      <w:pPr>
        <w:pStyle w:val="12"/>
        <w:spacing w:line="480" w:lineRule="auto"/>
        <w:jc w:val="center"/>
        <w:outlineLvl w:val="1"/>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w:t>
      </w:r>
      <w:r>
        <w:rPr>
          <w:rFonts w:hint="eastAsia" w:asciiTheme="minorEastAsia" w:hAnsiTheme="minorEastAsia" w:eastAsiaTheme="minorEastAsia"/>
          <w:b/>
          <w:sz w:val="28"/>
          <w:szCs w:val="28"/>
        </w:rPr>
        <w:t>4</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lang w:val="en-GB"/>
        </w:rPr>
        <w:t>法人营业执照副本复印件</w:t>
      </w:r>
    </w:p>
    <w:p w14:paraId="11B58223">
      <w:pPr>
        <w:jc w:val="center"/>
        <w:rPr>
          <w:rFonts w:asciiTheme="minorEastAsia" w:hAnsiTheme="minorEastAsia" w:eastAsiaTheme="minorEastAsia"/>
          <w:b/>
          <w:sz w:val="28"/>
          <w:szCs w:val="28"/>
          <w:lang w:val="en-GB"/>
        </w:rPr>
      </w:pPr>
    </w:p>
    <w:p w14:paraId="0BD76D28">
      <w:pPr>
        <w:pStyle w:val="5"/>
        <w:rPr>
          <w:lang w:val="en-GB"/>
        </w:rPr>
      </w:pPr>
    </w:p>
    <w:p w14:paraId="12C178CD">
      <w:pPr>
        <w:pStyle w:val="5"/>
        <w:rPr>
          <w:lang w:val="en-GB"/>
        </w:rPr>
      </w:pPr>
    </w:p>
    <w:p w14:paraId="50A81A29">
      <w:pPr>
        <w:pStyle w:val="5"/>
        <w:rPr>
          <w:lang w:val="en-GB"/>
        </w:rPr>
      </w:pPr>
    </w:p>
    <w:p w14:paraId="2A113B83">
      <w:pPr>
        <w:pStyle w:val="5"/>
        <w:rPr>
          <w:lang w:val="en-GB"/>
        </w:rPr>
      </w:pPr>
    </w:p>
    <w:p w14:paraId="65E11936">
      <w:pPr>
        <w:pStyle w:val="5"/>
        <w:rPr>
          <w:lang w:val="en-GB"/>
        </w:rPr>
      </w:pPr>
    </w:p>
    <w:p w14:paraId="7E48C760">
      <w:pPr>
        <w:pStyle w:val="5"/>
        <w:rPr>
          <w:lang w:val="en-GB"/>
        </w:rPr>
      </w:pPr>
    </w:p>
    <w:p w14:paraId="51CB4804">
      <w:pPr>
        <w:pStyle w:val="5"/>
        <w:rPr>
          <w:lang w:val="en-GB"/>
        </w:rPr>
      </w:pPr>
    </w:p>
    <w:p w14:paraId="20B8D256">
      <w:pPr>
        <w:pStyle w:val="5"/>
        <w:rPr>
          <w:lang w:val="en-GB"/>
        </w:rPr>
      </w:pPr>
    </w:p>
    <w:p w14:paraId="769876DF">
      <w:pPr>
        <w:pStyle w:val="5"/>
        <w:rPr>
          <w:lang w:val="en-GB"/>
        </w:rPr>
      </w:pPr>
    </w:p>
    <w:p w14:paraId="6DA472CC">
      <w:pPr>
        <w:pStyle w:val="5"/>
        <w:rPr>
          <w:lang w:val="en-GB"/>
        </w:rPr>
      </w:pPr>
    </w:p>
    <w:p w14:paraId="27AFB956">
      <w:pPr>
        <w:pStyle w:val="5"/>
        <w:rPr>
          <w:lang w:val="en-GB"/>
        </w:rPr>
      </w:pPr>
    </w:p>
    <w:p w14:paraId="54943B42">
      <w:pPr>
        <w:pStyle w:val="5"/>
        <w:rPr>
          <w:lang w:val="en-GB"/>
        </w:rPr>
      </w:pPr>
    </w:p>
    <w:p w14:paraId="784A4E24">
      <w:pPr>
        <w:pStyle w:val="5"/>
        <w:rPr>
          <w:lang w:val="en-GB"/>
        </w:rPr>
      </w:pPr>
    </w:p>
    <w:p w14:paraId="214BEC10">
      <w:pPr>
        <w:pStyle w:val="5"/>
        <w:rPr>
          <w:lang w:val="en-GB"/>
        </w:rPr>
      </w:pPr>
    </w:p>
    <w:p w14:paraId="743D654B">
      <w:pPr>
        <w:pStyle w:val="5"/>
        <w:rPr>
          <w:lang w:val="en-GB"/>
        </w:rPr>
      </w:pPr>
    </w:p>
    <w:p w14:paraId="4A1BF70B">
      <w:pPr>
        <w:pStyle w:val="5"/>
        <w:rPr>
          <w:lang w:val="en-GB"/>
        </w:rPr>
      </w:pPr>
    </w:p>
    <w:p w14:paraId="18A48778">
      <w:pPr>
        <w:pStyle w:val="5"/>
        <w:rPr>
          <w:lang w:val="en-GB"/>
        </w:rPr>
      </w:pPr>
    </w:p>
    <w:p w14:paraId="0452286D">
      <w:pPr>
        <w:pStyle w:val="5"/>
        <w:rPr>
          <w:lang w:val="en-GB"/>
        </w:rPr>
      </w:pPr>
    </w:p>
    <w:p w14:paraId="75315CDA">
      <w:pPr>
        <w:widowControl/>
        <w:jc w:val="left"/>
        <w:rPr>
          <w:rFonts w:eastAsia="仿宋_GB2312"/>
          <w:sz w:val="30"/>
          <w:szCs w:val="20"/>
          <w:lang w:val="en-GB"/>
        </w:rPr>
      </w:pPr>
      <w:r>
        <w:rPr>
          <w:lang w:val="en-GB"/>
        </w:rPr>
        <w:br w:type="page"/>
      </w:r>
    </w:p>
    <w:p w14:paraId="64A98A89">
      <w:pPr>
        <w:pStyle w:val="5"/>
        <w:rPr>
          <w:lang w:val="en-GB"/>
        </w:rPr>
      </w:pPr>
    </w:p>
    <w:p w14:paraId="474ACFEE">
      <w:pPr>
        <w:pStyle w:val="12"/>
        <w:spacing w:line="480" w:lineRule="auto"/>
        <w:jc w:val="center"/>
        <w:outlineLvl w:val="1"/>
        <w:rPr>
          <w:rFonts w:ascii="宋体" w:hAnsi="宋体"/>
          <w:sz w:val="28"/>
          <w:szCs w:val="28"/>
        </w:rPr>
      </w:pPr>
      <w:r>
        <w:rPr>
          <w:rFonts w:hint="eastAsia" w:asciiTheme="minorEastAsia" w:hAnsiTheme="minorEastAsia" w:eastAsiaTheme="minorEastAsia"/>
          <w:b/>
          <w:sz w:val="28"/>
          <w:szCs w:val="28"/>
          <w:lang w:val="en-GB"/>
        </w:rPr>
        <w:t>格式</w:t>
      </w:r>
      <w:r>
        <w:rPr>
          <w:rFonts w:hint="eastAsia" w:asciiTheme="minorEastAsia" w:hAnsiTheme="minorEastAsia" w:eastAsiaTheme="minorEastAsia"/>
          <w:sz w:val="28"/>
          <w:szCs w:val="28"/>
        </w:rPr>
        <w:t>5</w:t>
      </w:r>
      <w:r>
        <w:rPr>
          <w:rFonts w:asciiTheme="minorEastAsia" w:hAnsiTheme="minorEastAsia" w:eastAsiaTheme="minorEastAsia"/>
          <w:sz w:val="28"/>
          <w:szCs w:val="28"/>
        </w:rPr>
        <w:t xml:space="preserve">  </w:t>
      </w:r>
      <w:r>
        <w:rPr>
          <w:rFonts w:hint="eastAsia" w:ascii="宋体" w:hAnsi="宋体"/>
          <w:sz w:val="28"/>
          <w:szCs w:val="28"/>
        </w:rPr>
        <w:t>知识产权代理相关资质证书</w:t>
      </w:r>
    </w:p>
    <w:p w14:paraId="77D14CE3">
      <w:pPr>
        <w:pStyle w:val="12"/>
        <w:spacing w:line="480" w:lineRule="auto"/>
        <w:jc w:val="center"/>
        <w:outlineLvl w:val="9"/>
        <w:rPr>
          <w:rFonts w:asciiTheme="minorEastAsia" w:hAnsiTheme="minorEastAsia" w:eastAsiaTheme="minorEastAsia"/>
          <w:b/>
          <w:sz w:val="28"/>
          <w:szCs w:val="28"/>
          <w:lang w:val="en-GB"/>
        </w:rPr>
      </w:pPr>
    </w:p>
    <w:p w14:paraId="71BC1BE7">
      <w:pPr>
        <w:pStyle w:val="13"/>
        <w:spacing w:line="360" w:lineRule="auto"/>
        <w:rPr>
          <w:rFonts w:asciiTheme="minorEastAsia" w:hAnsiTheme="minorEastAsia" w:eastAsiaTheme="minorEastAsia"/>
          <w:b/>
          <w:sz w:val="28"/>
          <w:szCs w:val="28"/>
          <w:lang w:val="en-GB"/>
        </w:rPr>
      </w:pPr>
    </w:p>
    <w:p w14:paraId="0C411E34">
      <w:pPr>
        <w:pStyle w:val="13"/>
        <w:spacing w:line="360" w:lineRule="auto"/>
        <w:rPr>
          <w:rFonts w:asciiTheme="minorEastAsia" w:hAnsiTheme="minorEastAsia" w:eastAsiaTheme="minorEastAsia"/>
          <w:b/>
          <w:sz w:val="28"/>
          <w:szCs w:val="28"/>
          <w:lang w:val="en-GB"/>
        </w:rPr>
      </w:pPr>
    </w:p>
    <w:p w14:paraId="2F0A6D5D">
      <w:pPr>
        <w:pStyle w:val="13"/>
        <w:spacing w:line="360" w:lineRule="auto"/>
        <w:rPr>
          <w:rFonts w:asciiTheme="minorEastAsia" w:hAnsiTheme="minorEastAsia" w:eastAsiaTheme="minorEastAsia"/>
          <w:b/>
          <w:sz w:val="28"/>
          <w:szCs w:val="28"/>
          <w:lang w:val="en-GB"/>
        </w:rPr>
      </w:pPr>
    </w:p>
    <w:p w14:paraId="21FDBB7F">
      <w:pPr>
        <w:pStyle w:val="13"/>
        <w:spacing w:line="360" w:lineRule="auto"/>
        <w:rPr>
          <w:rFonts w:asciiTheme="minorEastAsia" w:hAnsiTheme="minorEastAsia" w:eastAsiaTheme="minorEastAsia"/>
          <w:b/>
          <w:sz w:val="28"/>
          <w:szCs w:val="28"/>
          <w:lang w:val="en-GB"/>
        </w:rPr>
      </w:pPr>
    </w:p>
    <w:p w14:paraId="4F139BF4">
      <w:pPr>
        <w:pStyle w:val="13"/>
        <w:spacing w:line="360" w:lineRule="auto"/>
        <w:rPr>
          <w:rFonts w:asciiTheme="minorEastAsia" w:hAnsiTheme="minorEastAsia" w:eastAsiaTheme="minorEastAsia"/>
          <w:b/>
          <w:sz w:val="28"/>
          <w:szCs w:val="28"/>
          <w:lang w:val="en-GB"/>
        </w:rPr>
      </w:pPr>
    </w:p>
    <w:p w14:paraId="4353A66D">
      <w:pPr>
        <w:pStyle w:val="13"/>
        <w:spacing w:line="360" w:lineRule="auto"/>
        <w:rPr>
          <w:rFonts w:asciiTheme="minorEastAsia" w:hAnsiTheme="minorEastAsia" w:eastAsiaTheme="minorEastAsia"/>
          <w:b/>
          <w:sz w:val="28"/>
          <w:szCs w:val="28"/>
          <w:lang w:val="en-GB"/>
        </w:rPr>
      </w:pPr>
    </w:p>
    <w:p w14:paraId="7330E876">
      <w:pPr>
        <w:pStyle w:val="13"/>
        <w:spacing w:line="360" w:lineRule="auto"/>
        <w:rPr>
          <w:rFonts w:asciiTheme="minorEastAsia" w:hAnsiTheme="minorEastAsia" w:eastAsiaTheme="minorEastAsia"/>
          <w:b/>
          <w:sz w:val="28"/>
          <w:szCs w:val="28"/>
          <w:lang w:val="en-GB"/>
        </w:rPr>
      </w:pPr>
    </w:p>
    <w:p w14:paraId="5D654E0A">
      <w:pPr>
        <w:pStyle w:val="13"/>
        <w:spacing w:line="360" w:lineRule="auto"/>
        <w:rPr>
          <w:rFonts w:asciiTheme="minorEastAsia" w:hAnsiTheme="minorEastAsia" w:eastAsiaTheme="minorEastAsia"/>
          <w:b/>
          <w:sz w:val="28"/>
          <w:szCs w:val="28"/>
          <w:lang w:val="en-GB"/>
        </w:rPr>
      </w:pPr>
    </w:p>
    <w:p w14:paraId="4FEF98DF">
      <w:pPr>
        <w:pStyle w:val="13"/>
        <w:spacing w:line="360" w:lineRule="auto"/>
        <w:rPr>
          <w:rFonts w:asciiTheme="minorEastAsia" w:hAnsiTheme="minorEastAsia" w:eastAsiaTheme="minorEastAsia"/>
          <w:b/>
          <w:sz w:val="28"/>
          <w:szCs w:val="28"/>
          <w:lang w:val="en-GB"/>
        </w:rPr>
      </w:pPr>
    </w:p>
    <w:p w14:paraId="20E0E11A">
      <w:pPr>
        <w:pStyle w:val="13"/>
        <w:spacing w:line="360" w:lineRule="auto"/>
        <w:rPr>
          <w:rFonts w:asciiTheme="minorEastAsia" w:hAnsiTheme="minorEastAsia" w:eastAsiaTheme="minorEastAsia"/>
          <w:b/>
          <w:sz w:val="28"/>
          <w:szCs w:val="28"/>
          <w:lang w:val="en-GB"/>
        </w:rPr>
      </w:pPr>
    </w:p>
    <w:p w14:paraId="177767D7">
      <w:pPr>
        <w:pStyle w:val="13"/>
        <w:spacing w:line="360" w:lineRule="auto"/>
        <w:rPr>
          <w:rFonts w:asciiTheme="minorEastAsia" w:hAnsiTheme="minorEastAsia" w:eastAsiaTheme="minorEastAsia"/>
          <w:b/>
          <w:sz w:val="28"/>
          <w:szCs w:val="28"/>
          <w:lang w:val="en-GB"/>
        </w:rPr>
      </w:pPr>
    </w:p>
    <w:p w14:paraId="6FA8B8D7">
      <w:pPr>
        <w:pStyle w:val="13"/>
        <w:spacing w:line="360" w:lineRule="auto"/>
        <w:rPr>
          <w:rFonts w:asciiTheme="minorEastAsia" w:hAnsiTheme="minorEastAsia" w:eastAsiaTheme="minorEastAsia"/>
          <w:b/>
          <w:sz w:val="28"/>
          <w:szCs w:val="28"/>
          <w:lang w:val="en-GB"/>
        </w:rPr>
      </w:pPr>
    </w:p>
    <w:p w14:paraId="6B3C9520">
      <w:pPr>
        <w:pStyle w:val="13"/>
        <w:spacing w:line="360" w:lineRule="auto"/>
        <w:rPr>
          <w:rFonts w:asciiTheme="minorEastAsia" w:hAnsiTheme="minorEastAsia" w:eastAsiaTheme="minorEastAsia"/>
          <w:b/>
          <w:sz w:val="28"/>
          <w:szCs w:val="28"/>
          <w:lang w:val="en-GB"/>
        </w:rPr>
      </w:pPr>
    </w:p>
    <w:p w14:paraId="48333BA1">
      <w:pPr>
        <w:pStyle w:val="13"/>
        <w:spacing w:line="360" w:lineRule="auto"/>
        <w:rPr>
          <w:rFonts w:asciiTheme="minorEastAsia" w:hAnsiTheme="minorEastAsia" w:eastAsiaTheme="minorEastAsia"/>
          <w:b/>
          <w:sz w:val="28"/>
          <w:szCs w:val="28"/>
          <w:lang w:val="en-GB"/>
        </w:rPr>
      </w:pPr>
    </w:p>
    <w:p w14:paraId="37EBE5D1">
      <w:pPr>
        <w:pStyle w:val="13"/>
        <w:spacing w:line="360" w:lineRule="auto"/>
        <w:rPr>
          <w:rFonts w:asciiTheme="minorEastAsia" w:hAnsiTheme="minorEastAsia" w:eastAsiaTheme="minorEastAsia"/>
          <w:b/>
          <w:sz w:val="28"/>
          <w:szCs w:val="28"/>
          <w:lang w:val="en-GB"/>
        </w:rPr>
      </w:pPr>
    </w:p>
    <w:p w14:paraId="47B83D7E">
      <w:pPr>
        <w:pStyle w:val="13"/>
        <w:spacing w:line="360" w:lineRule="auto"/>
        <w:rPr>
          <w:rFonts w:asciiTheme="minorEastAsia" w:hAnsiTheme="minorEastAsia" w:eastAsiaTheme="minorEastAsia"/>
          <w:b/>
          <w:sz w:val="28"/>
          <w:szCs w:val="28"/>
          <w:lang w:val="en-GB"/>
        </w:rPr>
      </w:pPr>
    </w:p>
    <w:p w14:paraId="051EB825">
      <w:pPr>
        <w:pStyle w:val="13"/>
        <w:spacing w:line="360" w:lineRule="auto"/>
        <w:rPr>
          <w:rFonts w:asciiTheme="minorEastAsia" w:hAnsiTheme="minorEastAsia" w:eastAsiaTheme="minorEastAsia"/>
          <w:b/>
          <w:sz w:val="28"/>
          <w:szCs w:val="28"/>
          <w:lang w:val="en-GB"/>
        </w:rPr>
      </w:pPr>
    </w:p>
    <w:p w14:paraId="29F822D5">
      <w:pPr>
        <w:widowControl/>
        <w:jc w:val="left"/>
        <w:rPr>
          <w:rFonts w:asciiTheme="minorEastAsia" w:hAnsiTheme="minorEastAsia" w:eastAsiaTheme="minorEastAsia"/>
          <w:b/>
          <w:sz w:val="28"/>
          <w:szCs w:val="28"/>
          <w:lang w:val="en-GB"/>
        </w:rPr>
      </w:pPr>
      <w:r>
        <w:rPr>
          <w:rFonts w:asciiTheme="minorEastAsia" w:hAnsiTheme="minorEastAsia" w:eastAsiaTheme="minorEastAsia"/>
          <w:b/>
          <w:sz w:val="28"/>
          <w:szCs w:val="28"/>
          <w:lang w:val="en-GB"/>
        </w:rPr>
        <w:br w:type="page"/>
      </w:r>
    </w:p>
    <w:p w14:paraId="4DFFD6F6">
      <w:pPr>
        <w:pStyle w:val="12"/>
        <w:spacing w:line="480" w:lineRule="auto"/>
        <w:jc w:val="center"/>
        <w:outlineLvl w:val="1"/>
        <w:rPr>
          <w:rFonts w:asciiTheme="minorEastAsia" w:hAnsiTheme="minorEastAsia" w:eastAsiaTheme="minorEastAsia"/>
          <w:b/>
          <w:sz w:val="28"/>
          <w:szCs w:val="32"/>
        </w:rPr>
      </w:pPr>
      <w:r>
        <w:rPr>
          <w:rFonts w:hint="eastAsia" w:asciiTheme="minorEastAsia" w:hAnsiTheme="minorEastAsia" w:eastAsiaTheme="minorEastAsia"/>
          <w:b/>
          <w:sz w:val="28"/>
          <w:szCs w:val="32"/>
          <w:lang w:val="en-GB"/>
        </w:rPr>
        <w:t>格式</w:t>
      </w:r>
      <w:r>
        <w:rPr>
          <w:rFonts w:asciiTheme="minorEastAsia" w:hAnsiTheme="minorEastAsia" w:eastAsiaTheme="minorEastAsia"/>
          <w:b/>
          <w:sz w:val="28"/>
          <w:szCs w:val="32"/>
          <w:lang w:val="en-GB"/>
        </w:rPr>
        <w:t xml:space="preserve">6  </w:t>
      </w:r>
      <w:r>
        <w:rPr>
          <w:rFonts w:hint="eastAsia" w:asciiTheme="minorEastAsia" w:hAnsiTheme="minorEastAsia" w:eastAsiaTheme="minorEastAsia"/>
          <w:b/>
          <w:sz w:val="28"/>
          <w:szCs w:val="32"/>
        </w:rPr>
        <w:t>用户需求书响应一览表</w:t>
      </w:r>
    </w:p>
    <w:p w14:paraId="26A0C17B">
      <w:pPr>
        <w:pStyle w:val="5"/>
      </w:pPr>
    </w:p>
    <w:p w14:paraId="2A7F723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广州医科大学附属番禺中心医院2025年专利代理服务项目</w:t>
      </w:r>
    </w:p>
    <w:tbl>
      <w:tblPr>
        <w:tblStyle w:val="37"/>
        <w:tblW w:w="105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76"/>
        <w:gridCol w:w="1033"/>
        <w:gridCol w:w="3465"/>
        <w:gridCol w:w="2318"/>
        <w:gridCol w:w="2322"/>
      </w:tblGrid>
      <w:tr w14:paraId="7E4543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1376" w:type="dxa"/>
            <w:tcBorders>
              <w:top w:val="single" w:color="auto" w:sz="12" w:space="0"/>
              <w:bottom w:val="single" w:color="auto" w:sz="2" w:space="0"/>
            </w:tcBorders>
            <w:vAlign w:val="center"/>
          </w:tcPr>
          <w:p w14:paraId="5759AFC0">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“第三部分用户需求书 三、服务要求 及四、商务要求”的响应情况</w:t>
            </w:r>
          </w:p>
        </w:tc>
        <w:tc>
          <w:tcPr>
            <w:tcW w:w="1033" w:type="dxa"/>
            <w:tcBorders>
              <w:top w:val="single" w:color="auto" w:sz="12" w:space="0"/>
              <w:bottom w:val="single" w:color="auto" w:sz="2" w:space="0"/>
            </w:tcBorders>
            <w:vAlign w:val="center"/>
          </w:tcPr>
          <w:p w14:paraId="6FB4C1BF">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是否“★”号条款</w:t>
            </w:r>
          </w:p>
        </w:tc>
        <w:tc>
          <w:tcPr>
            <w:tcW w:w="3465" w:type="dxa"/>
            <w:tcBorders>
              <w:top w:val="single" w:color="auto" w:sz="12" w:space="0"/>
              <w:bottom w:val="single" w:color="auto" w:sz="2" w:space="0"/>
            </w:tcBorders>
            <w:vAlign w:val="center"/>
          </w:tcPr>
          <w:p w14:paraId="127289F7">
            <w:pPr>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Theme="minorEastAsia" w:hAnsiTheme="minorEastAsia" w:eastAsiaTheme="minorEastAsia"/>
                <w:b/>
                <w:sz w:val="24"/>
              </w:rPr>
              <w:t>询比文件条款描述</w:t>
            </w:r>
          </w:p>
        </w:tc>
        <w:tc>
          <w:tcPr>
            <w:tcW w:w="2318" w:type="dxa"/>
            <w:tcBorders>
              <w:top w:val="single" w:color="auto" w:sz="12" w:space="0"/>
              <w:bottom w:val="single" w:color="auto" w:sz="2" w:space="0"/>
            </w:tcBorders>
            <w:vAlign w:val="center"/>
          </w:tcPr>
          <w:p w14:paraId="2FA90C55">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响应情况</w:t>
            </w:r>
          </w:p>
        </w:tc>
        <w:tc>
          <w:tcPr>
            <w:tcW w:w="2322" w:type="dxa"/>
            <w:tcBorders>
              <w:top w:val="single" w:color="auto" w:sz="12" w:space="0"/>
              <w:bottom w:val="single" w:color="auto" w:sz="2" w:space="0"/>
            </w:tcBorders>
            <w:vAlign w:val="center"/>
          </w:tcPr>
          <w:p w14:paraId="7744D43F">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偏离说明</w:t>
            </w:r>
          </w:p>
        </w:tc>
      </w:tr>
      <w:tr w14:paraId="5BBCAF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tcBorders>
              <w:top w:val="single" w:color="auto" w:sz="2" w:space="0"/>
            </w:tcBorders>
            <w:vAlign w:val="center"/>
          </w:tcPr>
          <w:p w14:paraId="7CF6961C">
            <w:pPr>
              <w:keepNext w:val="0"/>
              <w:keepLines w:val="0"/>
              <w:suppressLineNumbers w:val="0"/>
              <w:spacing w:before="0" w:beforeAutospacing="0" w:after="0" w:afterAutospacing="0" w:line="400" w:lineRule="exact"/>
              <w:ind w:left="420" w:right="0"/>
              <w:rPr>
                <w:rFonts w:hint="default" w:ascii="宋体" w:hAnsi="宋体" w:cs="宋体"/>
                <w:sz w:val="24"/>
              </w:rPr>
            </w:pPr>
          </w:p>
        </w:tc>
        <w:tc>
          <w:tcPr>
            <w:tcW w:w="1033" w:type="dxa"/>
            <w:tcBorders>
              <w:top w:val="single" w:color="auto" w:sz="2" w:space="0"/>
            </w:tcBorders>
            <w:vAlign w:val="center"/>
          </w:tcPr>
          <w:p w14:paraId="3FB6F36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465" w:type="dxa"/>
            <w:tcBorders>
              <w:top w:val="single" w:color="auto" w:sz="2" w:space="0"/>
            </w:tcBorders>
            <w:vAlign w:val="center"/>
          </w:tcPr>
          <w:p w14:paraId="0764623E">
            <w:pPr>
              <w:keepNext w:val="0"/>
              <w:keepLines w:val="0"/>
              <w:suppressLineNumbers w:val="0"/>
              <w:tabs>
                <w:tab w:val="left" w:pos="525"/>
                <w:tab w:val="left" w:pos="846"/>
              </w:tabs>
              <w:autoSpaceDE w:val="0"/>
              <w:autoSpaceDN w:val="0"/>
              <w:adjustRightInd w:val="0"/>
              <w:spacing w:before="0" w:beforeAutospacing="0" w:after="0" w:afterAutospacing="0" w:line="400" w:lineRule="exact"/>
              <w:ind w:left="0" w:right="0"/>
              <w:jc w:val="center"/>
              <w:outlineLvl w:val="1"/>
              <w:rPr>
                <w:rFonts w:hint="default" w:ascii="宋体" w:hAnsi="宋体" w:cs="宋体"/>
                <w:bCs/>
                <w:sz w:val="24"/>
              </w:rPr>
            </w:pPr>
          </w:p>
        </w:tc>
        <w:tc>
          <w:tcPr>
            <w:tcW w:w="2318" w:type="dxa"/>
            <w:tcBorders>
              <w:top w:val="single" w:color="auto" w:sz="2" w:space="0"/>
            </w:tcBorders>
            <w:vAlign w:val="center"/>
          </w:tcPr>
          <w:p w14:paraId="1300EA00">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2322" w:type="dxa"/>
            <w:tcBorders>
              <w:top w:val="single" w:color="auto" w:sz="2" w:space="0"/>
            </w:tcBorders>
            <w:vAlign w:val="center"/>
          </w:tcPr>
          <w:p w14:paraId="5ADD0FEB">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7952D1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vAlign w:val="center"/>
          </w:tcPr>
          <w:p w14:paraId="2B2FE518">
            <w:pPr>
              <w:keepNext w:val="0"/>
              <w:keepLines w:val="0"/>
              <w:suppressLineNumbers w:val="0"/>
              <w:spacing w:before="0" w:beforeAutospacing="0" w:after="0" w:afterAutospacing="0" w:line="400" w:lineRule="exact"/>
              <w:ind w:left="420" w:right="0"/>
              <w:rPr>
                <w:rFonts w:hint="default" w:ascii="宋体" w:hAnsi="宋体" w:cs="宋体"/>
                <w:sz w:val="24"/>
              </w:rPr>
            </w:pPr>
          </w:p>
        </w:tc>
        <w:tc>
          <w:tcPr>
            <w:tcW w:w="1033" w:type="dxa"/>
            <w:vAlign w:val="center"/>
          </w:tcPr>
          <w:p w14:paraId="2E4B896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465" w:type="dxa"/>
            <w:vAlign w:val="center"/>
          </w:tcPr>
          <w:p w14:paraId="6AC43DF8">
            <w:pPr>
              <w:keepNext w:val="0"/>
              <w:keepLines w:val="0"/>
              <w:suppressLineNumbers w:val="0"/>
              <w:spacing w:before="0" w:beforeAutospacing="0" w:after="0" w:afterAutospacing="0" w:line="400" w:lineRule="exact"/>
              <w:ind w:left="0" w:right="0"/>
              <w:jc w:val="center"/>
              <w:rPr>
                <w:rFonts w:hint="default" w:ascii="宋体" w:hAnsi="宋体" w:cs="宋体"/>
                <w:bCs/>
                <w:sz w:val="24"/>
              </w:rPr>
            </w:pPr>
          </w:p>
        </w:tc>
        <w:tc>
          <w:tcPr>
            <w:tcW w:w="2318" w:type="dxa"/>
            <w:vAlign w:val="center"/>
          </w:tcPr>
          <w:p w14:paraId="6B2974C5">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2322" w:type="dxa"/>
            <w:vAlign w:val="center"/>
          </w:tcPr>
          <w:p w14:paraId="0A8673F4">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3E0639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vAlign w:val="center"/>
          </w:tcPr>
          <w:p w14:paraId="27CBC9F0">
            <w:pPr>
              <w:keepNext w:val="0"/>
              <w:keepLines w:val="0"/>
              <w:suppressLineNumbers w:val="0"/>
              <w:spacing w:before="0" w:beforeAutospacing="0" w:after="0" w:afterAutospacing="0" w:line="400" w:lineRule="exact"/>
              <w:ind w:left="420" w:right="0"/>
              <w:rPr>
                <w:rFonts w:hint="default" w:ascii="宋体" w:hAnsi="宋体" w:cs="宋体"/>
                <w:sz w:val="24"/>
              </w:rPr>
            </w:pPr>
          </w:p>
        </w:tc>
        <w:tc>
          <w:tcPr>
            <w:tcW w:w="1033" w:type="dxa"/>
            <w:vAlign w:val="center"/>
          </w:tcPr>
          <w:p w14:paraId="40C8F60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465" w:type="dxa"/>
            <w:vAlign w:val="center"/>
          </w:tcPr>
          <w:p w14:paraId="5953C9E2">
            <w:pPr>
              <w:keepNext w:val="0"/>
              <w:keepLines w:val="0"/>
              <w:suppressLineNumbers w:val="0"/>
              <w:spacing w:before="0" w:beforeAutospacing="0" w:after="0" w:afterAutospacing="0" w:line="400" w:lineRule="exact"/>
              <w:ind w:left="0" w:right="0"/>
              <w:jc w:val="center"/>
              <w:rPr>
                <w:rFonts w:hint="default" w:ascii="宋体" w:hAnsi="宋体" w:cs="宋体"/>
                <w:bCs/>
                <w:sz w:val="24"/>
              </w:rPr>
            </w:pPr>
          </w:p>
        </w:tc>
        <w:tc>
          <w:tcPr>
            <w:tcW w:w="2318" w:type="dxa"/>
            <w:vAlign w:val="center"/>
          </w:tcPr>
          <w:p w14:paraId="69554F28">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2322" w:type="dxa"/>
            <w:vAlign w:val="center"/>
          </w:tcPr>
          <w:p w14:paraId="4B0787B7">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1893D9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vAlign w:val="center"/>
          </w:tcPr>
          <w:p w14:paraId="702A7519">
            <w:pPr>
              <w:keepNext w:val="0"/>
              <w:keepLines w:val="0"/>
              <w:suppressLineNumbers w:val="0"/>
              <w:spacing w:before="0" w:beforeAutospacing="0" w:after="0" w:afterAutospacing="0" w:line="400" w:lineRule="exact"/>
              <w:ind w:left="420" w:right="0"/>
              <w:rPr>
                <w:rFonts w:hint="default" w:ascii="宋体" w:hAnsi="宋体" w:cs="宋体"/>
                <w:sz w:val="24"/>
              </w:rPr>
            </w:pPr>
          </w:p>
        </w:tc>
        <w:tc>
          <w:tcPr>
            <w:tcW w:w="1033" w:type="dxa"/>
            <w:vAlign w:val="center"/>
          </w:tcPr>
          <w:p w14:paraId="7E3EC5D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465" w:type="dxa"/>
            <w:vAlign w:val="center"/>
          </w:tcPr>
          <w:p w14:paraId="4DC3BCA1">
            <w:pPr>
              <w:keepNext w:val="0"/>
              <w:keepLines w:val="0"/>
              <w:suppressLineNumbers w:val="0"/>
              <w:spacing w:before="0" w:beforeAutospacing="0" w:after="0" w:afterAutospacing="0" w:line="400" w:lineRule="exact"/>
              <w:ind w:left="0" w:right="0"/>
              <w:jc w:val="center"/>
              <w:rPr>
                <w:rFonts w:hint="default" w:ascii="宋体" w:hAnsi="宋体" w:cs="宋体"/>
                <w:bCs/>
                <w:sz w:val="24"/>
              </w:rPr>
            </w:pPr>
          </w:p>
        </w:tc>
        <w:tc>
          <w:tcPr>
            <w:tcW w:w="2318" w:type="dxa"/>
            <w:vAlign w:val="center"/>
          </w:tcPr>
          <w:p w14:paraId="21FD0DB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2322" w:type="dxa"/>
            <w:vAlign w:val="center"/>
          </w:tcPr>
          <w:p w14:paraId="24E1F802">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02DAA9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376" w:type="dxa"/>
            <w:vAlign w:val="center"/>
          </w:tcPr>
          <w:p w14:paraId="248FA851">
            <w:pPr>
              <w:keepNext w:val="0"/>
              <w:keepLines w:val="0"/>
              <w:suppressLineNumbers w:val="0"/>
              <w:spacing w:before="0" w:beforeAutospacing="0" w:after="0" w:afterAutospacing="0" w:line="400" w:lineRule="exact"/>
              <w:ind w:left="420" w:right="0"/>
              <w:rPr>
                <w:rFonts w:hint="default" w:ascii="宋体" w:hAnsi="宋体" w:cs="宋体"/>
                <w:sz w:val="24"/>
              </w:rPr>
            </w:pPr>
            <w:r>
              <w:rPr>
                <w:rFonts w:hint="default" w:ascii="宋体" w:hAnsi="宋体" w:cs="宋体"/>
                <w:sz w:val="24"/>
              </w:rPr>
              <w:t>……</w:t>
            </w:r>
          </w:p>
        </w:tc>
        <w:tc>
          <w:tcPr>
            <w:tcW w:w="1033" w:type="dxa"/>
            <w:vAlign w:val="center"/>
          </w:tcPr>
          <w:p w14:paraId="1AEF827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465" w:type="dxa"/>
            <w:vAlign w:val="center"/>
          </w:tcPr>
          <w:p w14:paraId="159E54EA">
            <w:pPr>
              <w:keepNext w:val="0"/>
              <w:keepLines w:val="0"/>
              <w:suppressLineNumbers w:val="0"/>
              <w:spacing w:before="0" w:beforeAutospacing="0" w:after="0" w:afterAutospacing="0" w:line="400" w:lineRule="exact"/>
              <w:ind w:left="0" w:right="0"/>
              <w:jc w:val="center"/>
              <w:rPr>
                <w:rFonts w:hint="default" w:ascii="宋体" w:hAnsi="宋体" w:cs="宋体"/>
                <w:bCs/>
                <w:sz w:val="24"/>
              </w:rPr>
            </w:pPr>
          </w:p>
        </w:tc>
        <w:tc>
          <w:tcPr>
            <w:tcW w:w="2318" w:type="dxa"/>
            <w:vAlign w:val="center"/>
          </w:tcPr>
          <w:p w14:paraId="348F9D33">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2322" w:type="dxa"/>
            <w:vAlign w:val="center"/>
          </w:tcPr>
          <w:p w14:paraId="1E179D7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bl>
    <w:p w14:paraId="0D29F07A">
      <w:pPr>
        <w:spacing w:line="360" w:lineRule="auto"/>
        <w:rPr>
          <w:rFonts w:ascii="宋体" w:hAnsi="宋体"/>
          <w:sz w:val="24"/>
        </w:rPr>
      </w:pPr>
      <w:r>
        <w:rPr>
          <w:rFonts w:hint="eastAsia" w:ascii="宋体" w:hAnsi="宋体"/>
          <w:sz w:val="24"/>
        </w:rPr>
        <w:t>备注：</w:t>
      </w:r>
      <w:r>
        <w:rPr>
          <w:rFonts w:hint="eastAsia" w:ascii="宋体" w:hAnsi="宋体" w:cs="宋体"/>
          <w:sz w:val="24"/>
        </w:rPr>
        <w:t>本表根据</w:t>
      </w:r>
      <w:r>
        <w:rPr>
          <w:rFonts w:hint="eastAsia" w:ascii="宋体" w:hAnsi="宋体"/>
          <w:sz w:val="24"/>
        </w:rPr>
        <w:t>询比文件</w:t>
      </w:r>
      <w:r>
        <w:rPr>
          <w:rFonts w:hint="eastAsia" w:ascii="宋体" w:hAnsi="宋体" w:cs="宋体"/>
          <w:sz w:val="24"/>
        </w:rPr>
        <w:t>用户需求书要求的内容</w:t>
      </w:r>
      <w:r>
        <w:rPr>
          <w:rFonts w:hint="eastAsia" w:ascii="宋体" w:hAnsi="宋体" w:cs="宋体"/>
          <w:b/>
          <w:sz w:val="24"/>
        </w:rPr>
        <w:t>“</w:t>
      </w:r>
      <w:r>
        <w:rPr>
          <w:rFonts w:hint="eastAsia" w:ascii="宋体" w:hAnsi="宋体" w:cs="宋体"/>
          <w:b/>
          <w:color w:val="FF0000"/>
          <w:sz w:val="24"/>
        </w:rPr>
        <w:t>逐条</w:t>
      </w:r>
      <w:r>
        <w:rPr>
          <w:rFonts w:ascii="宋体" w:hAnsi="宋体" w:cs="宋体"/>
          <w:b/>
          <w:color w:val="FF0000"/>
          <w:sz w:val="24"/>
        </w:rPr>
        <w:t>制作</w:t>
      </w:r>
      <w:r>
        <w:rPr>
          <w:rFonts w:hint="eastAsia" w:ascii="宋体" w:hAnsi="宋体" w:cs="宋体"/>
          <w:b/>
          <w:sz w:val="24"/>
        </w:rPr>
        <w:t>”</w:t>
      </w:r>
      <w:r>
        <w:rPr>
          <w:rFonts w:hint="eastAsia" w:ascii="宋体" w:hAnsi="宋体" w:cs="宋体"/>
          <w:sz w:val="24"/>
        </w:rPr>
        <w:t>，对完全响应的条目在上表“响应情况”列中标注“√”。对有偏离的条目在上表“响应情况”列中标注“×”，并在“偏离说明”填写偏离内容。</w:t>
      </w:r>
    </w:p>
    <w:p w14:paraId="715E703B"/>
    <w:p w14:paraId="5EE1AE21">
      <w:pPr>
        <w:spacing w:line="360" w:lineRule="auto"/>
        <w:ind w:left="4252" w:leftChars="2025"/>
        <w:rPr>
          <w:rFonts w:asciiTheme="minorEastAsia" w:hAnsiTheme="minorEastAsia" w:eastAsiaTheme="minorEastAsia"/>
          <w:sz w:val="24"/>
        </w:rPr>
      </w:pPr>
      <w:r>
        <w:rPr>
          <w:rFonts w:hint="eastAsia" w:asciiTheme="minorEastAsia" w:hAnsiTheme="minorEastAsia" w:eastAsiaTheme="minorEastAsia"/>
          <w:sz w:val="24"/>
        </w:rPr>
        <w:t>响应供应商（单位公章）：</w:t>
      </w:r>
    </w:p>
    <w:p w14:paraId="17129412">
      <w:pPr>
        <w:spacing w:line="360" w:lineRule="auto"/>
        <w:ind w:left="4252" w:leftChars="2025"/>
        <w:jc w:val="right"/>
        <w:rPr>
          <w:rFonts w:asciiTheme="minorEastAsia" w:hAnsiTheme="minorEastAsia" w:eastAsiaTheme="minorEastAsia"/>
          <w:sz w:val="24"/>
        </w:rPr>
      </w:pPr>
    </w:p>
    <w:p w14:paraId="05BB967E">
      <w:pPr>
        <w:spacing w:line="360" w:lineRule="auto"/>
        <w:ind w:left="4252" w:leftChars="2025"/>
        <w:jc w:val="right"/>
        <w:rPr>
          <w:rFonts w:cs="Arial" w:asciiTheme="minorEastAsia" w:hAnsiTheme="minorEastAsia" w:eastAsiaTheme="minorEastAsia"/>
          <w:sz w:val="24"/>
        </w:rPr>
      </w:pPr>
      <w:r>
        <w:rPr>
          <w:rFonts w:hint="eastAsia" w:asciiTheme="minorEastAsia" w:hAnsiTheme="minorEastAsia" w:eastAsiaTheme="minorEastAsia"/>
          <w:sz w:val="24"/>
        </w:rPr>
        <w:t>日期：</w:t>
      </w:r>
      <w:r>
        <w:rPr>
          <w:rFonts w:hint="eastAsia" w:cs="Arial" w:asciiTheme="minorEastAsia" w:hAnsiTheme="minorEastAsia" w:eastAsiaTheme="minorEastAsia"/>
          <w:sz w:val="24"/>
        </w:rPr>
        <w:t>X</w:t>
      </w:r>
      <w:r>
        <w:rPr>
          <w:rFonts w:cs="Arial" w:asciiTheme="minorEastAsia" w:hAnsiTheme="minorEastAsia" w:eastAsiaTheme="minorEastAsia"/>
          <w:sz w:val="24"/>
        </w:rPr>
        <w:t>XXX</w:t>
      </w:r>
      <w:r>
        <w:rPr>
          <w:rFonts w:hint="eastAsia" w:cs="Arial" w:asciiTheme="minorEastAsia" w:hAnsiTheme="minorEastAsia" w:eastAsiaTheme="minorEastAsia"/>
          <w:sz w:val="24"/>
        </w:rPr>
        <w:t>年</w:t>
      </w:r>
      <w:r>
        <w:rPr>
          <w:rFonts w:cs="Arial" w:asciiTheme="minorEastAsia" w:hAnsiTheme="minorEastAsia" w:eastAsiaTheme="minorEastAsia"/>
          <w:sz w:val="24"/>
        </w:rPr>
        <w:t>XX</w:t>
      </w:r>
      <w:r>
        <w:rPr>
          <w:rFonts w:hint="eastAsia" w:cs="Arial" w:asciiTheme="minorEastAsia" w:hAnsiTheme="minorEastAsia" w:eastAsiaTheme="minorEastAsia"/>
          <w:sz w:val="24"/>
        </w:rPr>
        <w:t>月</w:t>
      </w:r>
      <w:r>
        <w:rPr>
          <w:rFonts w:cs="Arial" w:asciiTheme="minorEastAsia" w:hAnsiTheme="minorEastAsia" w:eastAsiaTheme="minorEastAsia"/>
          <w:sz w:val="24"/>
        </w:rPr>
        <w:t>XX</w:t>
      </w:r>
      <w:r>
        <w:rPr>
          <w:rFonts w:hint="eastAsia" w:cs="Arial" w:asciiTheme="minorEastAsia" w:hAnsiTheme="minorEastAsia" w:eastAsiaTheme="minorEastAsia"/>
          <w:sz w:val="24"/>
        </w:rPr>
        <w:t>日</w:t>
      </w:r>
    </w:p>
    <w:p w14:paraId="51D4BFB7">
      <w:pPr>
        <w:pStyle w:val="5"/>
        <w:ind w:firstLine="0"/>
      </w:pPr>
    </w:p>
    <w:p w14:paraId="19EBD461">
      <w:pPr>
        <w:jc w:val="center"/>
        <w:rPr>
          <w:rFonts w:asciiTheme="minorEastAsia" w:hAnsiTheme="minorEastAsia" w:eastAsiaTheme="minorEastAsia"/>
          <w:b/>
          <w:sz w:val="28"/>
          <w:szCs w:val="28"/>
          <w:lang w:val="en-GB"/>
        </w:rPr>
      </w:pPr>
    </w:p>
    <w:p w14:paraId="0B9D17BA">
      <w:pPr>
        <w:pStyle w:val="5"/>
        <w:rPr>
          <w:lang w:val="en-GB"/>
        </w:rPr>
      </w:pPr>
    </w:p>
    <w:p w14:paraId="7FF0B7FD">
      <w:pPr>
        <w:pStyle w:val="12"/>
        <w:spacing w:line="480" w:lineRule="auto"/>
        <w:jc w:val="center"/>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lang w:val="en-GB"/>
        </w:rPr>
        <w:t>格式</w:t>
      </w:r>
      <w:r>
        <w:rPr>
          <w:rFonts w:asciiTheme="minorEastAsia" w:hAnsiTheme="minorEastAsia" w:eastAsiaTheme="minorEastAsia"/>
          <w:b/>
          <w:sz w:val="28"/>
          <w:szCs w:val="28"/>
        </w:rPr>
        <w:t>7</w:t>
      </w:r>
      <w:r>
        <w:rPr>
          <w:rFonts w:hint="eastAsia" w:asciiTheme="minorEastAsia" w:hAnsiTheme="minorEastAsia" w:eastAsiaTheme="minorEastAsia"/>
          <w:b/>
          <w:sz w:val="28"/>
          <w:szCs w:val="28"/>
        </w:rPr>
        <w:t xml:space="preserve">  同类项目经验材料</w:t>
      </w:r>
    </w:p>
    <w:p w14:paraId="36AAD826">
      <w:pPr>
        <w:jc w:val="center"/>
        <w:rPr>
          <w:lang w:val="en-GB"/>
        </w:rPr>
      </w:pPr>
      <w:r>
        <w:rPr>
          <w:rFonts w:hint="eastAsia" w:asciiTheme="minorEastAsia" w:hAnsiTheme="minorEastAsia" w:eastAsiaTheme="minorEastAsia"/>
          <w:b/>
          <w:sz w:val="28"/>
          <w:szCs w:val="28"/>
          <w:lang w:val="en-GB"/>
        </w:rPr>
        <w:t>（格式可自定）</w:t>
      </w:r>
    </w:p>
    <w:p w14:paraId="4012475E">
      <w:pPr>
        <w:pStyle w:val="5"/>
        <w:rPr>
          <w:lang w:val="en-GB"/>
        </w:rPr>
      </w:pP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2"/>
        <w:gridCol w:w="1445"/>
        <w:gridCol w:w="1459"/>
        <w:gridCol w:w="1467"/>
        <w:gridCol w:w="2155"/>
        <w:gridCol w:w="1924"/>
      </w:tblGrid>
      <w:tr w14:paraId="01B61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02" w:type="dxa"/>
            <w:tcBorders>
              <w:top w:val="single" w:color="auto" w:sz="12" w:space="0"/>
              <w:bottom w:val="single" w:color="auto" w:sz="2" w:space="0"/>
            </w:tcBorders>
            <w:vAlign w:val="center"/>
          </w:tcPr>
          <w:p w14:paraId="03925AD7">
            <w:pPr>
              <w:pStyle w:val="5"/>
              <w:keepNext w:val="0"/>
              <w:keepLines w:val="0"/>
              <w:suppressLineNumbers w:val="0"/>
              <w:spacing w:before="0" w:beforeAutospacing="0" w:after="0" w:afterAutospacing="0"/>
              <w:ind w:left="0" w:right="0" w:firstLine="0"/>
              <w:rPr>
                <w:rFonts w:hint="default"/>
              </w:rPr>
            </w:pPr>
            <w:r>
              <w:rPr>
                <w:rFonts w:hint="eastAsia"/>
              </w:rPr>
              <w:t>序号</w:t>
            </w:r>
          </w:p>
        </w:tc>
        <w:tc>
          <w:tcPr>
            <w:tcW w:w="1445" w:type="dxa"/>
            <w:tcBorders>
              <w:top w:val="single" w:color="auto" w:sz="12" w:space="0"/>
              <w:bottom w:val="single" w:color="auto" w:sz="2" w:space="0"/>
            </w:tcBorders>
            <w:vAlign w:val="center"/>
          </w:tcPr>
          <w:p w14:paraId="558532DD">
            <w:pPr>
              <w:pStyle w:val="5"/>
              <w:keepNext w:val="0"/>
              <w:keepLines w:val="0"/>
              <w:suppressLineNumbers w:val="0"/>
              <w:spacing w:before="0" w:beforeAutospacing="0" w:after="0" w:afterAutospacing="0"/>
              <w:ind w:left="0" w:right="0" w:firstLine="0"/>
              <w:rPr>
                <w:rFonts w:hint="default"/>
              </w:rPr>
            </w:pPr>
            <w:r>
              <w:rPr>
                <w:rFonts w:hint="eastAsia"/>
              </w:rPr>
              <w:t>采购人名称</w:t>
            </w:r>
          </w:p>
        </w:tc>
        <w:tc>
          <w:tcPr>
            <w:tcW w:w="1459" w:type="dxa"/>
            <w:tcBorders>
              <w:top w:val="single" w:color="auto" w:sz="12" w:space="0"/>
              <w:bottom w:val="single" w:color="auto" w:sz="2" w:space="0"/>
            </w:tcBorders>
            <w:vAlign w:val="center"/>
          </w:tcPr>
          <w:p w14:paraId="7CA9A38D">
            <w:pPr>
              <w:pStyle w:val="5"/>
              <w:keepNext w:val="0"/>
              <w:keepLines w:val="0"/>
              <w:suppressLineNumbers w:val="0"/>
              <w:spacing w:before="0" w:beforeAutospacing="0" w:after="0" w:afterAutospacing="0"/>
              <w:ind w:left="0" w:right="0" w:firstLine="0"/>
              <w:rPr>
                <w:rFonts w:hint="default"/>
              </w:rPr>
            </w:pPr>
            <w:r>
              <w:rPr>
                <w:rFonts w:hint="eastAsia"/>
              </w:rPr>
              <w:t>项目内容</w:t>
            </w:r>
          </w:p>
        </w:tc>
        <w:tc>
          <w:tcPr>
            <w:tcW w:w="1467" w:type="dxa"/>
            <w:tcBorders>
              <w:top w:val="single" w:color="auto" w:sz="12" w:space="0"/>
              <w:bottom w:val="single" w:color="auto" w:sz="2" w:space="0"/>
            </w:tcBorders>
            <w:vAlign w:val="center"/>
          </w:tcPr>
          <w:p w14:paraId="1BB5DAC6">
            <w:pPr>
              <w:pStyle w:val="5"/>
              <w:keepNext w:val="0"/>
              <w:keepLines w:val="0"/>
              <w:suppressLineNumbers w:val="0"/>
              <w:spacing w:before="0" w:beforeAutospacing="0" w:after="0" w:afterAutospacing="0"/>
              <w:ind w:left="0" w:right="0" w:firstLine="0"/>
              <w:rPr>
                <w:rFonts w:hint="default"/>
              </w:rPr>
            </w:pPr>
            <w:r>
              <w:rPr>
                <w:rFonts w:hint="eastAsia"/>
              </w:rPr>
              <w:t>合同总价</w:t>
            </w:r>
          </w:p>
        </w:tc>
        <w:tc>
          <w:tcPr>
            <w:tcW w:w="2155" w:type="dxa"/>
            <w:tcBorders>
              <w:top w:val="single" w:color="auto" w:sz="12" w:space="0"/>
              <w:bottom w:val="single" w:color="auto" w:sz="2" w:space="0"/>
            </w:tcBorders>
            <w:vAlign w:val="center"/>
          </w:tcPr>
          <w:p w14:paraId="362D54ED">
            <w:pPr>
              <w:pStyle w:val="5"/>
              <w:keepNext w:val="0"/>
              <w:keepLines w:val="0"/>
              <w:suppressLineNumbers w:val="0"/>
              <w:spacing w:before="0" w:beforeAutospacing="0" w:after="0" w:afterAutospacing="0"/>
              <w:ind w:left="0" w:right="0" w:firstLine="0"/>
              <w:rPr>
                <w:rFonts w:hint="default"/>
              </w:rPr>
            </w:pPr>
            <w:r>
              <w:rPr>
                <w:rFonts w:hint="eastAsia"/>
              </w:rPr>
              <w:t>签约日期及完成时间</w:t>
            </w:r>
          </w:p>
        </w:tc>
        <w:tc>
          <w:tcPr>
            <w:tcW w:w="1924" w:type="dxa"/>
            <w:tcBorders>
              <w:top w:val="single" w:color="auto" w:sz="12" w:space="0"/>
              <w:bottom w:val="single" w:color="auto" w:sz="2" w:space="0"/>
            </w:tcBorders>
            <w:vAlign w:val="center"/>
          </w:tcPr>
          <w:p w14:paraId="3BA9B587">
            <w:pPr>
              <w:pStyle w:val="5"/>
              <w:keepNext w:val="0"/>
              <w:keepLines w:val="0"/>
              <w:suppressLineNumbers w:val="0"/>
              <w:spacing w:before="0" w:beforeAutospacing="0" w:after="0" w:afterAutospacing="0"/>
              <w:ind w:left="0" w:right="0" w:firstLine="0"/>
              <w:rPr>
                <w:rFonts w:hint="default"/>
              </w:rPr>
            </w:pPr>
            <w:r>
              <w:rPr>
                <w:rFonts w:hint="eastAsia"/>
              </w:rPr>
              <w:t>单位联系人及电话</w:t>
            </w:r>
          </w:p>
        </w:tc>
      </w:tr>
      <w:tr w14:paraId="33A3CC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tcBorders>
            <w:vAlign w:val="center"/>
          </w:tcPr>
          <w:p w14:paraId="43656E1E">
            <w:pPr>
              <w:pStyle w:val="5"/>
              <w:keepNext w:val="0"/>
              <w:keepLines w:val="0"/>
              <w:suppressLineNumbers w:val="0"/>
              <w:spacing w:before="0" w:beforeAutospacing="0" w:after="0" w:afterAutospacing="0"/>
              <w:ind w:left="0" w:right="0"/>
              <w:rPr>
                <w:rFonts w:hint="default"/>
              </w:rPr>
            </w:pPr>
          </w:p>
        </w:tc>
        <w:tc>
          <w:tcPr>
            <w:tcW w:w="1445" w:type="dxa"/>
            <w:tcBorders>
              <w:top w:val="single" w:color="auto" w:sz="2" w:space="0"/>
            </w:tcBorders>
            <w:vAlign w:val="center"/>
          </w:tcPr>
          <w:p w14:paraId="53E1A14D">
            <w:pPr>
              <w:pStyle w:val="5"/>
              <w:keepNext w:val="0"/>
              <w:keepLines w:val="0"/>
              <w:suppressLineNumbers w:val="0"/>
              <w:spacing w:before="0" w:beforeAutospacing="0" w:after="0" w:afterAutospacing="0"/>
              <w:ind w:left="0" w:right="0"/>
              <w:rPr>
                <w:rFonts w:hint="default"/>
              </w:rPr>
            </w:pPr>
          </w:p>
        </w:tc>
        <w:tc>
          <w:tcPr>
            <w:tcW w:w="1459" w:type="dxa"/>
            <w:tcBorders>
              <w:top w:val="single" w:color="auto" w:sz="2" w:space="0"/>
            </w:tcBorders>
            <w:vAlign w:val="center"/>
          </w:tcPr>
          <w:p w14:paraId="67CAFAD2">
            <w:pPr>
              <w:pStyle w:val="5"/>
              <w:keepNext w:val="0"/>
              <w:keepLines w:val="0"/>
              <w:suppressLineNumbers w:val="0"/>
              <w:spacing w:before="0" w:beforeAutospacing="0" w:after="0" w:afterAutospacing="0"/>
              <w:ind w:left="0" w:right="0"/>
              <w:rPr>
                <w:rFonts w:hint="default"/>
              </w:rPr>
            </w:pPr>
          </w:p>
        </w:tc>
        <w:tc>
          <w:tcPr>
            <w:tcW w:w="1467" w:type="dxa"/>
            <w:tcBorders>
              <w:top w:val="single" w:color="auto" w:sz="2" w:space="0"/>
            </w:tcBorders>
            <w:vAlign w:val="center"/>
          </w:tcPr>
          <w:p w14:paraId="3BE7FCD0">
            <w:pPr>
              <w:pStyle w:val="5"/>
              <w:keepNext w:val="0"/>
              <w:keepLines w:val="0"/>
              <w:suppressLineNumbers w:val="0"/>
              <w:spacing w:before="0" w:beforeAutospacing="0" w:after="0" w:afterAutospacing="0"/>
              <w:ind w:left="0" w:right="0"/>
              <w:rPr>
                <w:rFonts w:hint="default"/>
              </w:rPr>
            </w:pPr>
          </w:p>
        </w:tc>
        <w:tc>
          <w:tcPr>
            <w:tcW w:w="2155" w:type="dxa"/>
            <w:tcBorders>
              <w:top w:val="single" w:color="auto" w:sz="2" w:space="0"/>
            </w:tcBorders>
            <w:vAlign w:val="center"/>
          </w:tcPr>
          <w:p w14:paraId="4BCB16A6">
            <w:pPr>
              <w:pStyle w:val="5"/>
              <w:keepNext w:val="0"/>
              <w:keepLines w:val="0"/>
              <w:suppressLineNumbers w:val="0"/>
              <w:spacing w:before="0" w:beforeAutospacing="0" w:after="0" w:afterAutospacing="0"/>
              <w:ind w:left="0" w:right="0"/>
              <w:rPr>
                <w:rFonts w:hint="default"/>
              </w:rPr>
            </w:pPr>
          </w:p>
        </w:tc>
        <w:tc>
          <w:tcPr>
            <w:tcW w:w="1924" w:type="dxa"/>
            <w:tcBorders>
              <w:top w:val="single" w:color="auto" w:sz="2" w:space="0"/>
            </w:tcBorders>
            <w:vAlign w:val="center"/>
          </w:tcPr>
          <w:p w14:paraId="29858877">
            <w:pPr>
              <w:pStyle w:val="5"/>
              <w:keepNext w:val="0"/>
              <w:keepLines w:val="0"/>
              <w:suppressLineNumbers w:val="0"/>
              <w:spacing w:before="0" w:beforeAutospacing="0" w:after="0" w:afterAutospacing="0"/>
              <w:ind w:left="0" w:right="0"/>
              <w:rPr>
                <w:rFonts w:hint="default"/>
              </w:rPr>
            </w:pPr>
          </w:p>
        </w:tc>
      </w:tr>
      <w:tr w14:paraId="02F81C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2317E559">
            <w:pPr>
              <w:pStyle w:val="5"/>
              <w:keepNext w:val="0"/>
              <w:keepLines w:val="0"/>
              <w:suppressLineNumbers w:val="0"/>
              <w:spacing w:before="0" w:beforeAutospacing="0" w:after="0" w:afterAutospacing="0"/>
              <w:ind w:left="0" w:right="0"/>
              <w:rPr>
                <w:rFonts w:hint="default"/>
              </w:rPr>
            </w:pPr>
          </w:p>
        </w:tc>
        <w:tc>
          <w:tcPr>
            <w:tcW w:w="1445" w:type="dxa"/>
            <w:vAlign w:val="center"/>
          </w:tcPr>
          <w:p w14:paraId="5EA64A09">
            <w:pPr>
              <w:pStyle w:val="5"/>
              <w:keepNext w:val="0"/>
              <w:keepLines w:val="0"/>
              <w:suppressLineNumbers w:val="0"/>
              <w:spacing w:before="0" w:beforeAutospacing="0" w:after="0" w:afterAutospacing="0"/>
              <w:ind w:left="0" w:right="0"/>
              <w:rPr>
                <w:rFonts w:hint="default"/>
              </w:rPr>
            </w:pPr>
          </w:p>
        </w:tc>
        <w:tc>
          <w:tcPr>
            <w:tcW w:w="1459" w:type="dxa"/>
            <w:vAlign w:val="center"/>
          </w:tcPr>
          <w:p w14:paraId="4DE410B1">
            <w:pPr>
              <w:pStyle w:val="5"/>
              <w:keepNext w:val="0"/>
              <w:keepLines w:val="0"/>
              <w:suppressLineNumbers w:val="0"/>
              <w:spacing w:before="0" w:beforeAutospacing="0" w:after="0" w:afterAutospacing="0"/>
              <w:ind w:left="0" w:right="0"/>
              <w:rPr>
                <w:rFonts w:hint="default"/>
              </w:rPr>
            </w:pPr>
          </w:p>
        </w:tc>
        <w:tc>
          <w:tcPr>
            <w:tcW w:w="1467" w:type="dxa"/>
            <w:vAlign w:val="center"/>
          </w:tcPr>
          <w:p w14:paraId="127D45CB">
            <w:pPr>
              <w:pStyle w:val="5"/>
              <w:keepNext w:val="0"/>
              <w:keepLines w:val="0"/>
              <w:suppressLineNumbers w:val="0"/>
              <w:spacing w:before="0" w:beforeAutospacing="0" w:after="0" w:afterAutospacing="0"/>
              <w:ind w:left="0" w:right="0"/>
              <w:rPr>
                <w:rFonts w:hint="default"/>
              </w:rPr>
            </w:pPr>
          </w:p>
        </w:tc>
        <w:tc>
          <w:tcPr>
            <w:tcW w:w="2155" w:type="dxa"/>
            <w:vAlign w:val="center"/>
          </w:tcPr>
          <w:p w14:paraId="1B587461">
            <w:pPr>
              <w:pStyle w:val="5"/>
              <w:keepNext w:val="0"/>
              <w:keepLines w:val="0"/>
              <w:suppressLineNumbers w:val="0"/>
              <w:spacing w:before="0" w:beforeAutospacing="0" w:after="0" w:afterAutospacing="0"/>
              <w:ind w:left="0" w:right="0"/>
              <w:rPr>
                <w:rFonts w:hint="default"/>
              </w:rPr>
            </w:pPr>
          </w:p>
        </w:tc>
        <w:tc>
          <w:tcPr>
            <w:tcW w:w="1924" w:type="dxa"/>
            <w:vAlign w:val="center"/>
          </w:tcPr>
          <w:p w14:paraId="6D85338A">
            <w:pPr>
              <w:pStyle w:val="5"/>
              <w:keepNext w:val="0"/>
              <w:keepLines w:val="0"/>
              <w:suppressLineNumbers w:val="0"/>
              <w:spacing w:before="0" w:beforeAutospacing="0" w:after="0" w:afterAutospacing="0"/>
              <w:ind w:left="0" w:right="0"/>
              <w:rPr>
                <w:rFonts w:hint="default"/>
              </w:rPr>
            </w:pPr>
          </w:p>
        </w:tc>
      </w:tr>
      <w:tr w14:paraId="7B2898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355DB321">
            <w:pPr>
              <w:pStyle w:val="5"/>
              <w:keepNext w:val="0"/>
              <w:keepLines w:val="0"/>
              <w:suppressLineNumbers w:val="0"/>
              <w:spacing w:before="0" w:beforeAutospacing="0" w:after="0" w:afterAutospacing="0"/>
              <w:ind w:left="0" w:right="0"/>
              <w:rPr>
                <w:rFonts w:hint="default"/>
              </w:rPr>
            </w:pPr>
          </w:p>
        </w:tc>
        <w:tc>
          <w:tcPr>
            <w:tcW w:w="1445" w:type="dxa"/>
            <w:vAlign w:val="center"/>
          </w:tcPr>
          <w:p w14:paraId="20F8E5AB">
            <w:pPr>
              <w:pStyle w:val="5"/>
              <w:keepNext w:val="0"/>
              <w:keepLines w:val="0"/>
              <w:suppressLineNumbers w:val="0"/>
              <w:spacing w:before="0" w:beforeAutospacing="0" w:after="0" w:afterAutospacing="0"/>
              <w:ind w:left="0" w:right="0"/>
              <w:rPr>
                <w:rFonts w:hint="default"/>
              </w:rPr>
            </w:pPr>
          </w:p>
        </w:tc>
        <w:tc>
          <w:tcPr>
            <w:tcW w:w="1459" w:type="dxa"/>
            <w:vAlign w:val="center"/>
          </w:tcPr>
          <w:p w14:paraId="6E471336">
            <w:pPr>
              <w:pStyle w:val="5"/>
              <w:keepNext w:val="0"/>
              <w:keepLines w:val="0"/>
              <w:suppressLineNumbers w:val="0"/>
              <w:spacing w:before="0" w:beforeAutospacing="0" w:after="0" w:afterAutospacing="0"/>
              <w:ind w:left="0" w:right="0"/>
              <w:rPr>
                <w:rFonts w:hint="default"/>
              </w:rPr>
            </w:pPr>
          </w:p>
        </w:tc>
        <w:tc>
          <w:tcPr>
            <w:tcW w:w="1467" w:type="dxa"/>
            <w:vAlign w:val="center"/>
          </w:tcPr>
          <w:p w14:paraId="71CB73B5">
            <w:pPr>
              <w:pStyle w:val="5"/>
              <w:keepNext w:val="0"/>
              <w:keepLines w:val="0"/>
              <w:suppressLineNumbers w:val="0"/>
              <w:spacing w:before="0" w:beforeAutospacing="0" w:after="0" w:afterAutospacing="0"/>
              <w:ind w:left="0" w:right="0"/>
              <w:rPr>
                <w:rFonts w:hint="default"/>
              </w:rPr>
            </w:pPr>
          </w:p>
        </w:tc>
        <w:tc>
          <w:tcPr>
            <w:tcW w:w="2155" w:type="dxa"/>
            <w:vAlign w:val="center"/>
          </w:tcPr>
          <w:p w14:paraId="784A8D1A">
            <w:pPr>
              <w:pStyle w:val="5"/>
              <w:keepNext w:val="0"/>
              <w:keepLines w:val="0"/>
              <w:suppressLineNumbers w:val="0"/>
              <w:spacing w:before="0" w:beforeAutospacing="0" w:after="0" w:afterAutospacing="0"/>
              <w:ind w:left="0" w:right="0"/>
              <w:rPr>
                <w:rFonts w:hint="default"/>
              </w:rPr>
            </w:pPr>
          </w:p>
        </w:tc>
        <w:tc>
          <w:tcPr>
            <w:tcW w:w="1924" w:type="dxa"/>
            <w:vAlign w:val="center"/>
          </w:tcPr>
          <w:p w14:paraId="239ECBED">
            <w:pPr>
              <w:pStyle w:val="5"/>
              <w:keepNext w:val="0"/>
              <w:keepLines w:val="0"/>
              <w:suppressLineNumbers w:val="0"/>
              <w:spacing w:before="0" w:beforeAutospacing="0" w:after="0" w:afterAutospacing="0"/>
              <w:ind w:left="0" w:right="0"/>
              <w:rPr>
                <w:rFonts w:hint="default"/>
              </w:rPr>
            </w:pPr>
          </w:p>
        </w:tc>
      </w:tr>
      <w:tr w14:paraId="567A08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1DAAA7A6">
            <w:pPr>
              <w:pStyle w:val="5"/>
              <w:keepNext w:val="0"/>
              <w:keepLines w:val="0"/>
              <w:suppressLineNumbers w:val="0"/>
              <w:spacing w:before="0" w:beforeAutospacing="0" w:after="0" w:afterAutospacing="0"/>
              <w:ind w:left="0" w:right="0"/>
              <w:rPr>
                <w:rFonts w:hint="default"/>
              </w:rPr>
            </w:pPr>
          </w:p>
        </w:tc>
        <w:tc>
          <w:tcPr>
            <w:tcW w:w="1445" w:type="dxa"/>
            <w:vAlign w:val="center"/>
          </w:tcPr>
          <w:p w14:paraId="5894A537">
            <w:pPr>
              <w:pStyle w:val="5"/>
              <w:keepNext w:val="0"/>
              <w:keepLines w:val="0"/>
              <w:suppressLineNumbers w:val="0"/>
              <w:spacing w:before="0" w:beforeAutospacing="0" w:after="0" w:afterAutospacing="0"/>
              <w:ind w:left="0" w:right="0"/>
              <w:rPr>
                <w:rFonts w:hint="default"/>
              </w:rPr>
            </w:pPr>
          </w:p>
        </w:tc>
        <w:tc>
          <w:tcPr>
            <w:tcW w:w="1459" w:type="dxa"/>
            <w:vAlign w:val="center"/>
          </w:tcPr>
          <w:p w14:paraId="58919F90">
            <w:pPr>
              <w:pStyle w:val="5"/>
              <w:keepNext w:val="0"/>
              <w:keepLines w:val="0"/>
              <w:suppressLineNumbers w:val="0"/>
              <w:spacing w:before="0" w:beforeAutospacing="0" w:after="0" w:afterAutospacing="0"/>
              <w:ind w:left="0" w:right="0"/>
              <w:rPr>
                <w:rFonts w:hint="default"/>
              </w:rPr>
            </w:pPr>
          </w:p>
        </w:tc>
        <w:tc>
          <w:tcPr>
            <w:tcW w:w="1467" w:type="dxa"/>
            <w:vAlign w:val="center"/>
          </w:tcPr>
          <w:p w14:paraId="7742CA35">
            <w:pPr>
              <w:pStyle w:val="5"/>
              <w:keepNext w:val="0"/>
              <w:keepLines w:val="0"/>
              <w:suppressLineNumbers w:val="0"/>
              <w:spacing w:before="0" w:beforeAutospacing="0" w:after="0" w:afterAutospacing="0"/>
              <w:ind w:left="0" w:right="0"/>
              <w:rPr>
                <w:rFonts w:hint="default"/>
              </w:rPr>
            </w:pPr>
          </w:p>
        </w:tc>
        <w:tc>
          <w:tcPr>
            <w:tcW w:w="2155" w:type="dxa"/>
            <w:vAlign w:val="center"/>
          </w:tcPr>
          <w:p w14:paraId="59DE195D">
            <w:pPr>
              <w:pStyle w:val="5"/>
              <w:keepNext w:val="0"/>
              <w:keepLines w:val="0"/>
              <w:suppressLineNumbers w:val="0"/>
              <w:spacing w:before="0" w:beforeAutospacing="0" w:after="0" w:afterAutospacing="0"/>
              <w:ind w:left="0" w:right="0"/>
              <w:rPr>
                <w:rFonts w:hint="default"/>
              </w:rPr>
            </w:pPr>
          </w:p>
        </w:tc>
        <w:tc>
          <w:tcPr>
            <w:tcW w:w="1924" w:type="dxa"/>
            <w:vAlign w:val="center"/>
          </w:tcPr>
          <w:p w14:paraId="67E7F890">
            <w:pPr>
              <w:pStyle w:val="5"/>
              <w:keepNext w:val="0"/>
              <w:keepLines w:val="0"/>
              <w:suppressLineNumbers w:val="0"/>
              <w:spacing w:before="0" w:beforeAutospacing="0" w:after="0" w:afterAutospacing="0"/>
              <w:ind w:left="0" w:right="0"/>
              <w:rPr>
                <w:rFonts w:hint="default"/>
              </w:rPr>
            </w:pPr>
          </w:p>
        </w:tc>
      </w:tr>
      <w:tr w14:paraId="7E9DB6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581ADC1F">
            <w:pPr>
              <w:pStyle w:val="5"/>
              <w:keepNext w:val="0"/>
              <w:keepLines w:val="0"/>
              <w:suppressLineNumbers w:val="0"/>
              <w:spacing w:before="0" w:beforeAutospacing="0" w:after="0" w:afterAutospacing="0"/>
              <w:ind w:left="0" w:right="0"/>
              <w:rPr>
                <w:rFonts w:hint="default"/>
              </w:rPr>
            </w:pPr>
          </w:p>
        </w:tc>
        <w:tc>
          <w:tcPr>
            <w:tcW w:w="1445" w:type="dxa"/>
            <w:vAlign w:val="center"/>
          </w:tcPr>
          <w:p w14:paraId="42434976">
            <w:pPr>
              <w:pStyle w:val="5"/>
              <w:keepNext w:val="0"/>
              <w:keepLines w:val="0"/>
              <w:suppressLineNumbers w:val="0"/>
              <w:spacing w:before="0" w:beforeAutospacing="0" w:after="0" w:afterAutospacing="0"/>
              <w:ind w:left="0" w:right="0"/>
              <w:rPr>
                <w:rFonts w:hint="default"/>
              </w:rPr>
            </w:pPr>
          </w:p>
        </w:tc>
        <w:tc>
          <w:tcPr>
            <w:tcW w:w="1459" w:type="dxa"/>
            <w:vAlign w:val="center"/>
          </w:tcPr>
          <w:p w14:paraId="37B04BF1">
            <w:pPr>
              <w:pStyle w:val="5"/>
              <w:keepNext w:val="0"/>
              <w:keepLines w:val="0"/>
              <w:suppressLineNumbers w:val="0"/>
              <w:spacing w:before="0" w:beforeAutospacing="0" w:after="0" w:afterAutospacing="0"/>
              <w:ind w:left="0" w:right="0"/>
              <w:rPr>
                <w:rFonts w:hint="default"/>
              </w:rPr>
            </w:pPr>
          </w:p>
        </w:tc>
        <w:tc>
          <w:tcPr>
            <w:tcW w:w="1467" w:type="dxa"/>
            <w:vAlign w:val="center"/>
          </w:tcPr>
          <w:p w14:paraId="66056C92">
            <w:pPr>
              <w:pStyle w:val="5"/>
              <w:keepNext w:val="0"/>
              <w:keepLines w:val="0"/>
              <w:suppressLineNumbers w:val="0"/>
              <w:spacing w:before="0" w:beforeAutospacing="0" w:after="0" w:afterAutospacing="0"/>
              <w:ind w:left="0" w:right="0"/>
              <w:rPr>
                <w:rFonts w:hint="default"/>
              </w:rPr>
            </w:pPr>
          </w:p>
        </w:tc>
        <w:tc>
          <w:tcPr>
            <w:tcW w:w="2155" w:type="dxa"/>
            <w:vAlign w:val="center"/>
          </w:tcPr>
          <w:p w14:paraId="19B72E46">
            <w:pPr>
              <w:pStyle w:val="5"/>
              <w:keepNext w:val="0"/>
              <w:keepLines w:val="0"/>
              <w:suppressLineNumbers w:val="0"/>
              <w:spacing w:before="0" w:beforeAutospacing="0" w:after="0" w:afterAutospacing="0"/>
              <w:ind w:left="0" w:right="0"/>
              <w:rPr>
                <w:rFonts w:hint="default"/>
              </w:rPr>
            </w:pPr>
          </w:p>
        </w:tc>
        <w:tc>
          <w:tcPr>
            <w:tcW w:w="1924" w:type="dxa"/>
            <w:vAlign w:val="center"/>
          </w:tcPr>
          <w:p w14:paraId="3F40EF3F">
            <w:pPr>
              <w:pStyle w:val="5"/>
              <w:keepNext w:val="0"/>
              <w:keepLines w:val="0"/>
              <w:suppressLineNumbers w:val="0"/>
              <w:spacing w:before="0" w:beforeAutospacing="0" w:after="0" w:afterAutospacing="0"/>
              <w:ind w:left="0" w:right="0"/>
              <w:rPr>
                <w:rFonts w:hint="default"/>
              </w:rPr>
            </w:pPr>
          </w:p>
        </w:tc>
      </w:tr>
      <w:tr w14:paraId="2C2993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62502163">
            <w:pPr>
              <w:pStyle w:val="5"/>
              <w:keepNext w:val="0"/>
              <w:keepLines w:val="0"/>
              <w:suppressLineNumbers w:val="0"/>
              <w:spacing w:before="0" w:beforeAutospacing="0" w:after="0" w:afterAutospacing="0"/>
              <w:ind w:left="0" w:right="0"/>
              <w:rPr>
                <w:rFonts w:hint="default"/>
              </w:rPr>
            </w:pPr>
          </w:p>
        </w:tc>
        <w:tc>
          <w:tcPr>
            <w:tcW w:w="1445" w:type="dxa"/>
            <w:vAlign w:val="center"/>
          </w:tcPr>
          <w:p w14:paraId="41A7036E">
            <w:pPr>
              <w:pStyle w:val="5"/>
              <w:keepNext w:val="0"/>
              <w:keepLines w:val="0"/>
              <w:suppressLineNumbers w:val="0"/>
              <w:spacing w:before="0" w:beforeAutospacing="0" w:after="0" w:afterAutospacing="0"/>
              <w:ind w:left="0" w:right="0"/>
              <w:rPr>
                <w:rFonts w:hint="default"/>
              </w:rPr>
            </w:pPr>
          </w:p>
        </w:tc>
        <w:tc>
          <w:tcPr>
            <w:tcW w:w="1459" w:type="dxa"/>
            <w:vAlign w:val="center"/>
          </w:tcPr>
          <w:p w14:paraId="11DBA492">
            <w:pPr>
              <w:pStyle w:val="5"/>
              <w:keepNext w:val="0"/>
              <w:keepLines w:val="0"/>
              <w:suppressLineNumbers w:val="0"/>
              <w:spacing w:before="0" w:beforeAutospacing="0" w:after="0" w:afterAutospacing="0"/>
              <w:ind w:left="0" w:right="0"/>
              <w:rPr>
                <w:rFonts w:hint="default"/>
              </w:rPr>
            </w:pPr>
          </w:p>
        </w:tc>
        <w:tc>
          <w:tcPr>
            <w:tcW w:w="1467" w:type="dxa"/>
            <w:vAlign w:val="center"/>
          </w:tcPr>
          <w:p w14:paraId="6DE82B37">
            <w:pPr>
              <w:pStyle w:val="5"/>
              <w:keepNext w:val="0"/>
              <w:keepLines w:val="0"/>
              <w:suppressLineNumbers w:val="0"/>
              <w:spacing w:before="0" w:beforeAutospacing="0" w:after="0" w:afterAutospacing="0"/>
              <w:ind w:left="0" w:right="0"/>
              <w:rPr>
                <w:rFonts w:hint="default"/>
              </w:rPr>
            </w:pPr>
          </w:p>
        </w:tc>
        <w:tc>
          <w:tcPr>
            <w:tcW w:w="2155" w:type="dxa"/>
            <w:vAlign w:val="center"/>
          </w:tcPr>
          <w:p w14:paraId="5D470C55">
            <w:pPr>
              <w:pStyle w:val="5"/>
              <w:keepNext w:val="0"/>
              <w:keepLines w:val="0"/>
              <w:suppressLineNumbers w:val="0"/>
              <w:spacing w:before="0" w:beforeAutospacing="0" w:after="0" w:afterAutospacing="0"/>
              <w:ind w:left="0" w:right="0"/>
              <w:rPr>
                <w:rFonts w:hint="default"/>
              </w:rPr>
            </w:pPr>
          </w:p>
        </w:tc>
        <w:tc>
          <w:tcPr>
            <w:tcW w:w="1924" w:type="dxa"/>
            <w:vAlign w:val="center"/>
          </w:tcPr>
          <w:p w14:paraId="2C1BEB4E">
            <w:pPr>
              <w:pStyle w:val="5"/>
              <w:keepNext w:val="0"/>
              <w:keepLines w:val="0"/>
              <w:suppressLineNumbers w:val="0"/>
              <w:spacing w:before="0" w:beforeAutospacing="0" w:after="0" w:afterAutospacing="0"/>
              <w:ind w:left="0" w:right="0"/>
              <w:rPr>
                <w:rFonts w:hint="default"/>
              </w:rPr>
            </w:pPr>
          </w:p>
        </w:tc>
      </w:tr>
      <w:tr w14:paraId="0531F8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54AFA37F">
            <w:pPr>
              <w:pStyle w:val="5"/>
              <w:keepNext w:val="0"/>
              <w:keepLines w:val="0"/>
              <w:suppressLineNumbers w:val="0"/>
              <w:spacing w:before="0" w:beforeAutospacing="0" w:after="0" w:afterAutospacing="0"/>
              <w:ind w:left="0" w:right="0"/>
              <w:rPr>
                <w:rFonts w:hint="default"/>
              </w:rPr>
            </w:pPr>
          </w:p>
        </w:tc>
        <w:tc>
          <w:tcPr>
            <w:tcW w:w="1445" w:type="dxa"/>
            <w:vAlign w:val="center"/>
          </w:tcPr>
          <w:p w14:paraId="426BA0A9">
            <w:pPr>
              <w:pStyle w:val="5"/>
              <w:keepNext w:val="0"/>
              <w:keepLines w:val="0"/>
              <w:suppressLineNumbers w:val="0"/>
              <w:spacing w:before="0" w:beforeAutospacing="0" w:after="0" w:afterAutospacing="0"/>
              <w:ind w:left="0" w:right="0"/>
              <w:rPr>
                <w:rFonts w:hint="default"/>
              </w:rPr>
            </w:pPr>
          </w:p>
        </w:tc>
        <w:tc>
          <w:tcPr>
            <w:tcW w:w="1459" w:type="dxa"/>
            <w:vAlign w:val="center"/>
          </w:tcPr>
          <w:p w14:paraId="59EEF6C0">
            <w:pPr>
              <w:pStyle w:val="5"/>
              <w:keepNext w:val="0"/>
              <w:keepLines w:val="0"/>
              <w:suppressLineNumbers w:val="0"/>
              <w:spacing w:before="0" w:beforeAutospacing="0" w:after="0" w:afterAutospacing="0"/>
              <w:ind w:left="0" w:right="0"/>
              <w:rPr>
                <w:rFonts w:hint="default"/>
              </w:rPr>
            </w:pPr>
          </w:p>
        </w:tc>
        <w:tc>
          <w:tcPr>
            <w:tcW w:w="1467" w:type="dxa"/>
            <w:vAlign w:val="center"/>
          </w:tcPr>
          <w:p w14:paraId="6CBE7AA8">
            <w:pPr>
              <w:pStyle w:val="5"/>
              <w:keepNext w:val="0"/>
              <w:keepLines w:val="0"/>
              <w:suppressLineNumbers w:val="0"/>
              <w:spacing w:before="0" w:beforeAutospacing="0" w:after="0" w:afterAutospacing="0"/>
              <w:ind w:left="0" w:right="0"/>
              <w:rPr>
                <w:rFonts w:hint="default"/>
              </w:rPr>
            </w:pPr>
          </w:p>
        </w:tc>
        <w:tc>
          <w:tcPr>
            <w:tcW w:w="2155" w:type="dxa"/>
            <w:vAlign w:val="center"/>
          </w:tcPr>
          <w:p w14:paraId="24C4F599">
            <w:pPr>
              <w:pStyle w:val="5"/>
              <w:keepNext w:val="0"/>
              <w:keepLines w:val="0"/>
              <w:suppressLineNumbers w:val="0"/>
              <w:spacing w:before="0" w:beforeAutospacing="0" w:after="0" w:afterAutospacing="0"/>
              <w:ind w:left="0" w:right="0"/>
              <w:rPr>
                <w:rFonts w:hint="default"/>
              </w:rPr>
            </w:pPr>
          </w:p>
        </w:tc>
        <w:tc>
          <w:tcPr>
            <w:tcW w:w="1924" w:type="dxa"/>
            <w:vAlign w:val="center"/>
          </w:tcPr>
          <w:p w14:paraId="0427349E">
            <w:pPr>
              <w:pStyle w:val="5"/>
              <w:keepNext w:val="0"/>
              <w:keepLines w:val="0"/>
              <w:suppressLineNumbers w:val="0"/>
              <w:spacing w:before="0" w:beforeAutospacing="0" w:after="0" w:afterAutospacing="0"/>
              <w:ind w:left="0" w:right="0"/>
              <w:rPr>
                <w:rFonts w:hint="default"/>
              </w:rPr>
            </w:pPr>
          </w:p>
        </w:tc>
      </w:tr>
      <w:tr w14:paraId="3F322C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04E5D520">
            <w:pPr>
              <w:pStyle w:val="5"/>
              <w:keepNext w:val="0"/>
              <w:keepLines w:val="0"/>
              <w:suppressLineNumbers w:val="0"/>
              <w:spacing w:before="0" w:beforeAutospacing="0" w:after="0" w:afterAutospacing="0"/>
              <w:ind w:left="0" w:right="0"/>
              <w:rPr>
                <w:rFonts w:hint="default"/>
              </w:rPr>
            </w:pPr>
          </w:p>
        </w:tc>
        <w:tc>
          <w:tcPr>
            <w:tcW w:w="1445" w:type="dxa"/>
            <w:vAlign w:val="center"/>
          </w:tcPr>
          <w:p w14:paraId="50C8214E">
            <w:pPr>
              <w:pStyle w:val="5"/>
              <w:keepNext w:val="0"/>
              <w:keepLines w:val="0"/>
              <w:suppressLineNumbers w:val="0"/>
              <w:spacing w:before="0" w:beforeAutospacing="0" w:after="0" w:afterAutospacing="0"/>
              <w:ind w:left="0" w:right="0"/>
              <w:rPr>
                <w:rFonts w:hint="default"/>
              </w:rPr>
            </w:pPr>
          </w:p>
        </w:tc>
        <w:tc>
          <w:tcPr>
            <w:tcW w:w="1459" w:type="dxa"/>
            <w:vAlign w:val="center"/>
          </w:tcPr>
          <w:p w14:paraId="72D5B922">
            <w:pPr>
              <w:pStyle w:val="5"/>
              <w:keepNext w:val="0"/>
              <w:keepLines w:val="0"/>
              <w:suppressLineNumbers w:val="0"/>
              <w:spacing w:before="0" w:beforeAutospacing="0" w:after="0" w:afterAutospacing="0"/>
              <w:ind w:left="0" w:right="0"/>
              <w:rPr>
                <w:rFonts w:hint="default"/>
              </w:rPr>
            </w:pPr>
          </w:p>
        </w:tc>
        <w:tc>
          <w:tcPr>
            <w:tcW w:w="1467" w:type="dxa"/>
            <w:vAlign w:val="center"/>
          </w:tcPr>
          <w:p w14:paraId="0B1ACEFE">
            <w:pPr>
              <w:pStyle w:val="5"/>
              <w:keepNext w:val="0"/>
              <w:keepLines w:val="0"/>
              <w:suppressLineNumbers w:val="0"/>
              <w:spacing w:before="0" w:beforeAutospacing="0" w:after="0" w:afterAutospacing="0"/>
              <w:ind w:left="0" w:right="0"/>
              <w:rPr>
                <w:rFonts w:hint="default"/>
              </w:rPr>
            </w:pPr>
          </w:p>
        </w:tc>
        <w:tc>
          <w:tcPr>
            <w:tcW w:w="2155" w:type="dxa"/>
            <w:vAlign w:val="center"/>
          </w:tcPr>
          <w:p w14:paraId="35C404A7">
            <w:pPr>
              <w:pStyle w:val="5"/>
              <w:keepNext w:val="0"/>
              <w:keepLines w:val="0"/>
              <w:suppressLineNumbers w:val="0"/>
              <w:spacing w:before="0" w:beforeAutospacing="0" w:after="0" w:afterAutospacing="0"/>
              <w:ind w:left="0" w:right="0"/>
              <w:rPr>
                <w:rFonts w:hint="default"/>
              </w:rPr>
            </w:pPr>
          </w:p>
        </w:tc>
        <w:tc>
          <w:tcPr>
            <w:tcW w:w="1924" w:type="dxa"/>
            <w:vAlign w:val="center"/>
          </w:tcPr>
          <w:p w14:paraId="1DD26E8F">
            <w:pPr>
              <w:pStyle w:val="5"/>
              <w:keepNext w:val="0"/>
              <w:keepLines w:val="0"/>
              <w:suppressLineNumbers w:val="0"/>
              <w:spacing w:before="0" w:beforeAutospacing="0" w:after="0" w:afterAutospacing="0"/>
              <w:ind w:left="0" w:right="0"/>
              <w:rPr>
                <w:rFonts w:hint="default"/>
              </w:rPr>
            </w:pPr>
          </w:p>
        </w:tc>
      </w:tr>
      <w:tr w14:paraId="3998DA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665D5A81">
            <w:pPr>
              <w:pStyle w:val="5"/>
              <w:keepNext w:val="0"/>
              <w:keepLines w:val="0"/>
              <w:suppressLineNumbers w:val="0"/>
              <w:spacing w:before="0" w:beforeAutospacing="0" w:after="0" w:afterAutospacing="0"/>
              <w:ind w:left="0" w:right="0"/>
              <w:rPr>
                <w:rFonts w:hint="default"/>
              </w:rPr>
            </w:pPr>
          </w:p>
        </w:tc>
        <w:tc>
          <w:tcPr>
            <w:tcW w:w="1445" w:type="dxa"/>
            <w:vAlign w:val="center"/>
          </w:tcPr>
          <w:p w14:paraId="5D1171A9">
            <w:pPr>
              <w:pStyle w:val="5"/>
              <w:keepNext w:val="0"/>
              <w:keepLines w:val="0"/>
              <w:suppressLineNumbers w:val="0"/>
              <w:spacing w:before="0" w:beforeAutospacing="0" w:after="0" w:afterAutospacing="0"/>
              <w:ind w:left="0" w:right="0"/>
              <w:rPr>
                <w:rFonts w:hint="default"/>
              </w:rPr>
            </w:pPr>
          </w:p>
        </w:tc>
        <w:tc>
          <w:tcPr>
            <w:tcW w:w="1459" w:type="dxa"/>
            <w:vAlign w:val="center"/>
          </w:tcPr>
          <w:p w14:paraId="70532FF4">
            <w:pPr>
              <w:pStyle w:val="5"/>
              <w:keepNext w:val="0"/>
              <w:keepLines w:val="0"/>
              <w:suppressLineNumbers w:val="0"/>
              <w:spacing w:before="0" w:beforeAutospacing="0" w:after="0" w:afterAutospacing="0"/>
              <w:ind w:left="0" w:right="0"/>
              <w:rPr>
                <w:rFonts w:hint="default"/>
              </w:rPr>
            </w:pPr>
          </w:p>
        </w:tc>
        <w:tc>
          <w:tcPr>
            <w:tcW w:w="1467" w:type="dxa"/>
            <w:vAlign w:val="center"/>
          </w:tcPr>
          <w:p w14:paraId="1D1450F9">
            <w:pPr>
              <w:pStyle w:val="5"/>
              <w:keepNext w:val="0"/>
              <w:keepLines w:val="0"/>
              <w:suppressLineNumbers w:val="0"/>
              <w:spacing w:before="0" w:beforeAutospacing="0" w:after="0" w:afterAutospacing="0"/>
              <w:ind w:left="0" w:right="0"/>
              <w:rPr>
                <w:rFonts w:hint="default"/>
              </w:rPr>
            </w:pPr>
          </w:p>
        </w:tc>
        <w:tc>
          <w:tcPr>
            <w:tcW w:w="2155" w:type="dxa"/>
            <w:vAlign w:val="center"/>
          </w:tcPr>
          <w:p w14:paraId="7C74371F">
            <w:pPr>
              <w:pStyle w:val="5"/>
              <w:keepNext w:val="0"/>
              <w:keepLines w:val="0"/>
              <w:suppressLineNumbers w:val="0"/>
              <w:spacing w:before="0" w:beforeAutospacing="0" w:after="0" w:afterAutospacing="0"/>
              <w:ind w:left="0" w:right="0"/>
              <w:rPr>
                <w:rFonts w:hint="default"/>
              </w:rPr>
            </w:pPr>
          </w:p>
        </w:tc>
        <w:tc>
          <w:tcPr>
            <w:tcW w:w="1924" w:type="dxa"/>
            <w:vAlign w:val="center"/>
          </w:tcPr>
          <w:p w14:paraId="1E829641">
            <w:pPr>
              <w:pStyle w:val="5"/>
              <w:keepNext w:val="0"/>
              <w:keepLines w:val="0"/>
              <w:suppressLineNumbers w:val="0"/>
              <w:spacing w:before="0" w:beforeAutospacing="0" w:after="0" w:afterAutospacing="0"/>
              <w:ind w:left="0" w:right="0"/>
              <w:rPr>
                <w:rFonts w:hint="default"/>
              </w:rPr>
            </w:pPr>
          </w:p>
        </w:tc>
      </w:tr>
      <w:tr w14:paraId="5B0CC8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2E246BAA">
            <w:pPr>
              <w:pStyle w:val="5"/>
              <w:keepNext w:val="0"/>
              <w:keepLines w:val="0"/>
              <w:suppressLineNumbers w:val="0"/>
              <w:spacing w:before="0" w:beforeAutospacing="0" w:after="0" w:afterAutospacing="0"/>
              <w:ind w:left="0" w:right="0"/>
              <w:rPr>
                <w:rFonts w:hint="default"/>
              </w:rPr>
            </w:pPr>
          </w:p>
        </w:tc>
        <w:tc>
          <w:tcPr>
            <w:tcW w:w="1445" w:type="dxa"/>
            <w:vAlign w:val="center"/>
          </w:tcPr>
          <w:p w14:paraId="5E0E4F06">
            <w:pPr>
              <w:pStyle w:val="5"/>
              <w:keepNext w:val="0"/>
              <w:keepLines w:val="0"/>
              <w:suppressLineNumbers w:val="0"/>
              <w:spacing w:before="0" w:beforeAutospacing="0" w:after="0" w:afterAutospacing="0"/>
              <w:ind w:left="0" w:right="0"/>
              <w:rPr>
                <w:rFonts w:hint="default"/>
              </w:rPr>
            </w:pPr>
          </w:p>
        </w:tc>
        <w:tc>
          <w:tcPr>
            <w:tcW w:w="1459" w:type="dxa"/>
            <w:vAlign w:val="center"/>
          </w:tcPr>
          <w:p w14:paraId="74D11912">
            <w:pPr>
              <w:pStyle w:val="5"/>
              <w:keepNext w:val="0"/>
              <w:keepLines w:val="0"/>
              <w:suppressLineNumbers w:val="0"/>
              <w:spacing w:before="0" w:beforeAutospacing="0" w:after="0" w:afterAutospacing="0"/>
              <w:ind w:left="0" w:right="0"/>
              <w:rPr>
                <w:rFonts w:hint="default"/>
              </w:rPr>
            </w:pPr>
          </w:p>
        </w:tc>
        <w:tc>
          <w:tcPr>
            <w:tcW w:w="1467" w:type="dxa"/>
            <w:vAlign w:val="center"/>
          </w:tcPr>
          <w:p w14:paraId="0F5BDCD9">
            <w:pPr>
              <w:pStyle w:val="5"/>
              <w:keepNext w:val="0"/>
              <w:keepLines w:val="0"/>
              <w:suppressLineNumbers w:val="0"/>
              <w:spacing w:before="0" w:beforeAutospacing="0" w:after="0" w:afterAutospacing="0"/>
              <w:ind w:left="0" w:right="0"/>
              <w:rPr>
                <w:rFonts w:hint="default"/>
              </w:rPr>
            </w:pPr>
          </w:p>
        </w:tc>
        <w:tc>
          <w:tcPr>
            <w:tcW w:w="2155" w:type="dxa"/>
            <w:vAlign w:val="center"/>
          </w:tcPr>
          <w:p w14:paraId="19C95B1B">
            <w:pPr>
              <w:pStyle w:val="5"/>
              <w:keepNext w:val="0"/>
              <w:keepLines w:val="0"/>
              <w:suppressLineNumbers w:val="0"/>
              <w:spacing w:before="0" w:beforeAutospacing="0" w:after="0" w:afterAutospacing="0"/>
              <w:ind w:left="0" w:right="0"/>
              <w:rPr>
                <w:rFonts w:hint="default"/>
              </w:rPr>
            </w:pPr>
          </w:p>
        </w:tc>
        <w:tc>
          <w:tcPr>
            <w:tcW w:w="1924" w:type="dxa"/>
            <w:vAlign w:val="center"/>
          </w:tcPr>
          <w:p w14:paraId="12937E51">
            <w:pPr>
              <w:pStyle w:val="5"/>
              <w:keepNext w:val="0"/>
              <w:keepLines w:val="0"/>
              <w:suppressLineNumbers w:val="0"/>
              <w:spacing w:before="0" w:beforeAutospacing="0" w:after="0" w:afterAutospacing="0"/>
              <w:ind w:left="0" w:right="0"/>
              <w:rPr>
                <w:rFonts w:hint="default"/>
              </w:rPr>
            </w:pPr>
          </w:p>
        </w:tc>
      </w:tr>
      <w:tr w14:paraId="3E076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vAlign w:val="center"/>
          </w:tcPr>
          <w:p w14:paraId="4345FE5D">
            <w:pPr>
              <w:pStyle w:val="5"/>
              <w:keepNext w:val="0"/>
              <w:keepLines w:val="0"/>
              <w:suppressLineNumbers w:val="0"/>
              <w:spacing w:before="0" w:beforeAutospacing="0" w:after="0" w:afterAutospacing="0"/>
              <w:ind w:left="0" w:right="0"/>
              <w:rPr>
                <w:rFonts w:hint="default"/>
              </w:rPr>
            </w:pPr>
          </w:p>
        </w:tc>
        <w:tc>
          <w:tcPr>
            <w:tcW w:w="1445" w:type="dxa"/>
            <w:vAlign w:val="center"/>
          </w:tcPr>
          <w:p w14:paraId="22C4B8A0">
            <w:pPr>
              <w:pStyle w:val="5"/>
              <w:keepNext w:val="0"/>
              <w:keepLines w:val="0"/>
              <w:suppressLineNumbers w:val="0"/>
              <w:spacing w:before="0" w:beforeAutospacing="0" w:after="0" w:afterAutospacing="0"/>
              <w:ind w:left="0" w:right="0"/>
              <w:rPr>
                <w:rFonts w:hint="default"/>
              </w:rPr>
            </w:pPr>
          </w:p>
        </w:tc>
        <w:tc>
          <w:tcPr>
            <w:tcW w:w="1459" w:type="dxa"/>
            <w:vAlign w:val="center"/>
          </w:tcPr>
          <w:p w14:paraId="209F984E">
            <w:pPr>
              <w:pStyle w:val="5"/>
              <w:keepNext w:val="0"/>
              <w:keepLines w:val="0"/>
              <w:suppressLineNumbers w:val="0"/>
              <w:spacing w:before="0" w:beforeAutospacing="0" w:after="0" w:afterAutospacing="0"/>
              <w:ind w:left="0" w:right="0"/>
              <w:rPr>
                <w:rFonts w:hint="default"/>
              </w:rPr>
            </w:pPr>
          </w:p>
        </w:tc>
        <w:tc>
          <w:tcPr>
            <w:tcW w:w="1467" w:type="dxa"/>
            <w:vAlign w:val="center"/>
          </w:tcPr>
          <w:p w14:paraId="33187A38">
            <w:pPr>
              <w:pStyle w:val="5"/>
              <w:keepNext w:val="0"/>
              <w:keepLines w:val="0"/>
              <w:suppressLineNumbers w:val="0"/>
              <w:spacing w:before="0" w:beforeAutospacing="0" w:after="0" w:afterAutospacing="0"/>
              <w:ind w:left="0" w:right="0"/>
              <w:rPr>
                <w:rFonts w:hint="default"/>
              </w:rPr>
            </w:pPr>
          </w:p>
        </w:tc>
        <w:tc>
          <w:tcPr>
            <w:tcW w:w="2155" w:type="dxa"/>
            <w:vAlign w:val="center"/>
          </w:tcPr>
          <w:p w14:paraId="7B20C297">
            <w:pPr>
              <w:pStyle w:val="5"/>
              <w:keepNext w:val="0"/>
              <w:keepLines w:val="0"/>
              <w:suppressLineNumbers w:val="0"/>
              <w:spacing w:before="0" w:beforeAutospacing="0" w:after="0" w:afterAutospacing="0"/>
              <w:ind w:left="0" w:right="0"/>
              <w:rPr>
                <w:rFonts w:hint="default"/>
              </w:rPr>
            </w:pPr>
          </w:p>
        </w:tc>
        <w:tc>
          <w:tcPr>
            <w:tcW w:w="1924" w:type="dxa"/>
            <w:vAlign w:val="center"/>
          </w:tcPr>
          <w:p w14:paraId="144D9E3B">
            <w:pPr>
              <w:pStyle w:val="5"/>
              <w:keepNext w:val="0"/>
              <w:keepLines w:val="0"/>
              <w:suppressLineNumbers w:val="0"/>
              <w:spacing w:before="0" w:beforeAutospacing="0" w:after="0" w:afterAutospacing="0"/>
              <w:ind w:left="0" w:right="0"/>
              <w:rPr>
                <w:rFonts w:hint="default"/>
              </w:rPr>
            </w:pPr>
          </w:p>
        </w:tc>
      </w:tr>
    </w:tbl>
    <w:p w14:paraId="7BBD8DF4">
      <w:pPr>
        <w:pStyle w:val="5"/>
        <w:rPr>
          <w:lang w:val="en-GB"/>
        </w:rPr>
      </w:pPr>
      <w:r>
        <w:rPr>
          <w:rFonts w:hint="eastAsia"/>
          <w:lang w:val="en-GB"/>
        </w:rPr>
        <w:t>备注：请按评审办法</w:t>
      </w:r>
      <w:r>
        <w:rPr>
          <w:lang w:val="en-GB"/>
        </w:rPr>
        <w:t>的</w:t>
      </w:r>
      <w:r>
        <w:rPr>
          <w:rFonts w:hint="eastAsia"/>
          <w:lang w:val="en-GB"/>
        </w:rPr>
        <w:t>要求提供证明文件。</w:t>
      </w:r>
    </w:p>
    <w:p w14:paraId="1E6E4D4E">
      <w:pPr>
        <w:pStyle w:val="5"/>
        <w:rPr>
          <w:lang w:val="en-GB"/>
        </w:rPr>
      </w:pPr>
    </w:p>
    <w:p w14:paraId="7EF5013D">
      <w:pPr>
        <w:widowControl/>
        <w:jc w:val="left"/>
        <w:rPr>
          <w:rFonts w:eastAsia="仿宋_GB2312"/>
          <w:sz w:val="30"/>
          <w:szCs w:val="20"/>
          <w:lang w:val="en-GB"/>
        </w:rPr>
      </w:pPr>
      <w:r>
        <w:rPr>
          <w:rFonts w:eastAsia="仿宋_GB2312"/>
          <w:sz w:val="30"/>
          <w:szCs w:val="20"/>
          <w:lang w:val="en-GB"/>
        </w:rPr>
        <w:br w:type="page"/>
      </w:r>
    </w:p>
    <w:p w14:paraId="1C6D3F3F">
      <w:pPr>
        <w:pStyle w:val="12"/>
        <w:spacing w:line="480" w:lineRule="auto"/>
        <w:jc w:val="center"/>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lang w:val="en-GB"/>
        </w:rPr>
        <w:t>格式</w:t>
      </w:r>
      <w:r>
        <w:rPr>
          <w:rFonts w:hint="eastAsia" w:asciiTheme="minorEastAsia" w:hAnsiTheme="minorEastAsia" w:eastAsiaTheme="minorEastAsia"/>
          <w:b/>
          <w:sz w:val="28"/>
          <w:szCs w:val="28"/>
        </w:rPr>
        <w:t>8  非正常专利评估能力及原则方案说明</w:t>
      </w:r>
    </w:p>
    <w:p w14:paraId="5F33CED4">
      <w:pPr>
        <w:jc w:val="center"/>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（格式可自定）</w:t>
      </w:r>
    </w:p>
    <w:p w14:paraId="339945EB">
      <w:pPr>
        <w:pStyle w:val="5"/>
        <w:rPr>
          <w:lang w:val="en-GB"/>
        </w:rPr>
      </w:pPr>
    </w:p>
    <w:p w14:paraId="51A1641E">
      <w:pPr>
        <w:pStyle w:val="5"/>
        <w:rPr>
          <w:lang w:val="en-GB"/>
        </w:rPr>
      </w:pPr>
    </w:p>
    <w:p w14:paraId="737F6F94">
      <w:pPr>
        <w:pStyle w:val="5"/>
        <w:rPr>
          <w:lang w:val="en-GB"/>
        </w:rPr>
      </w:pPr>
    </w:p>
    <w:p w14:paraId="73C9B854">
      <w:pPr>
        <w:pStyle w:val="5"/>
        <w:rPr>
          <w:lang w:val="en-GB"/>
        </w:rPr>
      </w:pPr>
    </w:p>
    <w:p w14:paraId="1962A0F2">
      <w:pPr>
        <w:pStyle w:val="5"/>
        <w:rPr>
          <w:lang w:val="en-GB"/>
        </w:rPr>
      </w:pPr>
    </w:p>
    <w:p w14:paraId="13796B23">
      <w:pPr>
        <w:pStyle w:val="5"/>
        <w:rPr>
          <w:lang w:val="en-GB"/>
        </w:rPr>
      </w:pPr>
    </w:p>
    <w:p w14:paraId="75C5B79C">
      <w:pPr>
        <w:pStyle w:val="5"/>
        <w:rPr>
          <w:lang w:val="en-GB"/>
        </w:rPr>
      </w:pPr>
    </w:p>
    <w:p w14:paraId="0F203F53">
      <w:pPr>
        <w:pStyle w:val="5"/>
        <w:rPr>
          <w:lang w:val="en-GB"/>
        </w:rPr>
      </w:pPr>
    </w:p>
    <w:p w14:paraId="3C09C1EE">
      <w:pPr>
        <w:pStyle w:val="5"/>
        <w:rPr>
          <w:lang w:val="en-GB"/>
        </w:rPr>
      </w:pPr>
    </w:p>
    <w:p w14:paraId="74EF6DE7">
      <w:pPr>
        <w:pStyle w:val="5"/>
        <w:rPr>
          <w:lang w:val="en-GB"/>
        </w:rPr>
      </w:pPr>
    </w:p>
    <w:p w14:paraId="7C71D3A5">
      <w:pPr>
        <w:pStyle w:val="5"/>
        <w:rPr>
          <w:lang w:val="en-GB"/>
        </w:rPr>
      </w:pPr>
    </w:p>
    <w:p w14:paraId="4AD1C470">
      <w:pPr>
        <w:pStyle w:val="5"/>
        <w:rPr>
          <w:lang w:val="en-GB"/>
        </w:rPr>
      </w:pPr>
    </w:p>
    <w:p w14:paraId="1F39E8F9">
      <w:pPr>
        <w:pStyle w:val="5"/>
        <w:rPr>
          <w:lang w:val="en-GB"/>
        </w:rPr>
      </w:pPr>
    </w:p>
    <w:p w14:paraId="7910D560">
      <w:pPr>
        <w:pStyle w:val="5"/>
        <w:rPr>
          <w:lang w:val="en-GB"/>
        </w:rPr>
      </w:pPr>
    </w:p>
    <w:p w14:paraId="1E55F071">
      <w:pPr>
        <w:pStyle w:val="5"/>
        <w:rPr>
          <w:lang w:val="en-GB"/>
        </w:rPr>
      </w:pPr>
    </w:p>
    <w:p w14:paraId="64D56DD7">
      <w:pPr>
        <w:pStyle w:val="5"/>
        <w:rPr>
          <w:lang w:val="en-GB"/>
        </w:rPr>
      </w:pPr>
    </w:p>
    <w:p w14:paraId="264ACD51">
      <w:pPr>
        <w:pStyle w:val="5"/>
        <w:rPr>
          <w:lang w:val="en-GB"/>
        </w:rPr>
      </w:pPr>
    </w:p>
    <w:p w14:paraId="45AF4B10">
      <w:pPr>
        <w:widowControl/>
        <w:jc w:val="left"/>
        <w:rPr>
          <w:rFonts w:eastAsia="仿宋_GB2312"/>
          <w:sz w:val="30"/>
          <w:szCs w:val="20"/>
          <w:lang w:val="en-GB"/>
        </w:rPr>
      </w:pPr>
      <w:r>
        <w:rPr>
          <w:rFonts w:eastAsia="仿宋_GB2312"/>
          <w:sz w:val="30"/>
          <w:szCs w:val="20"/>
          <w:lang w:val="en-GB"/>
        </w:rPr>
        <w:br w:type="page"/>
      </w:r>
    </w:p>
    <w:p w14:paraId="49834345">
      <w:pPr>
        <w:pStyle w:val="12"/>
        <w:spacing w:line="480" w:lineRule="auto"/>
        <w:jc w:val="center"/>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lang w:val="en-GB"/>
        </w:rPr>
        <w:t>格式</w:t>
      </w:r>
      <w:r>
        <w:rPr>
          <w:rFonts w:hint="eastAsia" w:asciiTheme="minorEastAsia" w:hAnsiTheme="minorEastAsia" w:eastAsiaTheme="minorEastAsia"/>
          <w:b/>
          <w:sz w:val="28"/>
          <w:szCs w:val="28"/>
        </w:rPr>
        <w:t>9  供应商成果转化综合能力评价方案说明、佐证材料</w:t>
      </w:r>
    </w:p>
    <w:p w14:paraId="3A31046E">
      <w:pPr>
        <w:jc w:val="center"/>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（格式可自定）</w:t>
      </w:r>
    </w:p>
    <w:p w14:paraId="44932924">
      <w:pPr>
        <w:jc w:val="center"/>
        <w:rPr>
          <w:rFonts w:asciiTheme="minorEastAsia" w:hAnsiTheme="minorEastAsia" w:eastAsiaTheme="minorEastAsia"/>
        </w:rPr>
      </w:pPr>
    </w:p>
    <w:p w14:paraId="56605D7D">
      <w:pPr>
        <w:jc w:val="center"/>
        <w:rPr>
          <w:rFonts w:asciiTheme="minorEastAsia" w:hAnsiTheme="minorEastAsia" w:eastAsiaTheme="minorEastAsia"/>
        </w:rPr>
      </w:pPr>
    </w:p>
    <w:p w14:paraId="28263F64">
      <w:pPr>
        <w:jc w:val="center"/>
        <w:rPr>
          <w:rFonts w:asciiTheme="minorEastAsia" w:hAnsiTheme="minorEastAsia" w:eastAsiaTheme="minorEastAsia"/>
        </w:rPr>
      </w:pPr>
    </w:p>
    <w:p w14:paraId="265308E1">
      <w:pPr>
        <w:jc w:val="center"/>
        <w:rPr>
          <w:rFonts w:asciiTheme="minorEastAsia" w:hAnsiTheme="minorEastAsia" w:eastAsiaTheme="minorEastAsia"/>
        </w:rPr>
      </w:pPr>
    </w:p>
    <w:p w14:paraId="1C9E244B">
      <w:pPr>
        <w:jc w:val="center"/>
        <w:rPr>
          <w:rFonts w:asciiTheme="minorEastAsia" w:hAnsiTheme="minorEastAsia" w:eastAsiaTheme="minorEastAsia"/>
        </w:rPr>
      </w:pPr>
    </w:p>
    <w:p w14:paraId="76DACADA">
      <w:pPr>
        <w:jc w:val="center"/>
        <w:rPr>
          <w:rFonts w:asciiTheme="minorEastAsia" w:hAnsiTheme="minorEastAsia" w:eastAsiaTheme="minorEastAsia"/>
        </w:rPr>
      </w:pPr>
    </w:p>
    <w:p w14:paraId="6FB5DBF8">
      <w:pPr>
        <w:jc w:val="center"/>
        <w:rPr>
          <w:rFonts w:asciiTheme="minorEastAsia" w:hAnsiTheme="minorEastAsia" w:eastAsiaTheme="minorEastAsia"/>
        </w:rPr>
      </w:pPr>
    </w:p>
    <w:p w14:paraId="166DF815">
      <w:pPr>
        <w:jc w:val="center"/>
        <w:rPr>
          <w:rFonts w:asciiTheme="minorEastAsia" w:hAnsiTheme="minorEastAsia" w:eastAsiaTheme="minorEastAsia"/>
        </w:rPr>
      </w:pPr>
    </w:p>
    <w:p w14:paraId="3573B099">
      <w:pPr>
        <w:jc w:val="center"/>
        <w:rPr>
          <w:rFonts w:asciiTheme="minorEastAsia" w:hAnsiTheme="minorEastAsia" w:eastAsiaTheme="minorEastAsia"/>
        </w:rPr>
      </w:pPr>
    </w:p>
    <w:p w14:paraId="16601512">
      <w:pPr>
        <w:pStyle w:val="5"/>
      </w:pPr>
    </w:p>
    <w:p w14:paraId="0DC834D3">
      <w:pPr>
        <w:pStyle w:val="5"/>
      </w:pPr>
    </w:p>
    <w:p w14:paraId="5FD64F71">
      <w:pPr>
        <w:pStyle w:val="5"/>
      </w:pPr>
    </w:p>
    <w:p w14:paraId="31168242">
      <w:pPr>
        <w:pStyle w:val="5"/>
      </w:pPr>
    </w:p>
    <w:p w14:paraId="6E3DEF8D">
      <w:pPr>
        <w:pStyle w:val="5"/>
      </w:pPr>
    </w:p>
    <w:p w14:paraId="514F20B0">
      <w:pPr>
        <w:pStyle w:val="5"/>
      </w:pPr>
    </w:p>
    <w:p w14:paraId="3438B08F">
      <w:pPr>
        <w:pStyle w:val="5"/>
      </w:pPr>
    </w:p>
    <w:p w14:paraId="088626CD">
      <w:pPr>
        <w:pStyle w:val="5"/>
      </w:pPr>
    </w:p>
    <w:p w14:paraId="698509A3">
      <w:pPr>
        <w:pStyle w:val="5"/>
      </w:pPr>
    </w:p>
    <w:p w14:paraId="0A11ADC2">
      <w:pPr>
        <w:pStyle w:val="5"/>
      </w:pPr>
    </w:p>
    <w:p w14:paraId="3FB9F20B">
      <w:pPr>
        <w:pStyle w:val="5"/>
      </w:pPr>
    </w:p>
    <w:p w14:paraId="1B09F92F">
      <w:pPr>
        <w:pStyle w:val="5"/>
      </w:pPr>
    </w:p>
    <w:p w14:paraId="4F16A401">
      <w:pPr>
        <w:pStyle w:val="5"/>
      </w:pPr>
    </w:p>
    <w:p w14:paraId="29170EA3">
      <w:pPr>
        <w:pStyle w:val="5"/>
      </w:pPr>
    </w:p>
    <w:p w14:paraId="313EB44E">
      <w:pPr>
        <w:pStyle w:val="5"/>
      </w:pPr>
    </w:p>
    <w:p w14:paraId="0E2408A6">
      <w:pPr>
        <w:pStyle w:val="5"/>
      </w:pPr>
    </w:p>
    <w:p w14:paraId="418477D3">
      <w:pPr>
        <w:pStyle w:val="12"/>
        <w:spacing w:line="480" w:lineRule="auto"/>
        <w:jc w:val="center"/>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lang w:val="en-GB"/>
        </w:rPr>
        <w:t>格式10</w:t>
      </w:r>
      <w:r>
        <w:rPr>
          <w:rFonts w:hint="eastAsia" w:asciiTheme="minorEastAsia" w:hAnsiTheme="minorEastAsia" w:eastAsiaTheme="minorEastAsia"/>
          <w:b/>
          <w:sz w:val="28"/>
          <w:szCs w:val="28"/>
        </w:rPr>
        <w:t xml:space="preserve">  工作方法及工作方案</w:t>
      </w:r>
    </w:p>
    <w:p w14:paraId="08AF2514">
      <w:pPr>
        <w:pStyle w:val="12"/>
        <w:spacing w:line="480" w:lineRule="auto"/>
        <w:jc w:val="center"/>
        <w:outlineLvl w:val="9"/>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（格式可自定）</w:t>
      </w:r>
    </w:p>
    <w:p w14:paraId="61E33201">
      <w:pPr>
        <w:pStyle w:val="5"/>
      </w:pPr>
    </w:p>
    <w:p w14:paraId="3C010768">
      <w:pPr>
        <w:jc w:val="center"/>
        <w:rPr>
          <w:rFonts w:asciiTheme="minorEastAsia" w:hAnsiTheme="minorEastAsia" w:eastAsiaTheme="minorEastAsia"/>
        </w:rPr>
      </w:pPr>
    </w:p>
    <w:p w14:paraId="74A8DA5D">
      <w:pPr>
        <w:jc w:val="center"/>
        <w:rPr>
          <w:rFonts w:asciiTheme="minorEastAsia" w:hAnsiTheme="minorEastAsia" w:eastAsiaTheme="minorEastAsia"/>
        </w:rPr>
      </w:pPr>
    </w:p>
    <w:p w14:paraId="38FBA815">
      <w:pPr>
        <w:pStyle w:val="5"/>
      </w:pPr>
    </w:p>
    <w:p w14:paraId="105DEAA7">
      <w:pPr>
        <w:pStyle w:val="5"/>
      </w:pPr>
    </w:p>
    <w:p w14:paraId="17F6568F">
      <w:pPr>
        <w:pStyle w:val="5"/>
      </w:pPr>
    </w:p>
    <w:p w14:paraId="2EC2FE89">
      <w:pPr>
        <w:pStyle w:val="5"/>
      </w:pPr>
    </w:p>
    <w:p w14:paraId="42F0D925">
      <w:pPr>
        <w:pStyle w:val="5"/>
      </w:pPr>
    </w:p>
    <w:p w14:paraId="5F09FD1B">
      <w:pPr>
        <w:pStyle w:val="5"/>
      </w:pPr>
    </w:p>
    <w:p w14:paraId="685EAF6D">
      <w:pPr>
        <w:pStyle w:val="5"/>
      </w:pPr>
    </w:p>
    <w:p w14:paraId="2CD6D06E">
      <w:pPr>
        <w:pStyle w:val="5"/>
      </w:pPr>
    </w:p>
    <w:p w14:paraId="35A24DA7">
      <w:pPr>
        <w:pStyle w:val="5"/>
      </w:pPr>
    </w:p>
    <w:p w14:paraId="601FF3BC">
      <w:pPr>
        <w:pStyle w:val="5"/>
      </w:pPr>
    </w:p>
    <w:p w14:paraId="6C76FFD8">
      <w:pPr>
        <w:pStyle w:val="5"/>
      </w:pPr>
    </w:p>
    <w:p w14:paraId="38245884">
      <w:pPr>
        <w:pStyle w:val="5"/>
      </w:pPr>
    </w:p>
    <w:p w14:paraId="5748E5F9">
      <w:pPr>
        <w:pStyle w:val="5"/>
      </w:pPr>
    </w:p>
    <w:p w14:paraId="331E8FF6">
      <w:pPr>
        <w:pStyle w:val="5"/>
      </w:pPr>
    </w:p>
    <w:p w14:paraId="54FC3EDA">
      <w:pPr>
        <w:pStyle w:val="5"/>
      </w:pPr>
    </w:p>
    <w:p w14:paraId="40365C7F">
      <w:pPr>
        <w:widowControl/>
        <w:jc w:val="left"/>
        <w:rPr>
          <w:rFonts w:eastAsia="仿宋_GB2312"/>
          <w:sz w:val="30"/>
          <w:szCs w:val="20"/>
        </w:rPr>
      </w:pPr>
      <w:r>
        <w:rPr>
          <w:rFonts w:eastAsia="仿宋_GB2312"/>
          <w:sz w:val="30"/>
          <w:szCs w:val="20"/>
        </w:rPr>
        <w:br w:type="page"/>
      </w:r>
    </w:p>
    <w:p w14:paraId="45F84388">
      <w:pPr>
        <w:jc w:val="center"/>
        <w:rPr>
          <w:rFonts w:asciiTheme="minorEastAsia" w:hAnsiTheme="minorEastAsia" w:eastAsiaTheme="minorEastAsia"/>
        </w:rPr>
      </w:pPr>
    </w:p>
    <w:p w14:paraId="166818F6">
      <w:pPr>
        <w:pStyle w:val="12"/>
        <w:spacing w:line="480" w:lineRule="auto"/>
        <w:jc w:val="center"/>
        <w:outlineLvl w:val="1"/>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格式11  服务机构设置</w:t>
      </w:r>
    </w:p>
    <w:p w14:paraId="227D865D">
      <w:pPr>
        <w:jc w:val="center"/>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（格式可自定）</w:t>
      </w:r>
    </w:p>
    <w:p w14:paraId="6DC0F6FD">
      <w:pPr>
        <w:jc w:val="center"/>
        <w:rPr>
          <w:rFonts w:asciiTheme="minorEastAsia" w:hAnsiTheme="minorEastAsia" w:eastAsiaTheme="minorEastAsia"/>
          <w:b/>
          <w:sz w:val="28"/>
          <w:szCs w:val="28"/>
          <w:lang w:val="en-GB"/>
        </w:rPr>
      </w:pPr>
    </w:p>
    <w:p w14:paraId="5A8305B8">
      <w:pPr>
        <w:jc w:val="center"/>
        <w:rPr>
          <w:rFonts w:asciiTheme="minorEastAsia" w:hAnsiTheme="minorEastAsia" w:eastAsiaTheme="minorEastAsia"/>
          <w:b/>
          <w:sz w:val="28"/>
          <w:szCs w:val="28"/>
          <w:lang w:val="en-GB"/>
        </w:rPr>
      </w:pPr>
    </w:p>
    <w:p w14:paraId="734C1414">
      <w:pPr>
        <w:jc w:val="center"/>
        <w:rPr>
          <w:rFonts w:asciiTheme="minorEastAsia" w:hAnsiTheme="minorEastAsia" w:eastAsiaTheme="minorEastAsia"/>
          <w:b/>
          <w:sz w:val="28"/>
          <w:szCs w:val="28"/>
          <w:lang w:val="en-GB"/>
        </w:rPr>
      </w:pPr>
    </w:p>
    <w:p w14:paraId="0A5B9647">
      <w:pPr>
        <w:jc w:val="center"/>
        <w:rPr>
          <w:rFonts w:asciiTheme="minorEastAsia" w:hAnsiTheme="minorEastAsia" w:eastAsiaTheme="minorEastAsia"/>
          <w:b/>
          <w:sz w:val="28"/>
          <w:szCs w:val="28"/>
          <w:lang w:val="en-GB"/>
        </w:rPr>
      </w:pPr>
    </w:p>
    <w:p w14:paraId="5270E64D">
      <w:pPr>
        <w:jc w:val="center"/>
        <w:rPr>
          <w:rFonts w:asciiTheme="minorEastAsia" w:hAnsiTheme="minorEastAsia" w:eastAsiaTheme="minorEastAsia"/>
          <w:b/>
          <w:sz w:val="28"/>
          <w:szCs w:val="28"/>
          <w:lang w:val="en-GB"/>
        </w:rPr>
      </w:pPr>
    </w:p>
    <w:p w14:paraId="60FC35EE">
      <w:pPr>
        <w:jc w:val="center"/>
        <w:rPr>
          <w:rFonts w:asciiTheme="minorEastAsia" w:hAnsiTheme="minorEastAsia" w:eastAsiaTheme="minorEastAsia"/>
          <w:b/>
          <w:sz w:val="28"/>
          <w:szCs w:val="28"/>
          <w:lang w:val="en-GB"/>
        </w:rPr>
      </w:pPr>
    </w:p>
    <w:p w14:paraId="7799D275">
      <w:pPr>
        <w:jc w:val="center"/>
        <w:rPr>
          <w:rFonts w:asciiTheme="minorEastAsia" w:hAnsiTheme="minorEastAsia" w:eastAsiaTheme="minorEastAsia"/>
          <w:b/>
          <w:sz w:val="28"/>
          <w:szCs w:val="28"/>
          <w:lang w:val="en-GB"/>
        </w:rPr>
      </w:pPr>
    </w:p>
    <w:p w14:paraId="0B28AC09">
      <w:pPr>
        <w:jc w:val="center"/>
        <w:rPr>
          <w:rFonts w:asciiTheme="minorEastAsia" w:hAnsiTheme="minorEastAsia" w:eastAsiaTheme="minorEastAsia"/>
          <w:b/>
          <w:sz w:val="28"/>
          <w:szCs w:val="28"/>
          <w:lang w:val="en-GB"/>
        </w:rPr>
      </w:pPr>
    </w:p>
    <w:p w14:paraId="28976EC0">
      <w:pPr>
        <w:pStyle w:val="5"/>
        <w:rPr>
          <w:rFonts w:asciiTheme="minorEastAsia" w:hAnsiTheme="minorEastAsia" w:eastAsiaTheme="minorEastAsia"/>
          <w:lang w:val="en-GB"/>
        </w:rPr>
      </w:pPr>
    </w:p>
    <w:p w14:paraId="613C6C3F">
      <w:pPr>
        <w:pStyle w:val="5"/>
        <w:rPr>
          <w:rFonts w:asciiTheme="minorEastAsia" w:hAnsiTheme="minorEastAsia" w:eastAsiaTheme="minorEastAsia"/>
          <w:lang w:val="en-GB"/>
        </w:rPr>
      </w:pPr>
    </w:p>
    <w:p w14:paraId="2A8CED6D">
      <w:pPr>
        <w:pStyle w:val="5"/>
        <w:rPr>
          <w:rFonts w:asciiTheme="minorEastAsia" w:hAnsiTheme="minorEastAsia" w:eastAsiaTheme="minorEastAsia"/>
          <w:lang w:val="en-GB"/>
        </w:rPr>
      </w:pPr>
    </w:p>
    <w:p w14:paraId="0BBA8A9F">
      <w:pPr>
        <w:pStyle w:val="5"/>
        <w:rPr>
          <w:rFonts w:asciiTheme="minorEastAsia" w:hAnsiTheme="minorEastAsia" w:eastAsiaTheme="minorEastAsia"/>
          <w:lang w:val="en-GB"/>
        </w:rPr>
      </w:pPr>
    </w:p>
    <w:p w14:paraId="010D9EC3">
      <w:pPr>
        <w:pStyle w:val="5"/>
        <w:rPr>
          <w:rFonts w:asciiTheme="minorEastAsia" w:hAnsiTheme="minorEastAsia" w:eastAsiaTheme="minorEastAsia"/>
          <w:lang w:val="en-GB"/>
        </w:rPr>
      </w:pPr>
    </w:p>
    <w:p w14:paraId="6E91516E">
      <w:pPr>
        <w:pStyle w:val="5"/>
        <w:rPr>
          <w:rFonts w:asciiTheme="minorEastAsia" w:hAnsiTheme="minorEastAsia" w:eastAsiaTheme="minorEastAsia"/>
          <w:lang w:val="en-GB"/>
        </w:rPr>
      </w:pPr>
    </w:p>
    <w:p w14:paraId="63F33819">
      <w:pPr>
        <w:pStyle w:val="5"/>
        <w:rPr>
          <w:rFonts w:asciiTheme="minorEastAsia" w:hAnsiTheme="minorEastAsia" w:eastAsiaTheme="minorEastAsia"/>
          <w:lang w:val="en-GB"/>
        </w:rPr>
      </w:pPr>
    </w:p>
    <w:p w14:paraId="18177711">
      <w:pPr>
        <w:pStyle w:val="5"/>
        <w:rPr>
          <w:rFonts w:asciiTheme="minorEastAsia" w:hAnsiTheme="minorEastAsia" w:eastAsiaTheme="minorEastAsia"/>
          <w:lang w:val="en-GB"/>
        </w:rPr>
      </w:pPr>
    </w:p>
    <w:p w14:paraId="05FA3EE2">
      <w:pPr>
        <w:widowControl/>
        <w:jc w:val="left"/>
        <w:rPr>
          <w:rFonts w:asciiTheme="minorEastAsia" w:hAnsiTheme="minorEastAsia" w:eastAsiaTheme="minorEastAsia"/>
          <w:sz w:val="30"/>
          <w:szCs w:val="20"/>
          <w:lang w:val="en-GB"/>
        </w:rPr>
      </w:pPr>
      <w:r>
        <w:rPr>
          <w:rFonts w:asciiTheme="minorEastAsia" w:hAnsiTheme="minorEastAsia" w:eastAsiaTheme="minorEastAsia"/>
          <w:lang w:val="en-GB"/>
        </w:rPr>
        <w:br w:type="page"/>
      </w:r>
    </w:p>
    <w:p w14:paraId="2E5E076F">
      <w:pPr>
        <w:pStyle w:val="5"/>
        <w:rPr>
          <w:rFonts w:asciiTheme="minorEastAsia" w:hAnsiTheme="minorEastAsia" w:eastAsiaTheme="minorEastAsia"/>
          <w:lang w:val="en-GB"/>
        </w:rPr>
      </w:pPr>
    </w:p>
    <w:p w14:paraId="23ACBF41">
      <w:pPr>
        <w:pStyle w:val="12"/>
        <w:spacing w:line="480" w:lineRule="auto"/>
        <w:jc w:val="center"/>
        <w:outlineLvl w:val="1"/>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格式12 供应商服务人员专业技术能力证明材料</w:t>
      </w:r>
    </w:p>
    <w:p w14:paraId="46C8BBF6">
      <w:pPr>
        <w:jc w:val="center"/>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（格式可自定）</w:t>
      </w:r>
    </w:p>
    <w:p w14:paraId="4D4934A1">
      <w:pPr>
        <w:pStyle w:val="5"/>
        <w:rPr>
          <w:lang w:val="en-GB"/>
        </w:rPr>
      </w:pPr>
    </w:p>
    <w:p w14:paraId="47079C95">
      <w:pPr>
        <w:pStyle w:val="5"/>
        <w:rPr>
          <w:lang w:val="en-GB"/>
        </w:rPr>
      </w:pPr>
    </w:p>
    <w:p w14:paraId="41775A6D">
      <w:pPr>
        <w:pStyle w:val="5"/>
        <w:rPr>
          <w:lang w:val="en-GB"/>
        </w:rPr>
      </w:pPr>
    </w:p>
    <w:p w14:paraId="087D9331">
      <w:pPr>
        <w:pStyle w:val="5"/>
        <w:rPr>
          <w:lang w:val="en-GB"/>
        </w:rPr>
      </w:pPr>
    </w:p>
    <w:p w14:paraId="21364590">
      <w:pPr>
        <w:pStyle w:val="5"/>
        <w:rPr>
          <w:lang w:val="en-GB"/>
        </w:rPr>
      </w:pPr>
    </w:p>
    <w:p w14:paraId="198C1464">
      <w:pPr>
        <w:pStyle w:val="5"/>
        <w:rPr>
          <w:lang w:val="en-GB"/>
        </w:rPr>
      </w:pPr>
    </w:p>
    <w:p w14:paraId="45007CC8">
      <w:pPr>
        <w:pStyle w:val="5"/>
        <w:rPr>
          <w:lang w:val="en-GB"/>
        </w:rPr>
      </w:pPr>
    </w:p>
    <w:p w14:paraId="7C6C8695">
      <w:pPr>
        <w:pStyle w:val="5"/>
        <w:rPr>
          <w:lang w:val="en-GB"/>
        </w:rPr>
      </w:pPr>
    </w:p>
    <w:p w14:paraId="4E60A6FA">
      <w:pPr>
        <w:pStyle w:val="5"/>
        <w:rPr>
          <w:lang w:val="en-GB"/>
        </w:rPr>
      </w:pPr>
    </w:p>
    <w:p w14:paraId="17297CCC">
      <w:pPr>
        <w:pStyle w:val="5"/>
        <w:rPr>
          <w:lang w:val="en-GB"/>
        </w:rPr>
      </w:pPr>
    </w:p>
    <w:p w14:paraId="7FF59E4B">
      <w:pPr>
        <w:pStyle w:val="5"/>
        <w:rPr>
          <w:lang w:val="en-GB"/>
        </w:rPr>
      </w:pPr>
    </w:p>
    <w:p w14:paraId="07929C89">
      <w:pPr>
        <w:pStyle w:val="5"/>
        <w:rPr>
          <w:lang w:val="en-GB"/>
        </w:rPr>
      </w:pPr>
    </w:p>
    <w:p w14:paraId="36B5710A">
      <w:pPr>
        <w:pStyle w:val="5"/>
        <w:rPr>
          <w:lang w:val="en-GB"/>
        </w:rPr>
      </w:pPr>
    </w:p>
    <w:p w14:paraId="5DDD5FCA">
      <w:pPr>
        <w:pStyle w:val="5"/>
        <w:rPr>
          <w:lang w:val="en-GB"/>
        </w:rPr>
      </w:pPr>
    </w:p>
    <w:p w14:paraId="012BA26F">
      <w:pPr>
        <w:pStyle w:val="5"/>
        <w:rPr>
          <w:lang w:val="en-GB"/>
        </w:rPr>
      </w:pPr>
    </w:p>
    <w:p w14:paraId="1D9E9786">
      <w:pPr>
        <w:widowControl/>
        <w:jc w:val="left"/>
        <w:rPr>
          <w:rFonts w:eastAsia="仿宋_GB2312"/>
          <w:sz w:val="30"/>
          <w:szCs w:val="20"/>
          <w:lang w:val="en-GB"/>
        </w:rPr>
      </w:pPr>
      <w:r>
        <w:rPr>
          <w:rFonts w:eastAsia="仿宋_GB2312"/>
          <w:sz w:val="30"/>
          <w:szCs w:val="20"/>
          <w:lang w:val="en-GB"/>
        </w:rPr>
        <w:br w:type="page"/>
      </w:r>
    </w:p>
    <w:p w14:paraId="608E2C82">
      <w:pPr>
        <w:pStyle w:val="12"/>
        <w:spacing w:line="480" w:lineRule="auto"/>
        <w:jc w:val="center"/>
        <w:outlineLvl w:val="1"/>
        <w:rPr>
          <w:rFonts w:hint="eastAsia" w:asciiTheme="minorEastAsia" w:hAnsiTheme="minorEastAsia" w:eastAsiaTheme="minorEastAsia"/>
          <w:b/>
          <w:sz w:val="28"/>
          <w:szCs w:val="28"/>
          <w:highlight w:val="none"/>
          <w:lang w:val="en-GB" w:eastAsia="zh-CN"/>
        </w:rPr>
      </w:pPr>
      <w:r>
        <w:rPr>
          <w:rFonts w:hint="eastAsia" w:asciiTheme="minorEastAsia" w:hAnsiTheme="minorEastAsia" w:eastAsiaTheme="minorEastAsia"/>
          <w:b/>
          <w:sz w:val="28"/>
          <w:szCs w:val="28"/>
          <w:highlight w:val="none"/>
          <w:lang w:val="en-GB"/>
        </w:rPr>
        <w:t>格式13</w:t>
      </w:r>
      <w:r>
        <w:rPr>
          <w:rFonts w:hint="eastAsia" w:asciiTheme="minorEastAsia" w:hAnsiTheme="minorEastAsia" w:eastAsiaTheme="minorEastAsia"/>
          <w:b/>
          <w:sz w:val="28"/>
          <w:szCs w:val="28"/>
          <w:highlight w:val="none"/>
          <w:lang w:val="en-US" w:eastAsia="zh-CN"/>
        </w:rPr>
        <w:t xml:space="preserve">   </w:t>
      </w:r>
      <w:r>
        <w:rPr>
          <w:rFonts w:hint="eastAsia" w:asciiTheme="minorEastAsia" w:hAnsiTheme="minorEastAsia" w:eastAsiaTheme="minorEastAsia"/>
          <w:b/>
          <w:sz w:val="28"/>
          <w:szCs w:val="28"/>
          <w:highlight w:val="none"/>
          <w:lang w:val="en-GB" w:eastAsia="zh-CN"/>
        </w:rPr>
        <w:t>合同条款响应表</w:t>
      </w:r>
    </w:p>
    <w:p w14:paraId="746AE576">
      <w:pPr>
        <w:jc w:val="center"/>
        <w:rPr>
          <w:rFonts w:asciiTheme="minorEastAsia" w:hAnsiTheme="minorEastAsia" w:eastAsiaTheme="minorEastAsia"/>
          <w:b/>
          <w:sz w:val="28"/>
          <w:szCs w:val="28"/>
          <w:highlight w:val="none"/>
          <w:lang w:val="en-GB"/>
        </w:rPr>
      </w:pPr>
      <w:r>
        <w:rPr>
          <w:rFonts w:hint="eastAsia" w:asciiTheme="minorEastAsia" w:hAnsiTheme="minorEastAsia" w:eastAsiaTheme="minorEastAsia"/>
          <w:b/>
          <w:sz w:val="28"/>
          <w:szCs w:val="28"/>
          <w:highlight w:val="none"/>
          <w:lang w:val="en-GB"/>
        </w:rPr>
        <w:t>（格式可自定）</w:t>
      </w:r>
    </w:p>
    <w:p w14:paraId="553B3B5A">
      <w:pPr>
        <w:pStyle w:val="12"/>
        <w:spacing w:line="480" w:lineRule="auto"/>
        <w:jc w:val="center"/>
        <w:outlineLvl w:val="1"/>
        <w:rPr>
          <w:rFonts w:hint="eastAsia" w:asciiTheme="minorEastAsia" w:hAnsiTheme="minorEastAsia" w:eastAsiaTheme="minorEastAsia"/>
          <w:b w:val="0"/>
          <w:bCs/>
          <w:sz w:val="28"/>
          <w:szCs w:val="28"/>
          <w:highlight w:val="none"/>
          <w:lang w:val="en-GB"/>
        </w:rPr>
      </w:pPr>
    </w:p>
    <w:p w14:paraId="2425747D">
      <w:pPr>
        <w:pStyle w:val="12"/>
        <w:spacing w:line="480" w:lineRule="auto"/>
        <w:jc w:val="center"/>
        <w:outlineLvl w:val="1"/>
        <w:rPr>
          <w:rFonts w:hint="eastAsia" w:asciiTheme="minorEastAsia" w:hAnsiTheme="minorEastAsia" w:eastAsiaTheme="minorEastAsia"/>
          <w:b w:val="0"/>
          <w:bCs/>
          <w:sz w:val="28"/>
          <w:szCs w:val="28"/>
          <w:highlight w:val="none"/>
          <w:lang w:val="en-GB"/>
        </w:rPr>
      </w:pPr>
    </w:p>
    <w:p w14:paraId="632FB21C">
      <w:pPr>
        <w:pStyle w:val="12"/>
        <w:spacing w:line="480" w:lineRule="auto"/>
        <w:jc w:val="center"/>
        <w:outlineLvl w:val="1"/>
        <w:rPr>
          <w:rFonts w:hint="eastAsia" w:asciiTheme="minorEastAsia" w:hAnsiTheme="minorEastAsia" w:eastAsiaTheme="minorEastAsia"/>
          <w:b w:val="0"/>
          <w:bCs/>
          <w:sz w:val="28"/>
          <w:szCs w:val="28"/>
          <w:highlight w:val="none"/>
          <w:lang w:val="en-GB"/>
        </w:rPr>
      </w:pPr>
    </w:p>
    <w:p w14:paraId="608430A0">
      <w:pPr>
        <w:pStyle w:val="12"/>
        <w:spacing w:line="480" w:lineRule="auto"/>
        <w:jc w:val="center"/>
        <w:outlineLvl w:val="1"/>
        <w:rPr>
          <w:rFonts w:hint="eastAsia" w:asciiTheme="minorEastAsia" w:hAnsiTheme="minorEastAsia" w:eastAsiaTheme="minorEastAsia"/>
          <w:b w:val="0"/>
          <w:bCs/>
          <w:sz w:val="28"/>
          <w:szCs w:val="28"/>
          <w:highlight w:val="none"/>
          <w:lang w:val="en-GB"/>
        </w:rPr>
      </w:pPr>
    </w:p>
    <w:p w14:paraId="5D464961">
      <w:pPr>
        <w:pStyle w:val="12"/>
        <w:spacing w:line="480" w:lineRule="auto"/>
        <w:jc w:val="center"/>
        <w:outlineLvl w:val="1"/>
        <w:rPr>
          <w:rFonts w:hint="eastAsia" w:asciiTheme="minorEastAsia" w:hAnsiTheme="minorEastAsia" w:eastAsiaTheme="minorEastAsia"/>
          <w:b w:val="0"/>
          <w:bCs/>
          <w:sz w:val="28"/>
          <w:szCs w:val="28"/>
          <w:highlight w:val="none"/>
          <w:lang w:val="en-GB"/>
        </w:rPr>
      </w:pPr>
    </w:p>
    <w:p w14:paraId="24323CB2">
      <w:pPr>
        <w:pStyle w:val="12"/>
        <w:spacing w:line="480" w:lineRule="auto"/>
        <w:jc w:val="center"/>
        <w:outlineLvl w:val="1"/>
        <w:rPr>
          <w:rFonts w:hint="eastAsia" w:asciiTheme="minorEastAsia" w:hAnsiTheme="minorEastAsia" w:eastAsiaTheme="minorEastAsia"/>
          <w:b w:val="0"/>
          <w:bCs/>
          <w:sz w:val="28"/>
          <w:szCs w:val="28"/>
          <w:highlight w:val="none"/>
          <w:lang w:val="en-GB"/>
        </w:rPr>
      </w:pPr>
    </w:p>
    <w:p w14:paraId="1A218515">
      <w:pPr>
        <w:pStyle w:val="12"/>
        <w:spacing w:line="480" w:lineRule="auto"/>
        <w:jc w:val="center"/>
        <w:outlineLvl w:val="1"/>
        <w:rPr>
          <w:rFonts w:hint="eastAsia" w:asciiTheme="minorEastAsia" w:hAnsiTheme="minorEastAsia" w:eastAsiaTheme="minorEastAsia"/>
          <w:b w:val="0"/>
          <w:bCs/>
          <w:sz w:val="28"/>
          <w:szCs w:val="28"/>
          <w:lang w:val="en-GB"/>
        </w:rPr>
      </w:pPr>
    </w:p>
    <w:p w14:paraId="50B07531">
      <w:pPr>
        <w:pStyle w:val="12"/>
        <w:spacing w:line="480" w:lineRule="auto"/>
        <w:jc w:val="center"/>
        <w:outlineLvl w:val="1"/>
        <w:rPr>
          <w:rFonts w:hint="eastAsia" w:asciiTheme="minorEastAsia" w:hAnsiTheme="minorEastAsia" w:eastAsiaTheme="minorEastAsia"/>
          <w:b w:val="0"/>
          <w:bCs/>
          <w:sz w:val="28"/>
          <w:szCs w:val="28"/>
          <w:lang w:val="en-GB"/>
        </w:rPr>
      </w:pPr>
    </w:p>
    <w:p w14:paraId="57A257E5">
      <w:pPr>
        <w:pStyle w:val="12"/>
        <w:spacing w:line="480" w:lineRule="auto"/>
        <w:jc w:val="center"/>
        <w:outlineLvl w:val="1"/>
        <w:rPr>
          <w:rFonts w:hint="eastAsia" w:asciiTheme="minorEastAsia" w:hAnsiTheme="minorEastAsia" w:eastAsiaTheme="minorEastAsia"/>
          <w:b w:val="0"/>
          <w:bCs/>
          <w:sz w:val="28"/>
          <w:szCs w:val="28"/>
          <w:lang w:val="en-GB"/>
        </w:rPr>
      </w:pPr>
    </w:p>
    <w:p w14:paraId="4D359079">
      <w:pPr>
        <w:pStyle w:val="12"/>
        <w:spacing w:line="480" w:lineRule="auto"/>
        <w:jc w:val="center"/>
        <w:outlineLvl w:val="1"/>
        <w:rPr>
          <w:rFonts w:hint="eastAsia" w:asciiTheme="minorEastAsia" w:hAnsiTheme="minorEastAsia" w:eastAsiaTheme="minorEastAsia"/>
          <w:b w:val="0"/>
          <w:bCs/>
          <w:sz w:val="28"/>
          <w:szCs w:val="28"/>
          <w:lang w:val="en-GB"/>
        </w:rPr>
      </w:pPr>
    </w:p>
    <w:p w14:paraId="2567527C">
      <w:pPr>
        <w:pStyle w:val="12"/>
        <w:spacing w:line="480" w:lineRule="auto"/>
        <w:jc w:val="center"/>
        <w:outlineLvl w:val="1"/>
        <w:rPr>
          <w:rFonts w:hint="eastAsia" w:asciiTheme="minorEastAsia" w:hAnsiTheme="minorEastAsia" w:eastAsiaTheme="minorEastAsia"/>
          <w:b w:val="0"/>
          <w:bCs/>
          <w:sz w:val="28"/>
          <w:szCs w:val="28"/>
          <w:lang w:val="en-GB"/>
        </w:rPr>
      </w:pPr>
    </w:p>
    <w:p w14:paraId="58ED0BC0">
      <w:pPr>
        <w:pStyle w:val="12"/>
        <w:spacing w:line="480" w:lineRule="auto"/>
        <w:jc w:val="center"/>
        <w:outlineLvl w:val="1"/>
        <w:rPr>
          <w:rFonts w:hint="eastAsia" w:asciiTheme="minorEastAsia" w:hAnsiTheme="minorEastAsia" w:eastAsiaTheme="minorEastAsia"/>
          <w:b w:val="0"/>
          <w:bCs/>
          <w:sz w:val="28"/>
          <w:szCs w:val="28"/>
          <w:lang w:val="en-GB"/>
        </w:rPr>
      </w:pPr>
    </w:p>
    <w:p w14:paraId="67E04D5A">
      <w:pPr>
        <w:pStyle w:val="12"/>
        <w:spacing w:line="480" w:lineRule="auto"/>
        <w:jc w:val="center"/>
        <w:outlineLvl w:val="1"/>
        <w:rPr>
          <w:rFonts w:hint="eastAsia" w:asciiTheme="minorEastAsia" w:hAnsiTheme="minorEastAsia" w:eastAsiaTheme="minorEastAsia"/>
          <w:b w:val="0"/>
          <w:bCs/>
          <w:sz w:val="28"/>
          <w:szCs w:val="28"/>
          <w:lang w:val="en-GB"/>
        </w:rPr>
      </w:pPr>
    </w:p>
    <w:p w14:paraId="1C01C9D3">
      <w:pPr>
        <w:pStyle w:val="12"/>
        <w:spacing w:line="480" w:lineRule="auto"/>
        <w:jc w:val="center"/>
        <w:outlineLvl w:val="1"/>
        <w:rPr>
          <w:rFonts w:hint="eastAsia" w:asciiTheme="minorEastAsia" w:hAnsiTheme="minorEastAsia" w:eastAsiaTheme="minorEastAsia"/>
          <w:b w:val="0"/>
          <w:bCs/>
          <w:sz w:val="28"/>
          <w:szCs w:val="28"/>
          <w:lang w:val="en-GB"/>
        </w:rPr>
      </w:pPr>
    </w:p>
    <w:p w14:paraId="4D72EF01">
      <w:pPr>
        <w:pStyle w:val="12"/>
        <w:spacing w:line="480" w:lineRule="auto"/>
        <w:jc w:val="center"/>
        <w:outlineLvl w:val="1"/>
        <w:rPr>
          <w:rFonts w:hint="eastAsia" w:asciiTheme="minorEastAsia" w:hAnsiTheme="minorEastAsia" w:eastAsiaTheme="minorEastAsia"/>
          <w:b w:val="0"/>
          <w:bCs/>
          <w:sz w:val="28"/>
          <w:szCs w:val="28"/>
          <w:lang w:val="en-GB"/>
        </w:rPr>
      </w:pPr>
    </w:p>
    <w:p w14:paraId="5F4448BD">
      <w:pPr>
        <w:pStyle w:val="12"/>
        <w:spacing w:line="480" w:lineRule="auto"/>
        <w:jc w:val="center"/>
        <w:outlineLvl w:val="1"/>
        <w:rPr>
          <w:rFonts w:hint="eastAsia" w:asciiTheme="minorEastAsia" w:hAnsiTheme="minorEastAsia" w:eastAsiaTheme="minorEastAsia"/>
          <w:b w:val="0"/>
          <w:bCs/>
          <w:sz w:val="28"/>
          <w:szCs w:val="28"/>
          <w:lang w:val="en-GB"/>
        </w:rPr>
      </w:pPr>
    </w:p>
    <w:p w14:paraId="205B4F0C">
      <w:pPr>
        <w:pStyle w:val="12"/>
        <w:spacing w:line="480" w:lineRule="auto"/>
        <w:jc w:val="both"/>
        <w:outlineLvl w:val="1"/>
        <w:rPr>
          <w:rFonts w:hint="eastAsia" w:asciiTheme="minorEastAsia" w:hAnsiTheme="minorEastAsia" w:eastAsiaTheme="minorEastAsia"/>
          <w:b w:val="0"/>
          <w:bCs/>
          <w:sz w:val="28"/>
          <w:szCs w:val="28"/>
          <w:lang w:val="en-GB"/>
        </w:rPr>
      </w:pPr>
    </w:p>
    <w:p w14:paraId="29068EBA">
      <w:pPr>
        <w:pStyle w:val="12"/>
        <w:spacing w:line="480" w:lineRule="auto"/>
        <w:jc w:val="center"/>
        <w:outlineLvl w:val="1"/>
        <w:rPr>
          <w:rFonts w:asciiTheme="minorEastAsia" w:hAnsiTheme="minorEastAsia" w:eastAsiaTheme="minorEastAsia"/>
          <w:b/>
          <w:sz w:val="28"/>
          <w:szCs w:val="28"/>
          <w:lang w:val="en-GB"/>
        </w:rPr>
      </w:pPr>
      <w:r>
        <w:rPr>
          <w:rFonts w:hint="eastAsia" w:asciiTheme="minorEastAsia" w:hAnsiTheme="minorEastAsia" w:eastAsiaTheme="minorEastAsia"/>
          <w:b/>
          <w:sz w:val="28"/>
          <w:szCs w:val="28"/>
          <w:lang w:val="en-GB"/>
        </w:rPr>
        <w:t>格式</w:t>
      </w:r>
      <w:r>
        <w:rPr>
          <w:rFonts w:hint="eastAsia" w:asciiTheme="minorEastAsia" w:hAnsiTheme="minorEastAsia" w:eastAsiaTheme="minorEastAsia"/>
          <w:b/>
          <w:sz w:val="28"/>
          <w:szCs w:val="28"/>
        </w:rPr>
        <w:t>1</w:t>
      </w:r>
      <w:r>
        <w:rPr>
          <w:rFonts w:hint="eastAsia" w:asciiTheme="minorEastAsia" w:hAnsiTheme="minorEastAsia" w:eastAsiaTheme="minorEastAsia"/>
          <w:b/>
          <w:sz w:val="28"/>
          <w:szCs w:val="28"/>
          <w:lang w:val="en-US" w:eastAsia="zh-CN"/>
        </w:rPr>
        <w:t>4</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lang w:val="en-GB"/>
        </w:rPr>
        <w:t>响应供应商认为</w:t>
      </w:r>
      <w:r>
        <w:rPr>
          <w:rFonts w:hint="eastAsia" w:asciiTheme="minorEastAsia" w:hAnsiTheme="minorEastAsia" w:eastAsiaTheme="minorEastAsia"/>
          <w:b/>
          <w:sz w:val="28"/>
          <w:szCs w:val="32"/>
        </w:rPr>
        <w:t>需要</w:t>
      </w:r>
      <w:r>
        <w:rPr>
          <w:rFonts w:hint="eastAsia" w:asciiTheme="minorEastAsia" w:hAnsiTheme="minorEastAsia" w:eastAsiaTheme="minorEastAsia"/>
          <w:b/>
          <w:sz w:val="28"/>
          <w:szCs w:val="28"/>
          <w:lang w:val="en-GB"/>
        </w:rPr>
        <w:t>增加的其他资料</w:t>
      </w:r>
    </w:p>
    <w:sectPr>
      <w:headerReference r:id="rId8" w:type="first"/>
      <w:footerReference r:id="rId9" w:type="first"/>
      <w:pgSz w:w="11906" w:h="16838"/>
      <w:pgMar w:top="1247" w:right="1247" w:bottom="1134" w:left="1247" w:header="794" w:footer="794"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1648">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AFFB">
    <w:pPr>
      <w:pStyle w:val="22"/>
      <w:framePr w:wrap="around" w:vAnchor="text" w:hAnchor="margin" w:xAlign="center" w:y="1"/>
      <w:rPr>
        <w:rStyle w:val="41"/>
      </w:rPr>
    </w:pPr>
    <w:r>
      <w:fldChar w:fldCharType="begin"/>
    </w:r>
    <w:r>
      <w:rPr>
        <w:rStyle w:val="41"/>
      </w:rPr>
      <w:instrText xml:space="preserve">PAGE  </w:instrText>
    </w:r>
    <w:r>
      <w:fldChar w:fldCharType="end"/>
    </w:r>
  </w:p>
  <w:p w14:paraId="0C7C6BD6">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942E">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7B8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4329C88">
        <w:pPr>
          <w:pStyle w:val="23"/>
        </w:pPr>
        <w:r>
          <w:fldChar w:fldCharType="begin"/>
        </w:r>
        <w:r>
          <w:instrText xml:space="preserve">PAGE   \* MERGEFORMAT</w:instrText>
        </w:r>
        <w:r>
          <w:fldChar w:fldCharType="separate"/>
        </w:r>
        <w:r>
          <w:rPr>
            <w:lang w:val="zh-CN"/>
          </w:rPr>
          <w:t>1</w:t>
        </w:r>
        <w:r>
          <w:fldChar w:fldCharType="end"/>
        </w:r>
      </w:p>
    </w:sdtContent>
  </w:sdt>
  <w:p w14:paraId="0032FD5B">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16BA">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36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D7316"/>
    <w:multiLevelType w:val="multilevel"/>
    <w:tmpl w:val="A7AD7316"/>
    <w:lvl w:ilvl="0" w:tentative="0">
      <w:start w:val="1"/>
      <w:numFmt w:val="chineseCounting"/>
      <w:pStyle w:val="145"/>
      <w:lvlText w:val="第%1部分  "/>
      <w:lvlJc w:val="left"/>
      <w:pPr>
        <w:ind w:left="1320" w:hanging="1320"/>
      </w:pPr>
      <w:rPr>
        <w:rFonts w:hint="eastAsia" w:ascii="宋体" w:hAnsi="宋体" w:eastAsia="宋体" w:cs="宋体"/>
        <w:b/>
        <w:sz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F21CB8B3"/>
    <w:multiLevelType w:val="singleLevel"/>
    <w:tmpl w:val="F21CB8B3"/>
    <w:lvl w:ilvl="0" w:tentative="0">
      <w:start w:val="1"/>
      <w:numFmt w:val="chineseCounting"/>
      <w:suff w:val="nothing"/>
      <w:lvlText w:val="（%1）"/>
      <w:lvlJc w:val="left"/>
      <w:rPr>
        <w:rFonts w:hint="eastAsia"/>
      </w:rPr>
    </w:lvl>
  </w:abstractNum>
  <w:abstractNum w:abstractNumId="2">
    <w:nsid w:val="13F3016E"/>
    <w:multiLevelType w:val="multilevel"/>
    <w:tmpl w:val="13F3016E"/>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07F59CC"/>
    <w:multiLevelType w:val="multilevel"/>
    <w:tmpl w:val="207F59CC"/>
    <w:lvl w:ilvl="0" w:tentative="0">
      <w:start w:val="1"/>
      <w:numFmt w:val="japaneseCounting"/>
      <w:lvlText w:val="%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034439"/>
    <w:multiLevelType w:val="multilevel"/>
    <w:tmpl w:val="2F034439"/>
    <w:lvl w:ilvl="0" w:tentative="0">
      <w:start w:val="1"/>
      <w:numFmt w:val="chineseCountingThousand"/>
      <w:lvlText w:val="%1、"/>
      <w:lvlJc w:val="left"/>
      <w:pPr>
        <w:ind w:left="425" w:hanging="425"/>
      </w:pPr>
      <w:rPr>
        <w:rFonts w:hint="eastAsia"/>
        <w:color w:val="auto"/>
        <w:sz w:val="24"/>
        <w:szCs w:val="24"/>
      </w:rPr>
    </w:lvl>
    <w:lvl w:ilvl="1" w:tentative="0">
      <w:start w:val="1"/>
      <w:numFmt w:val="chineseCountingThousand"/>
      <w:lvlText w:val="（%2）"/>
      <w:lvlJc w:val="left"/>
      <w:pPr>
        <w:ind w:left="993" w:hanging="567"/>
      </w:pPr>
      <w:rPr>
        <w:rFonts w:hint="eastAsia"/>
        <w:sz w:val="24"/>
        <w:szCs w:val="24"/>
      </w:rPr>
    </w:lvl>
    <w:lvl w:ilvl="2" w:tentative="0">
      <w:start w:val="1"/>
      <w:numFmt w:val="decimal"/>
      <w:lvlText w:val="%3."/>
      <w:lvlJc w:val="left"/>
      <w:pPr>
        <w:ind w:left="1418" w:hanging="567"/>
      </w:pPr>
      <w:rPr>
        <w:rFonts w:hint="eastAsia"/>
        <w:lang w:val="en-US"/>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7BD1B90"/>
    <w:multiLevelType w:val="multilevel"/>
    <w:tmpl w:val="37BD1B90"/>
    <w:lvl w:ilvl="0" w:tentative="0">
      <w:start w:val="1"/>
      <w:numFmt w:val="japaneseCounting"/>
      <w:lvlText w:val="第%1条"/>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FA55D0F"/>
    <w:multiLevelType w:val="singleLevel"/>
    <w:tmpl w:val="3FA55D0F"/>
    <w:lvl w:ilvl="0" w:tentative="0">
      <w:start w:val="1"/>
      <w:numFmt w:val="decimal"/>
      <w:lvlText w:val="%1."/>
      <w:lvlJc w:val="left"/>
      <w:pPr>
        <w:tabs>
          <w:tab w:val="left" w:pos="312"/>
        </w:tabs>
      </w:pPr>
    </w:lvl>
  </w:abstractNum>
  <w:abstractNum w:abstractNumId="7">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E4373FF"/>
    <w:multiLevelType w:val="singleLevel"/>
    <w:tmpl w:val="7E4373FF"/>
    <w:lvl w:ilvl="0" w:tentative="0">
      <w:start w:val="5"/>
      <w:numFmt w:val="chineseCounting"/>
      <w:suff w:val="nothing"/>
      <w:lvlText w:val="%1、"/>
      <w:lvlJc w:val="left"/>
      <w:rPr>
        <w:rFonts w:hint="eastAsia"/>
      </w:rPr>
    </w:lvl>
  </w:abstractNum>
  <w:num w:numId="1">
    <w:abstractNumId w:val="0"/>
  </w:num>
  <w:num w:numId="2">
    <w:abstractNumId w:val="4"/>
  </w:num>
  <w:num w:numId="3">
    <w:abstractNumId w:val="7"/>
  </w:num>
  <w:num w:numId="4">
    <w:abstractNumId w:val="6"/>
  </w:num>
  <w:num w:numId="5">
    <w:abstractNumId w:val="8"/>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EC4E26"/>
    <w:rsid w:val="00000188"/>
    <w:rsid w:val="00000AB7"/>
    <w:rsid w:val="00001C3A"/>
    <w:rsid w:val="00002063"/>
    <w:rsid w:val="000042A2"/>
    <w:rsid w:val="00004B41"/>
    <w:rsid w:val="00004F59"/>
    <w:rsid w:val="00006826"/>
    <w:rsid w:val="00006D2C"/>
    <w:rsid w:val="00006DFF"/>
    <w:rsid w:val="00006F32"/>
    <w:rsid w:val="00007E7C"/>
    <w:rsid w:val="00013021"/>
    <w:rsid w:val="00013CD1"/>
    <w:rsid w:val="00014649"/>
    <w:rsid w:val="0001505A"/>
    <w:rsid w:val="000150BC"/>
    <w:rsid w:val="000157E7"/>
    <w:rsid w:val="000160A3"/>
    <w:rsid w:val="000160CE"/>
    <w:rsid w:val="0001793F"/>
    <w:rsid w:val="00017E50"/>
    <w:rsid w:val="000209E5"/>
    <w:rsid w:val="000222B0"/>
    <w:rsid w:val="00022C19"/>
    <w:rsid w:val="00024311"/>
    <w:rsid w:val="0002668D"/>
    <w:rsid w:val="000279A0"/>
    <w:rsid w:val="000304EE"/>
    <w:rsid w:val="000307E7"/>
    <w:rsid w:val="00030887"/>
    <w:rsid w:val="000315E7"/>
    <w:rsid w:val="000316DF"/>
    <w:rsid w:val="0003170E"/>
    <w:rsid w:val="00032B99"/>
    <w:rsid w:val="00032D76"/>
    <w:rsid w:val="00032E2C"/>
    <w:rsid w:val="00033BD1"/>
    <w:rsid w:val="00034C2E"/>
    <w:rsid w:val="00035607"/>
    <w:rsid w:val="000361B4"/>
    <w:rsid w:val="00036B32"/>
    <w:rsid w:val="000408EE"/>
    <w:rsid w:val="000412AC"/>
    <w:rsid w:val="0004198A"/>
    <w:rsid w:val="00042C6B"/>
    <w:rsid w:val="00042E3D"/>
    <w:rsid w:val="000434EC"/>
    <w:rsid w:val="00043DCD"/>
    <w:rsid w:val="00043E58"/>
    <w:rsid w:val="00043EB5"/>
    <w:rsid w:val="00043F17"/>
    <w:rsid w:val="0004470A"/>
    <w:rsid w:val="00044E00"/>
    <w:rsid w:val="00044E64"/>
    <w:rsid w:val="000450A9"/>
    <w:rsid w:val="0004519C"/>
    <w:rsid w:val="0004523C"/>
    <w:rsid w:val="00046024"/>
    <w:rsid w:val="00046263"/>
    <w:rsid w:val="0004637E"/>
    <w:rsid w:val="0004717F"/>
    <w:rsid w:val="00047AE6"/>
    <w:rsid w:val="00050E36"/>
    <w:rsid w:val="00050EC9"/>
    <w:rsid w:val="0005122E"/>
    <w:rsid w:val="0005150C"/>
    <w:rsid w:val="00052519"/>
    <w:rsid w:val="0005312D"/>
    <w:rsid w:val="00053C25"/>
    <w:rsid w:val="00054D2D"/>
    <w:rsid w:val="00055B3D"/>
    <w:rsid w:val="00055C5F"/>
    <w:rsid w:val="00056148"/>
    <w:rsid w:val="000563B6"/>
    <w:rsid w:val="00056B2E"/>
    <w:rsid w:val="00060D0C"/>
    <w:rsid w:val="00061C59"/>
    <w:rsid w:val="000623FE"/>
    <w:rsid w:val="000624B3"/>
    <w:rsid w:val="00062D7C"/>
    <w:rsid w:val="000636FA"/>
    <w:rsid w:val="00063DEC"/>
    <w:rsid w:val="00064095"/>
    <w:rsid w:val="000645D4"/>
    <w:rsid w:val="00064882"/>
    <w:rsid w:val="000649F6"/>
    <w:rsid w:val="00064DE4"/>
    <w:rsid w:val="000660B5"/>
    <w:rsid w:val="00066A50"/>
    <w:rsid w:val="00066BB0"/>
    <w:rsid w:val="00066C09"/>
    <w:rsid w:val="00066E7E"/>
    <w:rsid w:val="0006794B"/>
    <w:rsid w:val="000701D5"/>
    <w:rsid w:val="00070B31"/>
    <w:rsid w:val="00070C30"/>
    <w:rsid w:val="00072303"/>
    <w:rsid w:val="0007267C"/>
    <w:rsid w:val="0007356D"/>
    <w:rsid w:val="00074DEA"/>
    <w:rsid w:val="000752E3"/>
    <w:rsid w:val="0007604F"/>
    <w:rsid w:val="000763FF"/>
    <w:rsid w:val="00076D54"/>
    <w:rsid w:val="000772D2"/>
    <w:rsid w:val="000818C3"/>
    <w:rsid w:val="00081DEC"/>
    <w:rsid w:val="00081FEE"/>
    <w:rsid w:val="0008231C"/>
    <w:rsid w:val="00082A85"/>
    <w:rsid w:val="00082DAB"/>
    <w:rsid w:val="00082EB9"/>
    <w:rsid w:val="000836A4"/>
    <w:rsid w:val="000845A7"/>
    <w:rsid w:val="00085F8E"/>
    <w:rsid w:val="0008713F"/>
    <w:rsid w:val="00087D5A"/>
    <w:rsid w:val="00091220"/>
    <w:rsid w:val="00091C80"/>
    <w:rsid w:val="00091F1A"/>
    <w:rsid w:val="00094AB9"/>
    <w:rsid w:val="0009532A"/>
    <w:rsid w:val="00096FAB"/>
    <w:rsid w:val="0009737B"/>
    <w:rsid w:val="000975B0"/>
    <w:rsid w:val="000A0B82"/>
    <w:rsid w:val="000A2383"/>
    <w:rsid w:val="000A2B27"/>
    <w:rsid w:val="000A3AFE"/>
    <w:rsid w:val="000A4C73"/>
    <w:rsid w:val="000A4FD2"/>
    <w:rsid w:val="000B0E55"/>
    <w:rsid w:val="000B106E"/>
    <w:rsid w:val="000B2917"/>
    <w:rsid w:val="000B324B"/>
    <w:rsid w:val="000B4CB4"/>
    <w:rsid w:val="000B4CE3"/>
    <w:rsid w:val="000B5A62"/>
    <w:rsid w:val="000B60B6"/>
    <w:rsid w:val="000B74E4"/>
    <w:rsid w:val="000B7798"/>
    <w:rsid w:val="000B79EF"/>
    <w:rsid w:val="000B7A18"/>
    <w:rsid w:val="000B7BC0"/>
    <w:rsid w:val="000C1E97"/>
    <w:rsid w:val="000C248C"/>
    <w:rsid w:val="000C2B3D"/>
    <w:rsid w:val="000C2F68"/>
    <w:rsid w:val="000C391B"/>
    <w:rsid w:val="000C5358"/>
    <w:rsid w:val="000C5508"/>
    <w:rsid w:val="000C56B9"/>
    <w:rsid w:val="000C59C7"/>
    <w:rsid w:val="000C749F"/>
    <w:rsid w:val="000D00DC"/>
    <w:rsid w:val="000D0C08"/>
    <w:rsid w:val="000D0C4C"/>
    <w:rsid w:val="000D4B3C"/>
    <w:rsid w:val="000D5E3F"/>
    <w:rsid w:val="000D6400"/>
    <w:rsid w:val="000D7D3D"/>
    <w:rsid w:val="000E0618"/>
    <w:rsid w:val="000E13F2"/>
    <w:rsid w:val="000E26BD"/>
    <w:rsid w:val="000E3D97"/>
    <w:rsid w:val="000E408D"/>
    <w:rsid w:val="000E4E38"/>
    <w:rsid w:val="000E65C7"/>
    <w:rsid w:val="000E6B00"/>
    <w:rsid w:val="000E7E2D"/>
    <w:rsid w:val="000F0E3D"/>
    <w:rsid w:val="000F15E2"/>
    <w:rsid w:val="000F1A2B"/>
    <w:rsid w:val="000F1D3F"/>
    <w:rsid w:val="000F2366"/>
    <w:rsid w:val="000F2A79"/>
    <w:rsid w:val="000F3085"/>
    <w:rsid w:val="000F30EC"/>
    <w:rsid w:val="000F34D8"/>
    <w:rsid w:val="000F369B"/>
    <w:rsid w:val="000F45A6"/>
    <w:rsid w:val="000F4854"/>
    <w:rsid w:val="000F541B"/>
    <w:rsid w:val="000F546B"/>
    <w:rsid w:val="000F6746"/>
    <w:rsid w:val="000F6C5E"/>
    <w:rsid w:val="000F7051"/>
    <w:rsid w:val="000F7336"/>
    <w:rsid w:val="0010139D"/>
    <w:rsid w:val="00102AC3"/>
    <w:rsid w:val="00105193"/>
    <w:rsid w:val="0010554E"/>
    <w:rsid w:val="0010601B"/>
    <w:rsid w:val="00106189"/>
    <w:rsid w:val="001063B6"/>
    <w:rsid w:val="001066D1"/>
    <w:rsid w:val="00107BB4"/>
    <w:rsid w:val="00107CFD"/>
    <w:rsid w:val="00110141"/>
    <w:rsid w:val="001114E7"/>
    <w:rsid w:val="0011218B"/>
    <w:rsid w:val="0011432E"/>
    <w:rsid w:val="001157D5"/>
    <w:rsid w:val="00117221"/>
    <w:rsid w:val="001209B3"/>
    <w:rsid w:val="00120AB5"/>
    <w:rsid w:val="00121952"/>
    <w:rsid w:val="00121D4E"/>
    <w:rsid w:val="00122790"/>
    <w:rsid w:val="0012287B"/>
    <w:rsid w:val="00122884"/>
    <w:rsid w:val="00122B14"/>
    <w:rsid w:val="00122D12"/>
    <w:rsid w:val="0012393F"/>
    <w:rsid w:val="00123A39"/>
    <w:rsid w:val="0012425D"/>
    <w:rsid w:val="00124277"/>
    <w:rsid w:val="0012605D"/>
    <w:rsid w:val="001303B1"/>
    <w:rsid w:val="0013160D"/>
    <w:rsid w:val="00133EA0"/>
    <w:rsid w:val="00134487"/>
    <w:rsid w:val="00134A2E"/>
    <w:rsid w:val="00135D05"/>
    <w:rsid w:val="00135EE7"/>
    <w:rsid w:val="00136168"/>
    <w:rsid w:val="00136AE9"/>
    <w:rsid w:val="00136FBD"/>
    <w:rsid w:val="00137EB4"/>
    <w:rsid w:val="00141B2A"/>
    <w:rsid w:val="00141DBD"/>
    <w:rsid w:val="00141DE6"/>
    <w:rsid w:val="00143312"/>
    <w:rsid w:val="00143365"/>
    <w:rsid w:val="001447D9"/>
    <w:rsid w:val="00146ED7"/>
    <w:rsid w:val="001473A3"/>
    <w:rsid w:val="001514D8"/>
    <w:rsid w:val="001534FA"/>
    <w:rsid w:val="00153545"/>
    <w:rsid w:val="0015358B"/>
    <w:rsid w:val="0015396C"/>
    <w:rsid w:val="001553A9"/>
    <w:rsid w:val="001556C2"/>
    <w:rsid w:val="001565AA"/>
    <w:rsid w:val="00156BA8"/>
    <w:rsid w:val="00157084"/>
    <w:rsid w:val="00157BF7"/>
    <w:rsid w:val="00160C18"/>
    <w:rsid w:val="0016199E"/>
    <w:rsid w:val="00161F3F"/>
    <w:rsid w:val="001628CE"/>
    <w:rsid w:val="001629D1"/>
    <w:rsid w:val="00162B8C"/>
    <w:rsid w:val="00163139"/>
    <w:rsid w:val="00163A92"/>
    <w:rsid w:val="001641E8"/>
    <w:rsid w:val="00164C28"/>
    <w:rsid w:val="001651B4"/>
    <w:rsid w:val="0016631A"/>
    <w:rsid w:val="00166350"/>
    <w:rsid w:val="001673EF"/>
    <w:rsid w:val="0016743E"/>
    <w:rsid w:val="00167A32"/>
    <w:rsid w:val="00167C8F"/>
    <w:rsid w:val="00170BA5"/>
    <w:rsid w:val="0017173F"/>
    <w:rsid w:val="00171B6B"/>
    <w:rsid w:val="00171C09"/>
    <w:rsid w:val="00171FD2"/>
    <w:rsid w:val="001734FC"/>
    <w:rsid w:val="00173F4F"/>
    <w:rsid w:val="00174BC5"/>
    <w:rsid w:val="00174D6C"/>
    <w:rsid w:val="001764D3"/>
    <w:rsid w:val="00176D24"/>
    <w:rsid w:val="0017764F"/>
    <w:rsid w:val="00177973"/>
    <w:rsid w:val="00180D91"/>
    <w:rsid w:val="00181E5C"/>
    <w:rsid w:val="00181E6C"/>
    <w:rsid w:val="00181F2E"/>
    <w:rsid w:val="00182375"/>
    <w:rsid w:val="001829D0"/>
    <w:rsid w:val="0018552B"/>
    <w:rsid w:val="0018602B"/>
    <w:rsid w:val="00186701"/>
    <w:rsid w:val="001879DC"/>
    <w:rsid w:val="001903BF"/>
    <w:rsid w:val="00190BFB"/>
    <w:rsid w:val="00190FB6"/>
    <w:rsid w:val="00191C55"/>
    <w:rsid w:val="00192AEB"/>
    <w:rsid w:val="00193E81"/>
    <w:rsid w:val="00197727"/>
    <w:rsid w:val="001A1988"/>
    <w:rsid w:val="001A2E5B"/>
    <w:rsid w:val="001A475C"/>
    <w:rsid w:val="001A5C9F"/>
    <w:rsid w:val="001A5FF3"/>
    <w:rsid w:val="001A724C"/>
    <w:rsid w:val="001A74C3"/>
    <w:rsid w:val="001A7B32"/>
    <w:rsid w:val="001A7C28"/>
    <w:rsid w:val="001B01FD"/>
    <w:rsid w:val="001B117F"/>
    <w:rsid w:val="001B20BC"/>
    <w:rsid w:val="001B2116"/>
    <w:rsid w:val="001B33A6"/>
    <w:rsid w:val="001B4B02"/>
    <w:rsid w:val="001B4FE2"/>
    <w:rsid w:val="001B5470"/>
    <w:rsid w:val="001B54B0"/>
    <w:rsid w:val="001B5E1C"/>
    <w:rsid w:val="001B6C0F"/>
    <w:rsid w:val="001B7BF1"/>
    <w:rsid w:val="001C00C9"/>
    <w:rsid w:val="001C0154"/>
    <w:rsid w:val="001C04B1"/>
    <w:rsid w:val="001C071D"/>
    <w:rsid w:val="001C20C2"/>
    <w:rsid w:val="001C2E30"/>
    <w:rsid w:val="001C3426"/>
    <w:rsid w:val="001C5124"/>
    <w:rsid w:val="001C5E97"/>
    <w:rsid w:val="001C63F2"/>
    <w:rsid w:val="001C72B8"/>
    <w:rsid w:val="001C72FC"/>
    <w:rsid w:val="001C7979"/>
    <w:rsid w:val="001D0245"/>
    <w:rsid w:val="001D02C1"/>
    <w:rsid w:val="001D0714"/>
    <w:rsid w:val="001D0EC4"/>
    <w:rsid w:val="001D233F"/>
    <w:rsid w:val="001D2EE5"/>
    <w:rsid w:val="001D40B9"/>
    <w:rsid w:val="001D4C1C"/>
    <w:rsid w:val="001D558A"/>
    <w:rsid w:val="001D56E6"/>
    <w:rsid w:val="001D570D"/>
    <w:rsid w:val="001D57C0"/>
    <w:rsid w:val="001E00B6"/>
    <w:rsid w:val="001E0E78"/>
    <w:rsid w:val="001E1045"/>
    <w:rsid w:val="001E2505"/>
    <w:rsid w:val="001E3CA9"/>
    <w:rsid w:val="001E3CDC"/>
    <w:rsid w:val="001E40C1"/>
    <w:rsid w:val="001E4EC1"/>
    <w:rsid w:val="001F10D9"/>
    <w:rsid w:val="001F130D"/>
    <w:rsid w:val="001F25E0"/>
    <w:rsid w:val="001F2807"/>
    <w:rsid w:val="001F2B71"/>
    <w:rsid w:val="001F2EAD"/>
    <w:rsid w:val="001F33DF"/>
    <w:rsid w:val="001F45E5"/>
    <w:rsid w:val="001F683B"/>
    <w:rsid w:val="001F7510"/>
    <w:rsid w:val="001F7CE0"/>
    <w:rsid w:val="001F7ECE"/>
    <w:rsid w:val="002005AC"/>
    <w:rsid w:val="002006EA"/>
    <w:rsid w:val="00202BF6"/>
    <w:rsid w:val="00203A70"/>
    <w:rsid w:val="00203A95"/>
    <w:rsid w:val="00203D25"/>
    <w:rsid w:val="002041FA"/>
    <w:rsid w:val="00204A6F"/>
    <w:rsid w:val="00204F2D"/>
    <w:rsid w:val="00206147"/>
    <w:rsid w:val="00206348"/>
    <w:rsid w:val="00206BA5"/>
    <w:rsid w:val="00207EBE"/>
    <w:rsid w:val="0021031B"/>
    <w:rsid w:val="002114DC"/>
    <w:rsid w:val="00212FE6"/>
    <w:rsid w:val="002147AB"/>
    <w:rsid w:val="00214B43"/>
    <w:rsid w:val="00214F41"/>
    <w:rsid w:val="002158EE"/>
    <w:rsid w:val="00216819"/>
    <w:rsid w:val="002172E6"/>
    <w:rsid w:val="00217F2A"/>
    <w:rsid w:val="00221636"/>
    <w:rsid w:val="00221FE1"/>
    <w:rsid w:val="002243DF"/>
    <w:rsid w:val="00224743"/>
    <w:rsid w:val="0022669A"/>
    <w:rsid w:val="00227EBB"/>
    <w:rsid w:val="00230444"/>
    <w:rsid w:val="002310B6"/>
    <w:rsid w:val="00232B77"/>
    <w:rsid w:val="00232DE2"/>
    <w:rsid w:val="002332A4"/>
    <w:rsid w:val="00233A09"/>
    <w:rsid w:val="00233FBD"/>
    <w:rsid w:val="002349A0"/>
    <w:rsid w:val="00234C4F"/>
    <w:rsid w:val="00235D62"/>
    <w:rsid w:val="00236764"/>
    <w:rsid w:val="00236A84"/>
    <w:rsid w:val="00236BB8"/>
    <w:rsid w:val="00237CD1"/>
    <w:rsid w:val="002400F0"/>
    <w:rsid w:val="00240D0A"/>
    <w:rsid w:val="00241CD4"/>
    <w:rsid w:val="0024226C"/>
    <w:rsid w:val="00242632"/>
    <w:rsid w:val="00245516"/>
    <w:rsid w:val="002466F2"/>
    <w:rsid w:val="002467AE"/>
    <w:rsid w:val="00246999"/>
    <w:rsid w:val="00246F1B"/>
    <w:rsid w:val="00247698"/>
    <w:rsid w:val="002478C7"/>
    <w:rsid w:val="00247C0D"/>
    <w:rsid w:val="00252BF7"/>
    <w:rsid w:val="00254419"/>
    <w:rsid w:val="0025492A"/>
    <w:rsid w:val="00256FC6"/>
    <w:rsid w:val="0025799C"/>
    <w:rsid w:val="00260A18"/>
    <w:rsid w:val="00261AF8"/>
    <w:rsid w:val="00261BF7"/>
    <w:rsid w:val="00263AC2"/>
    <w:rsid w:val="00264DAB"/>
    <w:rsid w:val="00266D0D"/>
    <w:rsid w:val="00267186"/>
    <w:rsid w:val="00267CDD"/>
    <w:rsid w:val="00267EB1"/>
    <w:rsid w:val="00271496"/>
    <w:rsid w:val="00271B97"/>
    <w:rsid w:val="00271D64"/>
    <w:rsid w:val="0027454E"/>
    <w:rsid w:val="00274868"/>
    <w:rsid w:val="00274A0A"/>
    <w:rsid w:val="00274DA0"/>
    <w:rsid w:val="00275830"/>
    <w:rsid w:val="00276015"/>
    <w:rsid w:val="0027679A"/>
    <w:rsid w:val="00276C4F"/>
    <w:rsid w:val="00276CE0"/>
    <w:rsid w:val="00277E0A"/>
    <w:rsid w:val="002807CF"/>
    <w:rsid w:val="0028110F"/>
    <w:rsid w:val="002818A1"/>
    <w:rsid w:val="002825F8"/>
    <w:rsid w:val="00282645"/>
    <w:rsid w:val="00283042"/>
    <w:rsid w:val="002838DE"/>
    <w:rsid w:val="00284896"/>
    <w:rsid w:val="00284CF7"/>
    <w:rsid w:val="00285406"/>
    <w:rsid w:val="0028578C"/>
    <w:rsid w:val="002861AA"/>
    <w:rsid w:val="002864F4"/>
    <w:rsid w:val="002866D8"/>
    <w:rsid w:val="002901F4"/>
    <w:rsid w:val="00290515"/>
    <w:rsid w:val="00290F5E"/>
    <w:rsid w:val="0029211B"/>
    <w:rsid w:val="00292143"/>
    <w:rsid w:val="00292BC2"/>
    <w:rsid w:val="00292DDE"/>
    <w:rsid w:val="00294A7C"/>
    <w:rsid w:val="00294E33"/>
    <w:rsid w:val="002955EC"/>
    <w:rsid w:val="00297DC2"/>
    <w:rsid w:val="00297F37"/>
    <w:rsid w:val="002A14FF"/>
    <w:rsid w:val="002A2766"/>
    <w:rsid w:val="002A3195"/>
    <w:rsid w:val="002A3743"/>
    <w:rsid w:val="002A3750"/>
    <w:rsid w:val="002A39F7"/>
    <w:rsid w:val="002A3C07"/>
    <w:rsid w:val="002A499B"/>
    <w:rsid w:val="002A59C7"/>
    <w:rsid w:val="002A5FA1"/>
    <w:rsid w:val="002A6D9F"/>
    <w:rsid w:val="002A6EFF"/>
    <w:rsid w:val="002A77F3"/>
    <w:rsid w:val="002B0243"/>
    <w:rsid w:val="002B0632"/>
    <w:rsid w:val="002B172E"/>
    <w:rsid w:val="002B2F62"/>
    <w:rsid w:val="002B35BC"/>
    <w:rsid w:val="002B39C3"/>
    <w:rsid w:val="002B3FB9"/>
    <w:rsid w:val="002B5945"/>
    <w:rsid w:val="002B6BA0"/>
    <w:rsid w:val="002B7BDE"/>
    <w:rsid w:val="002C0372"/>
    <w:rsid w:val="002C0E31"/>
    <w:rsid w:val="002C189B"/>
    <w:rsid w:val="002C250D"/>
    <w:rsid w:val="002C2FD0"/>
    <w:rsid w:val="002C39BA"/>
    <w:rsid w:val="002C457B"/>
    <w:rsid w:val="002C50BE"/>
    <w:rsid w:val="002C5141"/>
    <w:rsid w:val="002C584E"/>
    <w:rsid w:val="002C5F97"/>
    <w:rsid w:val="002C6340"/>
    <w:rsid w:val="002D042C"/>
    <w:rsid w:val="002D126E"/>
    <w:rsid w:val="002D1683"/>
    <w:rsid w:val="002D2775"/>
    <w:rsid w:val="002D2B06"/>
    <w:rsid w:val="002D2BB4"/>
    <w:rsid w:val="002D2C3A"/>
    <w:rsid w:val="002D3C12"/>
    <w:rsid w:val="002D4290"/>
    <w:rsid w:val="002D45E1"/>
    <w:rsid w:val="002D484B"/>
    <w:rsid w:val="002D4D88"/>
    <w:rsid w:val="002D5069"/>
    <w:rsid w:val="002D5ACA"/>
    <w:rsid w:val="002D5DC9"/>
    <w:rsid w:val="002D6572"/>
    <w:rsid w:val="002D7581"/>
    <w:rsid w:val="002D758F"/>
    <w:rsid w:val="002D7728"/>
    <w:rsid w:val="002D7C22"/>
    <w:rsid w:val="002E0FAB"/>
    <w:rsid w:val="002E11A6"/>
    <w:rsid w:val="002E139E"/>
    <w:rsid w:val="002E1D97"/>
    <w:rsid w:val="002E2243"/>
    <w:rsid w:val="002E2476"/>
    <w:rsid w:val="002E2726"/>
    <w:rsid w:val="002E2F4C"/>
    <w:rsid w:val="002E39A0"/>
    <w:rsid w:val="002E4159"/>
    <w:rsid w:val="002E4FEE"/>
    <w:rsid w:val="002E59E1"/>
    <w:rsid w:val="002E5C8A"/>
    <w:rsid w:val="002E6362"/>
    <w:rsid w:val="002E6F81"/>
    <w:rsid w:val="002E6FD4"/>
    <w:rsid w:val="002E7898"/>
    <w:rsid w:val="002F0079"/>
    <w:rsid w:val="002F00FD"/>
    <w:rsid w:val="002F0C74"/>
    <w:rsid w:val="002F0D77"/>
    <w:rsid w:val="002F0FDD"/>
    <w:rsid w:val="002F18F9"/>
    <w:rsid w:val="002F2AA9"/>
    <w:rsid w:val="002F4263"/>
    <w:rsid w:val="002F4355"/>
    <w:rsid w:val="002F610A"/>
    <w:rsid w:val="002F6452"/>
    <w:rsid w:val="002F6E35"/>
    <w:rsid w:val="002F76F9"/>
    <w:rsid w:val="002F7754"/>
    <w:rsid w:val="00300327"/>
    <w:rsid w:val="00300B2D"/>
    <w:rsid w:val="00300F3F"/>
    <w:rsid w:val="0030127D"/>
    <w:rsid w:val="0030474E"/>
    <w:rsid w:val="00304B45"/>
    <w:rsid w:val="00304D00"/>
    <w:rsid w:val="00305568"/>
    <w:rsid w:val="00305779"/>
    <w:rsid w:val="00305D7E"/>
    <w:rsid w:val="00306BFA"/>
    <w:rsid w:val="00307C1B"/>
    <w:rsid w:val="003107D5"/>
    <w:rsid w:val="00310839"/>
    <w:rsid w:val="003112C2"/>
    <w:rsid w:val="003119C0"/>
    <w:rsid w:val="003119F1"/>
    <w:rsid w:val="00311A78"/>
    <w:rsid w:val="00311A8C"/>
    <w:rsid w:val="00311DDF"/>
    <w:rsid w:val="00311ED4"/>
    <w:rsid w:val="003123DF"/>
    <w:rsid w:val="003138F3"/>
    <w:rsid w:val="003160F4"/>
    <w:rsid w:val="003178B2"/>
    <w:rsid w:val="00321984"/>
    <w:rsid w:val="003219F5"/>
    <w:rsid w:val="00321B3A"/>
    <w:rsid w:val="00322595"/>
    <w:rsid w:val="003225BB"/>
    <w:rsid w:val="00322808"/>
    <w:rsid w:val="003228A2"/>
    <w:rsid w:val="00322961"/>
    <w:rsid w:val="00322B0E"/>
    <w:rsid w:val="00323AEF"/>
    <w:rsid w:val="00323DF5"/>
    <w:rsid w:val="00323E63"/>
    <w:rsid w:val="00324C6F"/>
    <w:rsid w:val="00326131"/>
    <w:rsid w:val="00327C10"/>
    <w:rsid w:val="00327DEE"/>
    <w:rsid w:val="00327E87"/>
    <w:rsid w:val="003302C3"/>
    <w:rsid w:val="00330A1E"/>
    <w:rsid w:val="00330E52"/>
    <w:rsid w:val="0033312C"/>
    <w:rsid w:val="003332C1"/>
    <w:rsid w:val="003339E0"/>
    <w:rsid w:val="00335305"/>
    <w:rsid w:val="00335313"/>
    <w:rsid w:val="00336EB4"/>
    <w:rsid w:val="003377B0"/>
    <w:rsid w:val="00337A61"/>
    <w:rsid w:val="00337CD1"/>
    <w:rsid w:val="00337E8C"/>
    <w:rsid w:val="00340391"/>
    <w:rsid w:val="003407C5"/>
    <w:rsid w:val="003419F0"/>
    <w:rsid w:val="00344A21"/>
    <w:rsid w:val="00346A26"/>
    <w:rsid w:val="00347042"/>
    <w:rsid w:val="00347505"/>
    <w:rsid w:val="00347F99"/>
    <w:rsid w:val="00351420"/>
    <w:rsid w:val="003525E2"/>
    <w:rsid w:val="00352C67"/>
    <w:rsid w:val="00353435"/>
    <w:rsid w:val="00353CB1"/>
    <w:rsid w:val="00354B5D"/>
    <w:rsid w:val="00354EBD"/>
    <w:rsid w:val="003562E3"/>
    <w:rsid w:val="00357643"/>
    <w:rsid w:val="0036057E"/>
    <w:rsid w:val="0036089E"/>
    <w:rsid w:val="003608EA"/>
    <w:rsid w:val="00360D6F"/>
    <w:rsid w:val="00360E27"/>
    <w:rsid w:val="0036187F"/>
    <w:rsid w:val="00362842"/>
    <w:rsid w:val="003629B2"/>
    <w:rsid w:val="00362BB2"/>
    <w:rsid w:val="00362FDC"/>
    <w:rsid w:val="00363343"/>
    <w:rsid w:val="00363E76"/>
    <w:rsid w:val="0036514D"/>
    <w:rsid w:val="00365D75"/>
    <w:rsid w:val="00366383"/>
    <w:rsid w:val="00367E04"/>
    <w:rsid w:val="00367E67"/>
    <w:rsid w:val="00371121"/>
    <w:rsid w:val="0037154E"/>
    <w:rsid w:val="0037254D"/>
    <w:rsid w:val="00373966"/>
    <w:rsid w:val="00374B8A"/>
    <w:rsid w:val="00374C4A"/>
    <w:rsid w:val="003752F5"/>
    <w:rsid w:val="00375904"/>
    <w:rsid w:val="00375CD4"/>
    <w:rsid w:val="00376D44"/>
    <w:rsid w:val="00377CC9"/>
    <w:rsid w:val="00377DEE"/>
    <w:rsid w:val="00377EA4"/>
    <w:rsid w:val="0038007B"/>
    <w:rsid w:val="00381550"/>
    <w:rsid w:val="00381567"/>
    <w:rsid w:val="003837A5"/>
    <w:rsid w:val="00383804"/>
    <w:rsid w:val="00383945"/>
    <w:rsid w:val="00383C2E"/>
    <w:rsid w:val="00383E61"/>
    <w:rsid w:val="0038400D"/>
    <w:rsid w:val="00384A74"/>
    <w:rsid w:val="003862D6"/>
    <w:rsid w:val="00386832"/>
    <w:rsid w:val="00390345"/>
    <w:rsid w:val="00392B14"/>
    <w:rsid w:val="003935C9"/>
    <w:rsid w:val="00393613"/>
    <w:rsid w:val="0039446B"/>
    <w:rsid w:val="003963CF"/>
    <w:rsid w:val="00396844"/>
    <w:rsid w:val="00396CC7"/>
    <w:rsid w:val="00397548"/>
    <w:rsid w:val="00397A38"/>
    <w:rsid w:val="003A0A06"/>
    <w:rsid w:val="003A2F4F"/>
    <w:rsid w:val="003A3454"/>
    <w:rsid w:val="003A3958"/>
    <w:rsid w:val="003A4038"/>
    <w:rsid w:val="003A445A"/>
    <w:rsid w:val="003A5210"/>
    <w:rsid w:val="003A5ADC"/>
    <w:rsid w:val="003A6544"/>
    <w:rsid w:val="003A67BB"/>
    <w:rsid w:val="003B0360"/>
    <w:rsid w:val="003B0997"/>
    <w:rsid w:val="003B0A52"/>
    <w:rsid w:val="003B0CE1"/>
    <w:rsid w:val="003B0D40"/>
    <w:rsid w:val="003B0E67"/>
    <w:rsid w:val="003B219F"/>
    <w:rsid w:val="003B23E2"/>
    <w:rsid w:val="003B4BCF"/>
    <w:rsid w:val="003B4D2D"/>
    <w:rsid w:val="003B65A3"/>
    <w:rsid w:val="003B6A33"/>
    <w:rsid w:val="003B7096"/>
    <w:rsid w:val="003C00A5"/>
    <w:rsid w:val="003C212A"/>
    <w:rsid w:val="003C3192"/>
    <w:rsid w:val="003C36A3"/>
    <w:rsid w:val="003C37C1"/>
    <w:rsid w:val="003C4C65"/>
    <w:rsid w:val="003C524E"/>
    <w:rsid w:val="003C5502"/>
    <w:rsid w:val="003C5944"/>
    <w:rsid w:val="003C688A"/>
    <w:rsid w:val="003C6CDB"/>
    <w:rsid w:val="003C7DD6"/>
    <w:rsid w:val="003D0913"/>
    <w:rsid w:val="003D0A11"/>
    <w:rsid w:val="003D0C6B"/>
    <w:rsid w:val="003D10E1"/>
    <w:rsid w:val="003D1D52"/>
    <w:rsid w:val="003D3318"/>
    <w:rsid w:val="003D4EBB"/>
    <w:rsid w:val="003D5406"/>
    <w:rsid w:val="003E02BE"/>
    <w:rsid w:val="003E05C6"/>
    <w:rsid w:val="003E0756"/>
    <w:rsid w:val="003E0CBE"/>
    <w:rsid w:val="003E0D10"/>
    <w:rsid w:val="003E145A"/>
    <w:rsid w:val="003E14E2"/>
    <w:rsid w:val="003E2167"/>
    <w:rsid w:val="003E2D2D"/>
    <w:rsid w:val="003E3402"/>
    <w:rsid w:val="003E47A8"/>
    <w:rsid w:val="003E47D5"/>
    <w:rsid w:val="003E4E87"/>
    <w:rsid w:val="003E5A27"/>
    <w:rsid w:val="003E6530"/>
    <w:rsid w:val="003F0094"/>
    <w:rsid w:val="003F050F"/>
    <w:rsid w:val="003F11E4"/>
    <w:rsid w:val="003F19B5"/>
    <w:rsid w:val="003F1CE2"/>
    <w:rsid w:val="003F2411"/>
    <w:rsid w:val="003F29CD"/>
    <w:rsid w:val="003F2D9A"/>
    <w:rsid w:val="003F317E"/>
    <w:rsid w:val="003F4B01"/>
    <w:rsid w:val="003F5922"/>
    <w:rsid w:val="003F5B01"/>
    <w:rsid w:val="003F5C94"/>
    <w:rsid w:val="003F7E38"/>
    <w:rsid w:val="003F7E6A"/>
    <w:rsid w:val="003F7F13"/>
    <w:rsid w:val="00401822"/>
    <w:rsid w:val="004022AE"/>
    <w:rsid w:val="0040378D"/>
    <w:rsid w:val="00403F04"/>
    <w:rsid w:val="00404017"/>
    <w:rsid w:val="004041FC"/>
    <w:rsid w:val="00404702"/>
    <w:rsid w:val="00404757"/>
    <w:rsid w:val="00405043"/>
    <w:rsid w:val="004056B6"/>
    <w:rsid w:val="00405CCD"/>
    <w:rsid w:val="004062DD"/>
    <w:rsid w:val="00406A95"/>
    <w:rsid w:val="00407D92"/>
    <w:rsid w:val="00407E89"/>
    <w:rsid w:val="00407F64"/>
    <w:rsid w:val="00410B54"/>
    <w:rsid w:val="00410D40"/>
    <w:rsid w:val="00411144"/>
    <w:rsid w:val="004113B7"/>
    <w:rsid w:val="004132B2"/>
    <w:rsid w:val="00413463"/>
    <w:rsid w:val="004134BC"/>
    <w:rsid w:val="00413C62"/>
    <w:rsid w:val="00414BC1"/>
    <w:rsid w:val="00415261"/>
    <w:rsid w:val="00415571"/>
    <w:rsid w:val="004158AD"/>
    <w:rsid w:val="00416127"/>
    <w:rsid w:val="004176B2"/>
    <w:rsid w:val="004203BB"/>
    <w:rsid w:val="00420403"/>
    <w:rsid w:val="0042063F"/>
    <w:rsid w:val="00421409"/>
    <w:rsid w:val="00421510"/>
    <w:rsid w:val="004234FA"/>
    <w:rsid w:val="00423A19"/>
    <w:rsid w:val="00423DB8"/>
    <w:rsid w:val="0042526D"/>
    <w:rsid w:val="00425318"/>
    <w:rsid w:val="0042615A"/>
    <w:rsid w:val="0042680E"/>
    <w:rsid w:val="0043038D"/>
    <w:rsid w:val="00430798"/>
    <w:rsid w:val="00430A18"/>
    <w:rsid w:val="0043141C"/>
    <w:rsid w:val="00433793"/>
    <w:rsid w:val="00434370"/>
    <w:rsid w:val="004344C7"/>
    <w:rsid w:val="00434627"/>
    <w:rsid w:val="0043474C"/>
    <w:rsid w:val="00434C75"/>
    <w:rsid w:val="00435003"/>
    <w:rsid w:val="00435C6D"/>
    <w:rsid w:val="004404DF"/>
    <w:rsid w:val="00441F5E"/>
    <w:rsid w:val="00442658"/>
    <w:rsid w:val="00442DDC"/>
    <w:rsid w:val="00443908"/>
    <w:rsid w:val="00443A0C"/>
    <w:rsid w:val="00445906"/>
    <w:rsid w:val="0044728A"/>
    <w:rsid w:val="0044782F"/>
    <w:rsid w:val="004504C0"/>
    <w:rsid w:val="004504E3"/>
    <w:rsid w:val="00450747"/>
    <w:rsid w:val="00450C70"/>
    <w:rsid w:val="00451362"/>
    <w:rsid w:val="00451711"/>
    <w:rsid w:val="00451D1A"/>
    <w:rsid w:val="00451F0D"/>
    <w:rsid w:val="00452038"/>
    <w:rsid w:val="0045223D"/>
    <w:rsid w:val="0045224A"/>
    <w:rsid w:val="00452289"/>
    <w:rsid w:val="00452572"/>
    <w:rsid w:val="00452A8B"/>
    <w:rsid w:val="00453189"/>
    <w:rsid w:val="00454C92"/>
    <w:rsid w:val="004571A6"/>
    <w:rsid w:val="004577FD"/>
    <w:rsid w:val="00457EDA"/>
    <w:rsid w:val="00462B93"/>
    <w:rsid w:val="00464DB1"/>
    <w:rsid w:val="00464FAB"/>
    <w:rsid w:val="00466627"/>
    <w:rsid w:val="00466B5F"/>
    <w:rsid w:val="00467CC7"/>
    <w:rsid w:val="0047043F"/>
    <w:rsid w:val="00470C04"/>
    <w:rsid w:val="00470CA4"/>
    <w:rsid w:val="00472832"/>
    <w:rsid w:val="004747B9"/>
    <w:rsid w:val="00474D4E"/>
    <w:rsid w:val="0047754A"/>
    <w:rsid w:val="004808D9"/>
    <w:rsid w:val="004820B5"/>
    <w:rsid w:val="0048270C"/>
    <w:rsid w:val="00483819"/>
    <w:rsid w:val="004854B8"/>
    <w:rsid w:val="004857FC"/>
    <w:rsid w:val="004859E9"/>
    <w:rsid w:val="00487751"/>
    <w:rsid w:val="00487B61"/>
    <w:rsid w:val="004902B0"/>
    <w:rsid w:val="00490595"/>
    <w:rsid w:val="0049084E"/>
    <w:rsid w:val="00490A66"/>
    <w:rsid w:val="004914AF"/>
    <w:rsid w:val="0049153E"/>
    <w:rsid w:val="004918C3"/>
    <w:rsid w:val="00491CDD"/>
    <w:rsid w:val="00492651"/>
    <w:rsid w:val="00492824"/>
    <w:rsid w:val="0049377F"/>
    <w:rsid w:val="00493B7F"/>
    <w:rsid w:val="00493C4D"/>
    <w:rsid w:val="00494801"/>
    <w:rsid w:val="00494E6F"/>
    <w:rsid w:val="0049646F"/>
    <w:rsid w:val="00496AFA"/>
    <w:rsid w:val="00496D32"/>
    <w:rsid w:val="004A013B"/>
    <w:rsid w:val="004A100C"/>
    <w:rsid w:val="004A157D"/>
    <w:rsid w:val="004A22CF"/>
    <w:rsid w:val="004A2643"/>
    <w:rsid w:val="004A3041"/>
    <w:rsid w:val="004A4053"/>
    <w:rsid w:val="004A4F8A"/>
    <w:rsid w:val="004A5C7D"/>
    <w:rsid w:val="004A5DB0"/>
    <w:rsid w:val="004A635D"/>
    <w:rsid w:val="004A6B14"/>
    <w:rsid w:val="004A71B0"/>
    <w:rsid w:val="004A7E44"/>
    <w:rsid w:val="004B0671"/>
    <w:rsid w:val="004B109E"/>
    <w:rsid w:val="004B15A2"/>
    <w:rsid w:val="004B18BE"/>
    <w:rsid w:val="004B2119"/>
    <w:rsid w:val="004B390F"/>
    <w:rsid w:val="004B47C2"/>
    <w:rsid w:val="004B51C3"/>
    <w:rsid w:val="004B5A46"/>
    <w:rsid w:val="004B6825"/>
    <w:rsid w:val="004C12B5"/>
    <w:rsid w:val="004C1E40"/>
    <w:rsid w:val="004C31FD"/>
    <w:rsid w:val="004C39AF"/>
    <w:rsid w:val="004C4777"/>
    <w:rsid w:val="004C5DE7"/>
    <w:rsid w:val="004C68AB"/>
    <w:rsid w:val="004C7EF2"/>
    <w:rsid w:val="004D0B6F"/>
    <w:rsid w:val="004D0BEE"/>
    <w:rsid w:val="004D186E"/>
    <w:rsid w:val="004D25AC"/>
    <w:rsid w:val="004D2AA3"/>
    <w:rsid w:val="004D438E"/>
    <w:rsid w:val="004D4E43"/>
    <w:rsid w:val="004D5475"/>
    <w:rsid w:val="004D552B"/>
    <w:rsid w:val="004D5AFB"/>
    <w:rsid w:val="004D5EDD"/>
    <w:rsid w:val="004D65FE"/>
    <w:rsid w:val="004D678B"/>
    <w:rsid w:val="004D6796"/>
    <w:rsid w:val="004D7C4E"/>
    <w:rsid w:val="004D7EFC"/>
    <w:rsid w:val="004E02F8"/>
    <w:rsid w:val="004E04A2"/>
    <w:rsid w:val="004E0ED3"/>
    <w:rsid w:val="004E0FC2"/>
    <w:rsid w:val="004E1080"/>
    <w:rsid w:val="004E23A5"/>
    <w:rsid w:val="004E2958"/>
    <w:rsid w:val="004E2C1D"/>
    <w:rsid w:val="004E3D5D"/>
    <w:rsid w:val="004E4AE9"/>
    <w:rsid w:val="004E6AC7"/>
    <w:rsid w:val="004F0ED6"/>
    <w:rsid w:val="004F116C"/>
    <w:rsid w:val="004F1C70"/>
    <w:rsid w:val="004F1EA7"/>
    <w:rsid w:val="004F275D"/>
    <w:rsid w:val="004F3E17"/>
    <w:rsid w:val="004F41F4"/>
    <w:rsid w:val="004F4500"/>
    <w:rsid w:val="004F46E1"/>
    <w:rsid w:val="004F4786"/>
    <w:rsid w:val="004F49C2"/>
    <w:rsid w:val="004F5EA2"/>
    <w:rsid w:val="004F640C"/>
    <w:rsid w:val="004F6A93"/>
    <w:rsid w:val="004F6FAD"/>
    <w:rsid w:val="004F7DAB"/>
    <w:rsid w:val="004F7E58"/>
    <w:rsid w:val="00500C2A"/>
    <w:rsid w:val="00500CBD"/>
    <w:rsid w:val="005016FE"/>
    <w:rsid w:val="00501725"/>
    <w:rsid w:val="005022E0"/>
    <w:rsid w:val="00502530"/>
    <w:rsid w:val="00502787"/>
    <w:rsid w:val="00502F3E"/>
    <w:rsid w:val="005030B1"/>
    <w:rsid w:val="0050509A"/>
    <w:rsid w:val="00506713"/>
    <w:rsid w:val="00506F76"/>
    <w:rsid w:val="00507A1D"/>
    <w:rsid w:val="00507A72"/>
    <w:rsid w:val="00507AA6"/>
    <w:rsid w:val="00510325"/>
    <w:rsid w:val="00510403"/>
    <w:rsid w:val="00511757"/>
    <w:rsid w:val="00513F53"/>
    <w:rsid w:val="00514972"/>
    <w:rsid w:val="00516A16"/>
    <w:rsid w:val="00517827"/>
    <w:rsid w:val="00517E57"/>
    <w:rsid w:val="00521DD3"/>
    <w:rsid w:val="00522854"/>
    <w:rsid w:val="0052392F"/>
    <w:rsid w:val="00523D33"/>
    <w:rsid w:val="00525015"/>
    <w:rsid w:val="005255B8"/>
    <w:rsid w:val="005255DF"/>
    <w:rsid w:val="00525BCF"/>
    <w:rsid w:val="00525E8A"/>
    <w:rsid w:val="00525F91"/>
    <w:rsid w:val="00526120"/>
    <w:rsid w:val="00527694"/>
    <w:rsid w:val="00527847"/>
    <w:rsid w:val="00527866"/>
    <w:rsid w:val="00527F58"/>
    <w:rsid w:val="005308F3"/>
    <w:rsid w:val="00530DB7"/>
    <w:rsid w:val="00530ECC"/>
    <w:rsid w:val="00532A01"/>
    <w:rsid w:val="00532F35"/>
    <w:rsid w:val="005338DF"/>
    <w:rsid w:val="005344DE"/>
    <w:rsid w:val="00534C8A"/>
    <w:rsid w:val="0053506F"/>
    <w:rsid w:val="00535090"/>
    <w:rsid w:val="00535500"/>
    <w:rsid w:val="00535E2A"/>
    <w:rsid w:val="00537B6A"/>
    <w:rsid w:val="00540D71"/>
    <w:rsid w:val="005417CE"/>
    <w:rsid w:val="00541B2C"/>
    <w:rsid w:val="00542065"/>
    <w:rsid w:val="0054270F"/>
    <w:rsid w:val="00542B18"/>
    <w:rsid w:val="00543DFD"/>
    <w:rsid w:val="00544E33"/>
    <w:rsid w:val="0054501F"/>
    <w:rsid w:val="00545B6F"/>
    <w:rsid w:val="00545D4F"/>
    <w:rsid w:val="00547066"/>
    <w:rsid w:val="00547BA1"/>
    <w:rsid w:val="00547FDC"/>
    <w:rsid w:val="00550188"/>
    <w:rsid w:val="00550191"/>
    <w:rsid w:val="00551F85"/>
    <w:rsid w:val="0055239C"/>
    <w:rsid w:val="005525C9"/>
    <w:rsid w:val="00553263"/>
    <w:rsid w:val="005549A0"/>
    <w:rsid w:val="0055643D"/>
    <w:rsid w:val="00556790"/>
    <w:rsid w:val="00557051"/>
    <w:rsid w:val="00557884"/>
    <w:rsid w:val="00557D87"/>
    <w:rsid w:val="00557DB8"/>
    <w:rsid w:val="005602FA"/>
    <w:rsid w:val="00560CEC"/>
    <w:rsid w:val="0056156A"/>
    <w:rsid w:val="00562DA4"/>
    <w:rsid w:val="00564395"/>
    <w:rsid w:val="005644FA"/>
    <w:rsid w:val="0056527A"/>
    <w:rsid w:val="005657B9"/>
    <w:rsid w:val="00566087"/>
    <w:rsid w:val="00566433"/>
    <w:rsid w:val="00567098"/>
    <w:rsid w:val="00567AF6"/>
    <w:rsid w:val="00567D84"/>
    <w:rsid w:val="0057076E"/>
    <w:rsid w:val="005711E5"/>
    <w:rsid w:val="005715B2"/>
    <w:rsid w:val="00572570"/>
    <w:rsid w:val="00574412"/>
    <w:rsid w:val="00574B1C"/>
    <w:rsid w:val="0057582D"/>
    <w:rsid w:val="00575B39"/>
    <w:rsid w:val="005769D3"/>
    <w:rsid w:val="00577083"/>
    <w:rsid w:val="00577113"/>
    <w:rsid w:val="0057744D"/>
    <w:rsid w:val="00580ED5"/>
    <w:rsid w:val="0058162F"/>
    <w:rsid w:val="00581E47"/>
    <w:rsid w:val="005823C8"/>
    <w:rsid w:val="00583AE8"/>
    <w:rsid w:val="00584679"/>
    <w:rsid w:val="005851FB"/>
    <w:rsid w:val="0058567E"/>
    <w:rsid w:val="0058609D"/>
    <w:rsid w:val="00587DA5"/>
    <w:rsid w:val="00590DD1"/>
    <w:rsid w:val="00591B55"/>
    <w:rsid w:val="00594B18"/>
    <w:rsid w:val="00594EE7"/>
    <w:rsid w:val="0059565D"/>
    <w:rsid w:val="005958A8"/>
    <w:rsid w:val="005959D3"/>
    <w:rsid w:val="00595AD3"/>
    <w:rsid w:val="00596A8F"/>
    <w:rsid w:val="00597957"/>
    <w:rsid w:val="00597B9F"/>
    <w:rsid w:val="00597FD7"/>
    <w:rsid w:val="005A0318"/>
    <w:rsid w:val="005A0805"/>
    <w:rsid w:val="005A097D"/>
    <w:rsid w:val="005A25B1"/>
    <w:rsid w:val="005A285A"/>
    <w:rsid w:val="005A2C7A"/>
    <w:rsid w:val="005A2E84"/>
    <w:rsid w:val="005A3796"/>
    <w:rsid w:val="005A39F3"/>
    <w:rsid w:val="005A3A8A"/>
    <w:rsid w:val="005A4F45"/>
    <w:rsid w:val="005A5535"/>
    <w:rsid w:val="005A7871"/>
    <w:rsid w:val="005B0701"/>
    <w:rsid w:val="005B16CA"/>
    <w:rsid w:val="005B1E1D"/>
    <w:rsid w:val="005B2AD6"/>
    <w:rsid w:val="005B364C"/>
    <w:rsid w:val="005B36AD"/>
    <w:rsid w:val="005B4677"/>
    <w:rsid w:val="005B4DF2"/>
    <w:rsid w:val="005B4E88"/>
    <w:rsid w:val="005B6AAE"/>
    <w:rsid w:val="005C0837"/>
    <w:rsid w:val="005C2883"/>
    <w:rsid w:val="005C3658"/>
    <w:rsid w:val="005C5D1E"/>
    <w:rsid w:val="005C6B84"/>
    <w:rsid w:val="005D038D"/>
    <w:rsid w:val="005D04FE"/>
    <w:rsid w:val="005D0913"/>
    <w:rsid w:val="005D0DFC"/>
    <w:rsid w:val="005D1283"/>
    <w:rsid w:val="005D13CC"/>
    <w:rsid w:val="005D160D"/>
    <w:rsid w:val="005D2717"/>
    <w:rsid w:val="005D3E22"/>
    <w:rsid w:val="005D4433"/>
    <w:rsid w:val="005D4953"/>
    <w:rsid w:val="005D56ED"/>
    <w:rsid w:val="005D6859"/>
    <w:rsid w:val="005D704E"/>
    <w:rsid w:val="005E3357"/>
    <w:rsid w:val="005E3657"/>
    <w:rsid w:val="005E4354"/>
    <w:rsid w:val="005E470E"/>
    <w:rsid w:val="005E66E4"/>
    <w:rsid w:val="005E6F53"/>
    <w:rsid w:val="005E74A9"/>
    <w:rsid w:val="005E75C4"/>
    <w:rsid w:val="005F0A3C"/>
    <w:rsid w:val="005F11A1"/>
    <w:rsid w:val="005F1BBE"/>
    <w:rsid w:val="005F1E9B"/>
    <w:rsid w:val="005F1EA5"/>
    <w:rsid w:val="005F265F"/>
    <w:rsid w:val="005F2B72"/>
    <w:rsid w:val="005F35C3"/>
    <w:rsid w:val="005F3A4A"/>
    <w:rsid w:val="005F47FF"/>
    <w:rsid w:val="005F5D43"/>
    <w:rsid w:val="005F6B34"/>
    <w:rsid w:val="005F6B7A"/>
    <w:rsid w:val="005F6C2F"/>
    <w:rsid w:val="005F70C1"/>
    <w:rsid w:val="005F7530"/>
    <w:rsid w:val="005F7549"/>
    <w:rsid w:val="006007B0"/>
    <w:rsid w:val="00601730"/>
    <w:rsid w:val="0060385A"/>
    <w:rsid w:val="00604950"/>
    <w:rsid w:val="00604E6D"/>
    <w:rsid w:val="006061FD"/>
    <w:rsid w:val="00606D39"/>
    <w:rsid w:val="006071F2"/>
    <w:rsid w:val="0061212C"/>
    <w:rsid w:val="0061225D"/>
    <w:rsid w:val="006142C0"/>
    <w:rsid w:val="006144B8"/>
    <w:rsid w:val="00614548"/>
    <w:rsid w:val="00614561"/>
    <w:rsid w:val="00615203"/>
    <w:rsid w:val="0061733C"/>
    <w:rsid w:val="00617B78"/>
    <w:rsid w:val="00620B6A"/>
    <w:rsid w:val="006213BC"/>
    <w:rsid w:val="00622527"/>
    <w:rsid w:val="00622712"/>
    <w:rsid w:val="006228E1"/>
    <w:rsid w:val="006241B8"/>
    <w:rsid w:val="00626C01"/>
    <w:rsid w:val="00630457"/>
    <w:rsid w:val="00631701"/>
    <w:rsid w:val="00632564"/>
    <w:rsid w:val="0063292C"/>
    <w:rsid w:val="00633B10"/>
    <w:rsid w:val="00634ED5"/>
    <w:rsid w:val="00636DA8"/>
    <w:rsid w:val="00636EE2"/>
    <w:rsid w:val="00637376"/>
    <w:rsid w:val="006404CD"/>
    <w:rsid w:val="006411F3"/>
    <w:rsid w:val="00641D71"/>
    <w:rsid w:val="006420DF"/>
    <w:rsid w:val="006439A3"/>
    <w:rsid w:val="00644D9B"/>
    <w:rsid w:val="006457CE"/>
    <w:rsid w:val="00647130"/>
    <w:rsid w:val="00650BBE"/>
    <w:rsid w:val="006510F4"/>
    <w:rsid w:val="0065181B"/>
    <w:rsid w:val="00651AA0"/>
    <w:rsid w:val="00652B6F"/>
    <w:rsid w:val="006530EF"/>
    <w:rsid w:val="00653233"/>
    <w:rsid w:val="00653E55"/>
    <w:rsid w:val="0065476A"/>
    <w:rsid w:val="006549E8"/>
    <w:rsid w:val="00654BD4"/>
    <w:rsid w:val="00654F9D"/>
    <w:rsid w:val="00656962"/>
    <w:rsid w:val="00656CE5"/>
    <w:rsid w:val="0065776E"/>
    <w:rsid w:val="00660976"/>
    <w:rsid w:val="00662BCE"/>
    <w:rsid w:val="006637B2"/>
    <w:rsid w:val="006654FF"/>
    <w:rsid w:val="00665E15"/>
    <w:rsid w:val="00667724"/>
    <w:rsid w:val="00667785"/>
    <w:rsid w:val="00670D09"/>
    <w:rsid w:val="006711FC"/>
    <w:rsid w:val="00671231"/>
    <w:rsid w:val="00671FBD"/>
    <w:rsid w:val="00675C75"/>
    <w:rsid w:val="0067773E"/>
    <w:rsid w:val="00677ED9"/>
    <w:rsid w:val="006807EA"/>
    <w:rsid w:val="006814DC"/>
    <w:rsid w:val="006825BF"/>
    <w:rsid w:val="006826C9"/>
    <w:rsid w:val="006840B6"/>
    <w:rsid w:val="006853BB"/>
    <w:rsid w:val="00687483"/>
    <w:rsid w:val="00687927"/>
    <w:rsid w:val="006901A4"/>
    <w:rsid w:val="006904DD"/>
    <w:rsid w:val="006909D0"/>
    <w:rsid w:val="006910DD"/>
    <w:rsid w:val="006915A8"/>
    <w:rsid w:val="00693793"/>
    <w:rsid w:val="0069406C"/>
    <w:rsid w:val="00694D22"/>
    <w:rsid w:val="006953E6"/>
    <w:rsid w:val="00695778"/>
    <w:rsid w:val="0069640C"/>
    <w:rsid w:val="00697629"/>
    <w:rsid w:val="006A087F"/>
    <w:rsid w:val="006A0D96"/>
    <w:rsid w:val="006A212F"/>
    <w:rsid w:val="006A32F3"/>
    <w:rsid w:val="006A331F"/>
    <w:rsid w:val="006A60DE"/>
    <w:rsid w:val="006A6586"/>
    <w:rsid w:val="006A7314"/>
    <w:rsid w:val="006A7620"/>
    <w:rsid w:val="006B26A1"/>
    <w:rsid w:val="006B2EBB"/>
    <w:rsid w:val="006B3D00"/>
    <w:rsid w:val="006B64C5"/>
    <w:rsid w:val="006B6800"/>
    <w:rsid w:val="006B69FE"/>
    <w:rsid w:val="006C01B2"/>
    <w:rsid w:val="006C0283"/>
    <w:rsid w:val="006C1FF0"/>
    <w:rsid w:val="006C23A1"/>
    <w:rsid w:val="006C26C5"/>
    <w:rsid w:val="006C2AF4"/>
    <w:rsid w:val="006C496D"/>
    <w:rsid w:val="006C4F53"/>
    <w:rsid w:val="006C50A3"/>
    <w:rsid w:val="006C5714"/>
    <w:rsid w:val="006C69B4"/>
    <w:rsid w:val="006C77E6"/>
    <w:rsid w:val="006D027B"/>
    <w:rsid w:val="006D0529"/>
    <w:rsid w:val="006D08D2"/>
    <w:rsid w:val="006D0D00"/>
    <w:rsid w:val="006D43AD"/>
    <w:rsid w:val="006D540C"/>
    <w:rsid w:val="006D622F"/>
    <w:rsid w:val="006D70BE"/>
    <w:rsid w:val="006D7653"/>
    <w:rsid w:val="006E13D7"/>
    <w:rsid w:val="006E1F0D"/>
    <w:rsid w:val="006E2069"/>
    <w:rsid w:val="006E2FAA"/>
    <w:rsid w:val="006E4CA9"/>
    <w:rsid w:val="006E53F5"/>
    <w:rsid w:val="006E7FD8"/>
    <w:rsid w:val="006F1410"/>
    <w:rsid w:val="006F3118"/>
    <w:rsid w:val="006F4044"/>
    <w:rsid w:val="006F4C46"/>
    <w:rsid w:val="006F54E1"/>
    <w:rsid w:val="006F588F"/>
    <w:rsid w:val="006F622C"/>
    <w:rsid w:val="006F7A49"/>
    <w:rsid w:val="007012BF"/>
    <w:rsid w:val="00702D08"/>
    <w:rsid w:val="00705EA7"/>
    <w:rsid w:val="007062EF"/>
    <w:rsid w:val="007066ED"/>
    <w:rsid w:val="007073C4"/>
    <w:rsid w:val="00707E03"/>
    <w:rsid w:val="00710730"/>
    <w:rsid w:val="00710A07"/>
    <w:rsid w:val="007149FE"/>
    <w:rsid w:val="00714AB1"/>
    <w:rsid w:val="00714EB3"/>
    <w:rsid w:val="0071535A"/>
    <w:rsid w:val="00715374"/>
    <w:rsid w:val="00715468"/>
    <w:rsid w:val="00715CB8"/>
    <w:rsid w:val="00715D2A"/>
    <w:rsid w:val="00716228"/>
    <w:rsid w:val="0071747D"/>
    <w:rsid w:val="00717EB3"/>
    <w:rsid w:val="007204EF"/>
    <w:rsid w:val="0072081F"/>
    <w:rsid w:val="00720EFE"/>
    <w:rsid w:val="007210EA"/>
    <w:rsid w:val="00721990"/>
    <w:rsid w:val="00721A90"/>
    <w:rsid w:val="00722E2D"/>
    <w:rsid w:val="007234A0"/>
    <w:rsid w:val="00723AAB"/>
    <w:rsid w:val="00726025"/>
    <w:rsid w:val="00726AD5"/>
    <w:rsid w:val="007305B6"/>
    <w:rsid w:val="00731521"/>
    <w:rsid w:val="007319E7"/>
    <w:rsid w:val="00731D4C"/>
    <w:rsid w:val="00731D85"/>
    <w:rsid w:val="0073246A"/>
    <w:rsid w:val="007369BF"/>
    <w:rsid w:val="00740585"/>
    <w:rsid w:val="007417FF"/>
    <w:rsid w:val="007425D8"/>
    <w:rsid w:val="0074314D"/>
    <w:rsid w:val="007435D1"/>
    <w:rsid w:val="0074388B"/>
    <w:rsid w:val="00746463"/>
    <w:rsid w:val="007469B1"/>
    <w:rsid w:val="00747E30"/>
    <w:rsid w:val="007503CA"/>
    <w:rsid w:val="00750459"/>
    <w:rsid w:val="007508CD"/>
    <w:rsid w:val="00752568"/>
    <w:rsid w:val="00754535"/>
    <w:rsid w:val="00754B29"/>
    <w:rsid w:val="00755079"/>
    <w:rsid w:val="007550ED"/>
    <w:rsid w:val="0075520F"/>
    <w:rsid w:val="007556C8"/>
    <w:rsid w:val="007564E0"/>
    <w:rsid w:val="00756D0F"/>
    <w:rsid w:val="00756F6B"/>
    <w:rsid w:val="00761026"/>
    <w:rsid w:val="007611A0"/>
    <w:rsid w:val="0076133F"/>
    <w:rsid w:val="00761617"/>
    <w:rsid w:val="00762373"/>
    <w:rsid w:val="00763D39"/>
    <w:rsid w:val="00764AC3"/>
    <w:rsid w:val="00764B75"/>
    <w:rsid w:val="0076502E"/>
    <w:rsid w:val="00765538"/>
    <w:rsid w:val="00765DC2"/>
    <w:rsid w:val="00765FD3"/>
    <w:rsid w:val="00766AD2"/>
    <w:rsid w:val="00771208"/>
    <w:rsid w:val="0077227E"/>
    <w:rsid w:val="00772A1D"/>
    <w:rsid w:val="0077464A"/>
    <w:rsid w:val="007746AC"/>
    <w:rsid w:val="00774A90"/>
    <w:rsid w:val="00775DF8"/>
    <w:rsid w:val="00775E6C"/>
    <w:rsid w:val="007779FA"/>
    <w:rsid w:val="00780174"/>
    <w:rsid w:val="0078096A"/>
    <w:rsid w:val="00782758"/>
    <w:rsid w:val="00782D03"/>
    <w:rsid w:val="007831BE"/>
    <w:rsid w:val="007833F0"/>
    <w:rsid w:val="00783584"/>
    <w:rsid w:val="00783F22"/>
    <w:rsid w:val="00784A39"/>
    <w:rsid w:val="007871B5"/>
    <w:rsid w:val="007876ED"/>
    <w:rsid w:val="00787BAE"/>
    <w:rsid w:val="00790C45"/>
    <w:rsid w:val="00790DEA"/>
    <w:rsid w:val="00792552"/>
    <w:rsid w:val="00793504"/>
    <w:rsid w:val="00793703"/>
    <w:rsid w:val="007938A3"/>
    <w:rsid w:val="00793C16"/>
    <w:rsid w:val="00795546"/>
    <w:rsid w:val="00795D7E"/>
    <w:rsid w:val="00796D66"/>
    <w:rsid w:val="00797D74"/>
    <w:rsid w:val="007A04E3"/>
    <w:rsid w:val="007A09B1"/>
    <w:rsid w:val="007A1CF0"/>
    <w:rsid w:val="007A2B7C"/>
    <w:rsid w:val="007A3271"/>
    <w:rsid w:val="007A3559"/>
    <w:rsid w:val="007A35AB"/>
    <w:rsid w:val="007A3843"/>
    <w:rsid w:val="007A3923"/>
    <w:rsid w:val="007A4275"/>
    <w:rsid w:val="007A446B"/>
    <w:rsid w:val="007A45C1"/>
    <w:rsid w:val="007A4C5B"/>
    <w:rsid w:val="007A4D07"/>
    <w:rsid w:val="007A5F21"/>
    <w:rsid w:val="007B0D8C"/>
    <w:rsid w:val="007B14DF"/>
    <w:rsid w:val="007B3C33"/>
    <w:rsid w:val="007B4652"/>
    <w:rsid w:val="007B75EC"/>
    <w:rsid w:val="007B7E8A"/>
    <w:rsid w:val="007C0234"/>
    <w:rsid w:val="007C0F7C"/>
    <w:rsid w:val="007C34D6"/>
    <w:rsid w:val="007C375E"/>
    <w:rsid w:val="007C3CF0"/>
    <w:rsid w:val="007C4870"/>
    <w:rsid w:val="007C4EF2"/>
    <w:rsid w:val="007C605C"/>
    <w:rsid w:val="007C6567"/>
    <w:rsid w:val="007C656F"/>
    <w:rsid w:val="007C68D2"/>
    <w:rsid w:val="007C69E1"/>
    <w:rsid w:val="007C77F0"/>
    <w:rsid w:val="007D1BA2"/>
    <w:rsid w:val="007D1BCA"/>
    <w:rsid w:val="007D54CF"/>
    <w:rsid w:val="007D6C97"/>
    <w:rsid w:val="007D7386"/>
    <w:rsid w:val="007D7CF4"/>
    <w:rsid w:val="007D7D24"/>
    <w:rsid w:val="007E02A0"/>
    <w:rsid w:val="007E114F"/>
    <w:rsid w:val="007E1AD1"/>
    <w:rsid w:val="007E2FA5"/>
    <w:rsid w:val="007E37B7"/>
    <w:rsid w:val="007E3A10"/>
    <w:rsid w:val="007E3C35"/>
    <w:rsid w:val="007E4467"/>
    <w:rsid w:val="007E44FD"/>
    <w:rsid w:val="007E4E3C"/>
    <w:rsid w:val="007E5BED"/>
    <w:rsid w:val="007E6395"/>
    <w:rsid w:val="007E6D13"/>
    <w:rsid w:val="007E7777"/>
    <w:rsid w:val="007E7B58"/>
    <w:rsid w:val="007E7C7D"/>
    <w:rsid w:val="007F1596"/>
    <w:rsid w:val="007F1959"/>
    <w:rsid w:val="007F1E25"/>
    <w:rsid w:val="007F378A"/>
    <w:rsid w:val="007F3B46"/>
    <w:rsid w:val="007F3DCA"/>
    <w:rsid w:val="007F4716"/>
    <w:rsid w:val="007F4975"/>
    <w:rsid w:val="007F4B75"/>
    <w:rsid w:val="007F4C82"/>
    <w:rsid w:val="007F5009"/>
    <w:rsid w:val="007F504E"/>
    <w:rsid w:val="007F6189"/>
    <w:rsid w:val="007F7A30"/>
    <w:rsid w:val="00800118"/>
    <w:rsid w:val="0080064B"/>
    <w:rsid w:val="00802833"/>
    <w:rsid w:val="00802FFD"/>
    <w:rsid w:val="008041F9"/>
    <w:rsid w:val="00805697"/>
    <w:rsid w:val="0080696C"/>
    <w:rsid w:val="00806B8B"/>
    <w:rsid w:val="00807976"/>
    <w:rsid w:val="00807CF6"/>
    <w:rsid w:val="00807DCB"/>
    <w:rsid w:val="0081094F"/>
    <w:rsid w:val="008115B2"/>
    <w:rsid w:val="008128B3"/>
    <w:rsid w:val="008131A5"/>
    <w:rsid w:val="008159D5"/>
    <w:rsid w:val="008162C6"/>
    <w:rsid w:val="0081636D"/>
    <w:rsid w:val="008164FA"/>
    <w:rsid w:val="00816993"/>
    <w:rsid w:val="00816CD8"/>
    <w:rsid w:val="00817974"/>
    <w:rsid w:val="008200CA"/>
    <w:rsid w:val="008204A3"/>
    <w:rsid w:val="0082094B"/>
    <w:rsid w:val="00820E63"/>
    <w:rsid w:val="008213DA"/>
    <w:rsid w:val="00822537"/>
    <w:rsid w:val="00823098"/>
    <w:rsid w:val="0082339C"/>
    <w:rsid w:val="00823CEE"/>
    <w:rsid w:val="00824161"/>
    <w:rsid w:val="008241EC"/>
    <w:rsid w:val="00824D68"/>
    <w:rsid w:val="00825ACC"/>
    <w:rsid w:val="00825F01"/>
    <w:rsid w:val="008273EB"/>
    <w:rsid w:val="00827846"/>
    <w:rsid w:val="00827D0B"/>
    <w:rsid w:val="008300E9"/>
    <w:rsid w:val="008305B8"/>
    <w:rsid w:val="00831C4F"/>
    <w:rsid w:val="00831CA2"/>
    <w:rsid w:val="008331EA"/>
    <w:rsid w:val="00833CA5"/>
    <w:rsid w:val="00834199"/>
    <w:rsid w:val="008374E7"/>
    <w:rsid w:val="0083769E"/>
    <w:rsid w:val="008379FD"/>
    <w:rsid w:val="008403C7"/>
    <w:rsid w:val="008405DE"/>
    <w:rsid w:val="00840650"/>
    <w:rsid w:val="008412BF"/>
    <w:rsid w:val="00841DA9"/>
    <w:rsid w:val="00842274"/>
    <w:rsid w:val="00842403"/>
    <w:rsid w:val="0084343C"/>
    <w:rsid w:val="00843C04"/>
    <w:rsid w:val="00843FE6"/>
    <w:rsid w:val="00846359"/>
    <w:rsid w:val="00846A8E"/>
    <w:rsid w:val="00846B80"/>
    <w:rsid w:val="0084791B"/>
    <w:rsid w:val="00850AE0"/>
    <w:rsid w:val="0085115D"/>
    <w:rsid w:val="00852966"/>
    <w:rsid w:val="0085296E"/>
    <w:rsid w:val="008533CD"/>
    <w:rsid w:val="0085524F"/>
    <w:rsid w:val="008552FE"/>
    <w:rsid w:val="00855CBD"/>
    <w:rsid w:val="00855DDE"/>
    <w:rsid w:val="00856B25"/>
    <w:rsid w:val="008573D4"/>
    <w:rsid w:val="00857CFA"/>
    <w:rsid w:val="008616F2"/>
    <w:rsid w:val="0086228F"/>
    <w:rsid w:val="00862457"/>
    <w:rsid w:val="008626F6"/>
    <w:rsid w:val="008629A2"/>
    <w:rsid w:val="00862B45"/>
    <w:rsid w:val="00862EFA"/>
    <w:rsid w:val="00864F63"/>
    <w:rsid w:val="00865BEB"/>
    <w:rsid w:val="00865DEB"/>
    <w:rsid w:val="00865E69"/>
    <w:rsid w:val="00867358"/>
    <w:rsid w:val="00867F9C"/>
    <w:rsid w:val="00870C52"/>
    <w:rsid w:val="00872642"/>
    <w:rsid w:val="00872A33"/>
    <w:rsid w:val="00872D04"/>
    <w:rsid w:val="00872DC1"/>
    <w:rsid w:val="00873402"/>
    <w:rsid w:val="008738B1"/>
    <w:rsid w:val="00874933"/>
    <w:rsid w:val="00874BBC"/>
    <w:rsid w:val="00874E47"/>
    <w:rsid w:val="00874EC8"/>
    <w:rsid w:val="00875630"/>
    <w:rsid w:val="008756EB"/>
    <w:rsid w:val="0087576A"/>
    <w:rsid w:val="00875DA4"/>
    <w:rsid w:val="008762A6"/>
    <w:rsid w:val="008762D9"/>
    <w:rsid w:val="008778C5"/>
    <w:rsid w:val="008779ED"/>
    <w:rsid w:val="00877A51"/>
    <w:rsid w:val="00877C66"/>
    <w:rsid w:val="0088138C"/>
    <w:rsid w:val="008816FA"/>
    <w:rsid w:val="00881A20"/>
    <w:rsid w:val="00883115"/>
    <w:rsid w:val="008834D0"/>
    <w:rsid w:val="008836BA"/>
    <w:rsid w:val="00885526"/>
    <w:rsid w:val="008870EB"/>
    <w:rsid w:val="00890008"/>
    <w:rsid w:val="00890444"/>
    <w:rsid w:val="00890686"/>
    <w:rsid w:val="00890B1E"/>
    <w:rsid w:val="00890B54"/>
    <w:rsid w:val="008923E4"/>
    <w:rsid w:val="0089326D"/>
    <w:rsid w:val="00893F0A"/>
    <w:rsid w:val="0089439B"/>
    <w:rsid w:val="00895ABC"/>
    <w:rsid w:val="00895BFA"/>
    <w:rsid w:val="008967B4"/>
    <w:rsid w:val="00896859"/>
    <w:rsid w:val="00896F31"/>
    <w:rsid w:val="008973D1"/>
    <w:rsid w:val="008978BE"/>
    <w:rsid w:val="00897B10"/>
    <w:rsid w:val="008A0289"/>
    <w:rsid w:val="008A04A9"/>
    <w:rsid w:val="008A0F2E"/>
    <w:rsid w:val="008A1060"/>
    <w:rsid w:val="008A279E"/>
    <w:rsid w:val="008A3BE4"/>
    <w:rsid w:val="008A3E6C"/>
    <w:rsid w:val="008A3FDD"/>
    <w:rsid w:val="008A44D8"/>
    <w:rsid w:val="008A4E74"/>
    <w:rsid w:val="008A58EE"/>
    <w:rsid w:val="008A633D"/>
    <w:rsid w:val="008A7F23"/>
    <w:rsid w:val="008B0598"/>
    <w:rsid w:val="008B0E8D"/>
    <w:rsid w:val="008B1137"/>
    <w:rsid w:val="008B3E8E"/>
    <w:rsid w:val="008B4531"/>
    <w:rsid w:val="008B4A9D"/>
    <w:rsid w:val="008B4CCA"/>
    <w:rsid w:val="008B549A"/>
    <w:rsid w:val="008B640C"/>
    <w:rsid w:val="008B670B"/>
    <w:rsid w:val="008B7DC5"/>
    <w:rsid w:val="008C0D33"/>
    <w:rsid w:val="008C0D9C"/>
    <w:rsid w:val="008C275C"/>
    <w:rsid w:val="008C2A8A"/>
    <w:rsid w:val="008C308B"/>
    <w:rsid w:val="008C3AA6"/>
    <w:rsid w:val="008C48AA"/>
    <w:rsid w:val="008C4FDD"/>
    <w:rsid w:val="008C579E"/>
    <w:rsid w:val="008C6486"/>
    <w:rsid w:val="008C6978"/>
    <w:rsid w:val="008C7259"/>
    <w:rsid w:val="008C7795"/>
    <w:rsid w:val="008C7C12"/>
    <w:rsid w:val="008C7C51"/>
    <w:rsid w:val="008D1854"/>
    <w:rsid w:val="008D19CC"/>
    <w:rsid w:val="008D1CCA"/>
    <w:rsid w:val="008D272F"/>
    <w:rsid w:val="008D2FAE"/>
    <w:rsid w:val="008D3182"/>
    <w:rsid w:val="008D395C"/>
    <w:rsid w:val="008D3B52"/>
    <w:rsid w:val="008D3ED1"/>
    <w:rsid w:val="008D4C93"/>
    <w:rsid w:val="008D53C3"/>
    <w:rsid w:val="008D5741"/>
    <w:rsid w:val="008D57E2"/>
    <w:rsid w:val="008D5FE6"/>
    <w:rsid w:val="008D67D7"/>
    <w:rsid w:val="008D74C9"/>
    <w:rsid w:val="008D75B8"/>
    <w:rsid w:val="008D77D7"/>
    <w:rsid w:val="008D7BDD"/>
    <w:rsid w:val="008E0053"/>
    <w:rsid w:val="008E03BA"/>
    <w:rsid w:val="008E1820"/>
    <w:rsid w:val="008E18B2"/>
    <w:rsid w:val="008E425F"/>
    <w:rsid w:val="008E4599"/>
    <w:rsid w:val="008E56BF"/>
    <w:rsid w:val="008E67A5"/>
    <w:rsid w:val="008F18A2"/>
    <w:rsid w:val="008F1B33"/>
    <w:rsid w:val="008F25F9"/>
    <w:rsid w:val="008F34D6"/>
    <w:rsid w:val="008F35FE"/>
    <w:rsid w:val="008F3649"/>
    <w:rsid w:val="008F3FC6"/>
    <w:rsid w:val="008F438C"/>
    <w:rsid w:val="008F45D5"/>
    <w:rsid w:val="008F4E57"/>
    <w:rsid w:val="008F670D"/>
    <w:rsid w:val="008F748C"/>
    <w:rsid w:val="008F75D7"/>
    <w:rsid w:val="00900103"/>
    <w:rsid w:val="00900743"/>
    <w:rsid w:val="00901A93"/>
    <w:rsid w:val="00901DF2"/>
    <w:rsid w:val="009025E8"/>
    <w:rsid w:val="009029D6"/>
    <w:rsid w:val="00902E90"/>
    <w:rsid w:val="009040DC"/>
    <w:rsid w:val="009045ED"/>
    <w:rsid w:val="009049F1"/>
    <w:rsid w:val="00905B0F"/>
    <w:rsid w:val="00906057"/>
    <w:rsid w:val="00906471"/>
    <w:rsid w:val="00906B73"/>
    <w:rsid w:val="00907D0C"/>
    <w:rsid w:val="0091077A"/>
    <w:rsid w:val="00911349"/>
    <w:rsid w:val="0091187F"/>
    <w:rsid w:val="00911F1A"/>
    <w:rsid w:val="0091368C"/>
    <w:rsid w:val="00913966"/>
    <w:rsid w:val="0091435A"/>
    <w:rsid w:val="009147B5"/>
    <w:rsid w:val="00915910"/>
    <w:rsid w:val="00916804"/>
    <w:rsid w:val="00916E2B"/>
    <w:rsid w:val="00920302"/>
    <w:rsid w:val="00921F66"/>
    <w:rsid w:val="00922CBE"/>
    <w:rsid w:val="00922FCE"/>
    <w:rsid w:val="0092300C"/>
    <w:rsid w:val="009243F7"/>
    <w:rsid w:val="00924ED8"/>
    <w:rsid w:val="0092548D"/>
    <w:rsid w:val="00925A68"/>
    <w:rsid w:val="009266F2"/>
    <w:rsid w:val="00927906"/>
    <w:rsid w:val="009304CB"/>
    <w:rsid w:val="0093122D"/>
    <w:rsid w:val="0093159F"/>
    <w:rsid w:val="009322A2"/>
    <w:rsid w:val="00932A84"/>
    <w:rsid w:val="009330E5"/>
    <w:rsid w:val="0093312C"/>
    <w:rsid w:val="009333B6"/>
    <w:rsid w:val="00933705"/>
    <w:rsid w:val="00933F65"/>
    <w:rsid w:val="009341A0"/>
    <w:rsid w:val="00934C76"/>
    <w:rsid w:val="00935270"/>
    <w:rsid w:val="00935E4B"/>
    <w:rsid w:val="0093611E"/>
    <w:rsid w:val="00936956"/>
    <w:rsid w:val="009372FC"/>
    <w:rsid w:val="00937EA4"/>
    <w:rsid w:val="009403CB"/>
    <w:rsid w:val="0094061D"/>
    <w:rsid w:val="0094115B"/>
    <w:rsid w:val="00942B9C"/>
    <w:rsid w:val="009433EE"/>
    <w:rsid w:val="0094575F"/>
    <w:rsid w:val="00946054"/>
    <w:rsid w:val="00946AD0"/>
    <w:rsid w:val="0095087F"/>
    <w:rsid w:val="0095133F"/>
    <w:rsid w:val="00951605"/>
    <w:rsid w:val="009516A1"/>
    <w:rsid w:val="0095191B"/>
    <w:rsid w:val="00954E85"/>
    <w:rsid w:val="00955D3A"/>
    <w:rsid w:val="00955E6A"/>
    <w:rsid w:val="00957346"/>
    <w:rsid w:val="00957494"/>
    <w:rsid w:val="009605B2"/>
    <w:rsid w:val="009606C2"/>
    <w:rsid w:val="00960736"/>
    <w:rsid w:val="00960E50"/>
    <w:rsid w:val="00961E54"/>
    <w:rsid w:val="00962335"/>
    <w:rsid w:val="009624B7"/>
    <w:rsid w:val="00962D95"/>
    <w:rsid w:val="0096339F"/>
    <w:rsid w:val="009636B2"/>
    <w:rsid w:val="009637ED"/>
    <w:rsid w:val="00963CB1"/>
    <w:rsid w:val="00964732"/>
    <w:rsid w:val="00966061"/>
    <w:rsid w:val="009660A4"/>
    <w:rsid w:val="0096693A"/>
    <w:rsid w:val="00970024"/>
    <w:rsid w:val="00970167"/>
    <w:rsid w:val="00970353"/>
    <w:rsid w:val="00970886"/>
    <w:rsid w:val="009708E0"/>
    <w:rsid w:val="00972CC3"/>
    <w:rsid w:val="0097338A"/>
    <w:rsid w:val="009739B0"/>
    <w:rsid w:val="00974C54"/>
    <w:rsid w:val="009751C0"/>
    <w:rsid w:val="00975443"/>
    <w:rsid w:val="0097590C"/>
    <w:rsid w:val="009759DE"/>
    <w:rsid w:val="009761B2"/>
    <w:rsid w:val="00976C51"/>
    <w:rsid w:val="00976DA5"/>
    <w:rsid w:val="0098038E"/>
    <w:rsid w:val="00980602"/>
    <w:rsid w:val="00980DDF"/>
    <w:rsid w:val="009821E8"/>
    <w:rsid w:val="0098489C"/>
    <w:rsid w:val="00985D3F"/>
    <w:rsid w:val="0098684C"/>
    <w:rsid w:val="00987E95"/>
    <w:rsid w:val="00990F18"/>
    <w:rsid w:val="00991326"/>
    <w:rsid w:val="00991F1A"/>
    <w:rsid w:val="009951F5"/>
    <w:rsid w:val="00995B5B"/>
    <w:rsid w:val="00996BD4"/>
    <w:rsid w:val="00996F1B"/>
    <w:rsid w:val="00997274"/>
    <w:rsid w:val="00997756"/>
    <w:rsid w:val="00997EA4"/>
    <w:rsid w:val="009A014A"/>
    <w:rsid w:val="009A01FE"/>
    <w:rsid w:val="009A0C52"/>
    <w:rsid w:val="009A11F3"/>
    <w:rsid w:val="009A1A03"/>
    <w:rsid w:val="009A27C7"/>
    <w:rsid w:val="009A28EB"/>
    <w:rsid w:val="009A3055"/>
    <w:rsid w:val="009A3736"/>
    <w:rsid w:val="009A3E50"/>
    <w:rsid w:val="009A3EEC"/>
    <w:rsid w:val="009A5389"/>
    <w:rsid w:val="009A7127"/>
    <w:rsid w:val="009A785D"/>
    <w:rsid w:val="009A7A34"/>
    <w:rsid w:val="009A7FA1"/>
    <w:rsid w:val="009B0319"/>
    <w:rsid w:val="009B044C"/>
    <w:rsid w:val="009B0755"/>
    <w:rsid w:val="009B0A16"/>
    <w:rsid w:val="009B191B"/>
    <w:rsid w:val="009B202D"/>
    <w:rsid w:val="009B3319"/>
    <w:rsid w:val="009B4739"/>
    <w:rsid w:val="009B4E6F"/>
    <w:rsid w:val="009B6C0B"/>
    <w:rsid w:val="009B7B91"/>
    <w:rsid w:val="009C0382"/>
    <w:rsid w:val="009C1954"/>
    <w:rsid w:val="009C1DBC"/>
    <w:rsid w:val="009C28E4"/>
    <w:rsid w:val="009C2DC8"/>
    <w:rsid w:val="009C3192"/>
    <w:rsid w:val="009C31B7"/>
    <w:rsid w:val="009C33F5"/>
    <w:rsid w:val="009C3547"/>
    <w:rsid w:val="009C4300"/>
    <w:rsid w:val="009C44B0"/>
    <w:rsid w:val="009C5B06"/>
    <w:rsid w:val="009C6000"/>
    <w:rsid w:val="009C704F"/>
    <w:rsid w:val="009D01EE"/>
    <w:rsid w:val="009D0C29"/>
    <w:rsid w:val="009D121C"/>
    <w:rsid w:val="009D17D8"/>
    <w:rsid w:val="009D1FC5"/>
    <w:rsid w:val="009D219C"/>
    <w:rsid w:val="009D242A"/>
    <w:rsid w:val="009D2C04"/>
    <w:rsid w:val="009D4F1D"/>
    <w:rsid w:val="009D544B"/>
    <w:rsid w:val="009D58A3"/>
    <w:rsid w:val="009D6479"/>
    <w:rsid w:val="009D6C5C"/>
    <w:rsid w:val="009D717F"/>
    <w:rsid w:val="009D7AD7"/>
    <w:rsid w:val="009E08C5"/>
    <w:rsid w:val="009E164B"/>
    <w:rsid w:val="009E1D72"/>
    <w:rsid w:val="009E641E"/>
    <w:rsid w:val="009E78DE"/>
    <w:rsid w:val="009E7A23"/>
    <w:rsid w:val="009F02D8"/>
    <w:rsid w:val="009F0432"/>
    <w:rsid w:val="009F0869"/>
    <w:rsid w:val="009F1569"/>
    <w:rsid w:val="009F175A"/>
    <w:rsid w:val="009F1B18"/>
    <w:rsid w:val="009F2285"/>
    <w:rsid w:val="009F232D"/>
    <w:rsid w:val="009F3012"/>
    <w:rsid w:val="009F350E"/>
    <w:rsid w:val="009F3DD5"/>
    <w:rsid w:val="009F4E65"/>
    <w:rsid w:val="009F5D1F"/>
    <w:rsid w:val="009F6C24"/>
    <w:rsid w:val="009F73E1"/>
    <w:rsid w:val="009F73E7"/>
    <w:rsid w:val="00A00928"/>
    <w:rsid w:val="00A009F4"/>
    <w:rsid w:val="00A01037"/>
    <w:rsid w:val="00A01329"/>
    <w:rsid w:val="00A0139A"/>
    <w:rsid w:val="00A01855"/>
    <w:rsid w:val="00A03162"/>
    <w:rsid w:val="00A03CB7"/>
    <w:rsid w:val="00A03E23"/>
    <w:rsid w:val="00A041EB"/>
    <w:rsid w:val="00A04692"/>
    <w:rsid w:val="00A05F4F"/>
    <w:rsid w:val="00A06104"/>
    <w:rsid w:val="00A07C12"/>
    <w:rsid w:val="00A113E0"/>
    <w:rsid w:val="00A12148"/>
    <w:rsid w:val="00A12425"/>
    <w:rsid w:val="00A127CC"/>
    <w:rsid w:val="00A13241"/>
    <w:rsid w:val="00A13462"/>
    <w:rsid w:val="00A15EC1"/>
    <w:rsid w:val="00A16265"/>
    <w:rsid w:val="00A16E86"/>
    <w:rsid w:val="00A176A0"/>
    <w:rsid w:val="00A17D0A"/>
    <w:rsid w:val="00A17DEA"/>
    <w:rsid w:val="00A20DD9"/>
    <w:rsid w:val="00A21402"/>
    <w:rsid w:val="00A21F01"/>
    <w:rsid w:val="00A2285B"/>
    <w:rsid w:val="00A22A2A"/>
    <w:rsid w:val="00A22FFB"/>
    <w:rsid w:val="00A23262"/>
    <w:rsid w:val="00A23945"/>
    <w:rsid w:val="00A2439A"/>
    <w:rsid w:val="00A24E82"/>
    <w:rsid w:val="00A25FF9"/>
    <w:rsid w:val="00A2638D"/>
    <w:rsid w:val="00A26A73"/>
    <w:rsid w:val="00A270F7"/>
    <w:rsid w:val="00A301F4"/>
    <w:rsid w:val="00A304F3"/>
    <w:rsid w:val="00A305C0"/>
    <w:rsid w:val="00A30764"/>
    <w:rsid w:val="00A308D6"/>
    <w:rsid w:val="00A30A03"/>
    <w:rsid w:val="00A30CB6"/>
    <w:rsid w:val="00A31417"/>
    <w:rsid w:val="00A337BB"/>
    <w:rsid w:val="00A33EA5"/>
    <w:rsid w:val="00A348AC"/>
    <w:rsid w:val="00A35B9C"/>
    <w:rsid w:val="00A360DE"/>
    <w:rsid w:val="00A374A9"/>
    <w:rsid w:val="00A37A1B"/>
    <w:rsid w:val="00A37A65"/>
    <w:rsid w:val="00A41080"/>
    <w:rsid w:val="00A41A67"/>
    <w:rsid w:val="00A41BF0"/>
    <w:rsid w:val="00A41C5A"/>
    <w:rsid w:val="00A425B1"/>
    <w:rsid w:val="00A42C76"/>
    <w:rsid w:val="00A43292"/>
    <w:rsid w:val="00A432D3"/>
    <w:rsid w:val="00A43C32"/>
    <w:rsid w:val="00A43E5E"/>
    <w:rsid w:val="00A43F47"/>
    <w:rsid w:val="00A4438C"/>
    <w:rsid w:val="00A443F4"/>
    <w:rsid w:val="00A44ABE"/>
    <w:rsid w:val="00A44C3A"/>
    <w:rsid w:val="00A4553C"/>
    <w:rsid w:val="00A458F2"/>
    <w:rsid w:val="00A4613F"/>
    <w:rsid w:val="00A46357"/>
    <w:rsid w:val="00A46497"/>
    <w:rsid w:val="00A4695D"/>
    <w:rsid w:val="00A46F79"/>
    <w:rsid w:val="00A47249"/>
    <w:rsid w:val="00A47495"/>
    <w:rsid w:val="00A4754C"/>
    <w:rsid w:val="00A47A55"/>
    <w:rsid w:val="00A51E0B"/>
    <w:rsid w:val="00A5323B"/>
    <w:rsid w:val="00A53402"/>
    <w:rsid w:val="00A54960"/>
    <w:rsid w:val="00A549E9"/>
    <w:rsid w:val="00A556E1"/>
    <w:rsid w:val="00A55DDB"/>
    <w:rsid w:val="00A56E93"/>
    <w:rsid w:val="00A6046E"/>
    <w:rsid w:val="00A6078F"/>
    <w:rsid w:val="00A61247"/>
    <w:rsid w:val="00A6268D"/>
    <w:rsid w:val="00A626A2"/>
    <w:rsid w:val="00A63433"/>
    <w:rsid w:val="00A637DF"/>
    <w:rsid w:val="00A6439E"/>
    <w:rsid w:val="00A64B0C"/>
    <w:rsid w:val="00A65619"/>
    <w:rsid w:val="00A65D81"/>
    <w:rsid w:val="00A6689C"/>
    <w:rsid w:val="00A70964"/>
    <w:rsid w:val="00A711F0"/>
    <w:rsid w:val="00A71510"/>
    <w:rsid w:val="00A71713"/>
    <w:rsid w:val="00A738A7"/>
    <w:rsid w:val="00A77726"/>
    <w:rsid w:val="00A77D39"/>
    <w:rsid w:val="00A80169"/>
    <w:rsid w:val="00A80234"/>
    <w:rsid w:val="00A82087"/>
    <w:rsid w:val="00A835D7"/>
    <w:rsid w:val="00A83F82"/>
    <w:rsid w:val="00A842EC"/>
    <w:rsid w:val="00A8436B"/>
    <w:rsid w:val="00A84777"/>
    <w:rsid w:val="00A84A45"/>
    <w:rsid w:val="00A84BCC"/>
    <w:rsid w:val="00A85486"/>
    <w:rsid w:val="00A856B6"/>
    <w:rsid w:val="00A861BA"/>
    <w:rsid w:val="00A8689B"/>
    <w:rsid w:val="00A86B9F"/>
    <w:rsid w:val="00A87357"/>
    <w:rsid w:val="00A875D1"/>
    <w:rsid w:val="00A8772F"/>
    <w:rsid w:val="00A87B07"/>
    <w:rsid w:val="00A907FE"/>
    <w:rsid w:val="00A90B16"/>
    <w:rsid w:val="00A90F8A"/>
    <w:rsid w:val="00A91E4E"/>
    <w:rsid w:val="00A921EC"/>
    <w:rsid w:val="00A92D41"/>
    <w:rsid w:val="00A9421B"/>
    <w:rsid w:val="00A95957"/>
    <w:rsid w:val="00A977B7"/>
    <w:rsid w:val="00AA038F"/>
    <w:rsid w:val="00AA0CE4"/>
    <w:rsid w:val="00AA17FF"/>
    <w:rsid w:val="00AA2F33"/>
    <w:rsid w:val="00AA32C3"/>
    <w:rsid w:val="00AA6CB9"/>
    <w:rsid w:val="00AA7436"/>
    <w:rsid w:val="00AA780A"/>
    <w:rsid w:val="00AB0C78"/>
    <w:rsid w:val="00AB0ED7"/>
    <w:rsid w:val="00AB19FF"/>
    <w:rsid w:val="00AB1BCF"/>
    <w:rsid w:val="00AB1D38"/>
    <w:rsid w:val="00AB205C"/>
    <w:rsid w:val="00AB2937"/>
    <w:rsid w:val="00AB2D61"/>
    <w:rsid w:val="00AB3438"/>
    <w:rsid w:val="00AB3A47"/>
    <w:rsid w:val="00AB3F11"/>
    <w:rsid w:val="00AB41DF"/>
    <w:rsid w:val="00AB52F1"/>
    <w:rsid w:val="00AB6A99"/>
    <w:rsid w:val="00AB6EBC"/>
    <w:rsid w:val="00AB7276"/>
    <w:rsid w:val="00AC133C"/>
    <w:rsid w:val="00AC14E6"/>
    <w:rsid w:val="00AC2C30"/>
    <w:rsid w:val="00AC42A1"/>
    <w:rsid w:val="00AC5AD9"/>
    <w:rsid w:val="00AC5E83"/>
    <w:rsid w:val="00AC6698"/>
    <w:rsid w:val="00AC6C42"/>
    <w:rsid w:val="00AC7071"/>
    <w:rsid w:val="00AC7E49"/>
    <w:rsid w:val="00AD0978"/>
    <w:rsid w:val="00AD0F03"/>
    <w:rsid w:val="00AD2B18"/>
    <w:rsid w:val="00AD395D"/>
    <w:rsid w:val="00AD5A61"/>
    <w:rsid w:val="00AD7DBA"/>
    <w:rsid w:val="00AD7E99"/>
    <w:rsid w:val="00AE1515"/>
    <w:rsid w:val="00AE22A9"/>
    <w:rsid w:val="00AE2300"/>
    <w:rsid w:val="00AE2CA7"/>
    <w:rsid w:val="00AE3212"/>
    <w:rsid w:val="00AE477F"/>
    <w:rsid w:val="00AE4CA4"/>
    <w:rsid w:val="00AE544F"/>
    <w:rsid w:val="00AE54B1"/>
    <w:rsid w:val="00AE62BE"/>
    <w:rsid w:val="00AE6D6B"/>
    <w:rsid w:val="00AE6E4E"/>
    <w:rsid w:val="00AE705D"/>
    <w:rsid w:val="00AE75C2"/>
    <w:rsid w:val="00AE7AA0"/>
    <w:rsid w:val="00AF08B5"/>
    <w:rsid w:val="00AF22C8"/>
    <w:rsid w:val="00AF329F"/>
    <w:rsid w:val="00AF4197"/>
    <w:rsid w:val="00AF4504"/>
    <w:rsid w:val="00AF4AF9"/>
    <w:rsid w:val="00AF643F"/>
    <w:rsid w:val="00B02D79"/>
    <w:rsid w:val="00B041A8"/>
    <w:rsid w:val="00B043C5"/>
    <w:rsid w:val="00B049A6"/>
    <w:rsid w:val="00B04E20"/>
    <w:rsid w:val="00B058BB"/>
    <w:rsid w:val="00B06C22"/>
    <w:rsid w:val="00B0707E"/>
    <w:rsid w:val="00B07E3E"/>
    <w:rsid w:val="00B10490"/>
    <w:rsid w:val="00B10FCE"/>
    <w:rsid w:val="00B11C12"/>
    <w:rsid w:val="00B12DBA"/>
    <w:rsid w:val="00B12F03"/>
    <w:rsid w:val="00B14CD3"/>
    <w:rsid w:val="00B16E79"/>
    <w:rsid w:val="00B174F8"/>
    <w:rsid w:val="00B175D1"/>
    <w:rsid w:val="00B17DB2"/>
    <w:rsid w:val="00B20059"/>
    <w:rsid w:val="00B20A27"/>
    <w:rsid w:val="00B2217C"/>
    <w:rsid w:val="00B22D9C"/>
    <w:rsid w:val="00B2300E"/>
    <w:rsid w:val="00B23FB5"/>
    <w:rsid w:val="00B24DB5"/>
    <w:rsid w:val="00B25937"/>
    <w:rsid w:val="00B2595F"/>
    <w:rsid w:val="00B26155"/>
    <w:rsid w:val="00B2652C"/>
    <w:rsid w:val="00B269EC"/>
    <w:rsid w:val="00B26A35"/>
    <w:rsid w:val="00B272F7"/>
    <w:rsid w:val="00B30947"/>
    <w:rsid w:val="00B30CA1"/>
    <w:rsid w:val="00B30E56"/>
    <w:rsid w:val="00B31ABD"/>
    <w:rsid w:val="00B31B17"/>
    <w:rsid w:val="00B31C93"/>
    <w:rsid w:val="00B31EDC"/>
    <w:rsid w:val="00B33110"/>
    <w:rsid w:val="00B331F7"/>
    <w:rsid w:val="00B336EE"/>
    <w:rsid w:val="00B33A2C"/>
    <w:rsid w:val="00B33E80"/>
    <w:rsid w:val="00B33EFC"/>
    <w:rsid w:val="00B3410A"/>
    <w:rsid w:val="00B34318"/>
    <w:rsid w:val="00B37CBA"/>
    <w:rsid w:val="00B40F51"/>
    <w:rsid w:val="00B412C8"/>
    <w:rsid w:val="00B41A30"/>
    <w:rsid w:val="00B42131"/>
    <w:rsid w:val="00B42EE8"/>
    <w:rsid w:val="00B43271"/>
    <w:rsid w:val="00B438A0"/>
    <w:rsid w:val="00B442FF"/>
    <w:rsid w:val="00B443DB"/>
    <w:rsid w:val="00B44631"/>
    <w:rsid w:val="00B44BD8"/>
    <w:rsid w:val="00B44F13"/>
    <w:rsid w:val="00B4548F"/>
    <w:rsid w:val="00B457CD"/>
    <w:rsid w:val="00B463AB"/>
    <w:rsid w:val="00B463C7"/>
    <w:rsid w:val="00B50FA3"/>
    <w:rsid w:val="00B51A78"/>
    <w:rsid w:val="00B51BD9"/>
    <w:rsid w:val="00B51E29"/>
    <w:rsid w:val="00B53087"/>
    <w:rsid w:val="00B535AB"/>
    <w:rsid w:val="00B53742"/>
    <w:rsid w:val="00B53BC3"/>
    <w:rsid w:val="00B54C46"/>
    <w:rsid w:val="00B558E6"/>
    <w:rsid w:val="00B559C3"/>
    <w:rsid w:val="00B564CF"/>
    <w:rsid w:val="00B567A7"/>
    <w:rsid w:val="00B56F86"/>
    <w:rsid w:val="00B57574"/>
    <w:rsid w:val="00B57DC2"/>
    <w:rsid w:val="00B60213"/>
    <w:rsid w:val="00B60AA3"/>
    <w:rsid w:val="00B61DEA"/>
    <w:rsid w:val="00B61F8D"/>
    <w:rsid w:val="00B620D7"/>
    <w:rsid w:val="00B62C96"/>
    <w:rsid w:val="00B63042"/>
    <w:rsid w:val="00B630B3"/>
    <w:rsid w:val="00B63AFE"/>
    <w:rsid w:val="00B63C70"/>
    <w:rsid w:val="00B64011"/>
    <w:rsid w:val="00B65673"/>
    <w:rsid w:val="00B65C54"/>
    <w:rsid w:val="00B66D70"/>
    <w:rsid w:val="00B66E7F"/>
    <w:rsid w:val="00B67172"/>
    <w:rsid w:val="00B703D6"/>
    <w:rsid w:val="00B70EEE"/>
    <w:rsid w:val="00B71203"/>
    <w:rsid w:val="00B73638"/>
    <w:rsid w:val="00B73B50"/>
    <w:rsid w:val="00B7410B"/>
    <w:rsid w:val="00B74602"/>
    <w:rsid w:val="00B752AB"/>
    <w:rsid w:val="00B766B4"/>
    <w:rsid w:val="00B76B9B"/>
    <w:rsid w:val="00B77452"/>
    <w:rsid w:val="00B80223"/>
    <w:rsid w:val="00B80A4F"/>
    <w:rsid w:val="00B82110"/>
    <w:rsid w:val="00B82484"/>
    <w:rsid w:val="00B83863"/>
    <w:rsid w:val="00B8450F"/>
    <w:rsid w:val="00B849EE"/>
    <w:rsid w:val="00B8504A"/>
    <w:rsid w:val="00B85211"/>
    <w:rsid w:val="00B85324"/>
    <w:rsid w:val="00B8618D"/>
    <w:rsid w:val="00B92716"/>
    <w:rsid w:val="00B94BD8"/>
    <w:rsid w:val="00B95905"/>
    <w:rsid w:val="00B96404"/>
    <w:rsid w:val="00B96928"/>
    <w:rsid w:val="00B9782D"/>
    <w:rsid w:val="00B979FE"/>
    <w:rsid w:val="00B97B26"/>
    <w:rsid w:val="00B97F7A"/>
    <w:rsid w:val="00BA06E1"/>
    <w:rsid w:val="00BA1AEF"/>
    <w:rsid w:val="00BA2339"/>
    <w:rsid w:val="00BA3C67"/>
    <w:rsid w:val="00BA43EE"/>
    <w:rsid w:val="00BA48EB"/>
    <w:rsid w:val="00BA59C6"/>
    <w:rsid w:val="00BA6FB0"/>
    <w:rsid w:val="00BA70D1"/>
    <w:rsid w:val="00BA7C40"/>
    <w:rsid w:val="00BB0ABE"/>
    <w:rsid w:val="00BB0DC4"/>
    <w:rsid w:val="00BB172A"/>
    <w:rsid w:val="00BB1C71"/>
    <w:rsid w:val="00BB1E14"/>
    <w:rsid w:val="00BB2536"/>
    <w:rsid w:val="00BB2E4A"/>
    <w:rsid w:val="00BB3AF6"/>
    <w:rsid w:val="00BB47BB"/>
    <w:rsid w:val="00BB4959"/>
    <w:rsid w:val="00BB531C"/>
    <w:rsid w:val="00BC17E9"/>
    <w:rsid w:val="00BC2FBF"/>
    <w:rsid w:val="00BC383C"/>
    <w:rsid w:val="00BC4EA9"/>
    <w:rsid w:val="00BC5327"/>
    <w:rsid w:val="00BC6582"/>
    <w:rsid w:val="00BC6C17"/>
    <w:rsid w:val="00BC7868"/>
    <w:rsid w:val="00BC7A49"/>
    <w:rsid w:val="00BC7DB8"/>
    <w:rsid w:val="00BD0547"/>
    <w:rsid w:val="00BD0C48"/>
    <w:rsid w:val="00BD0D59"/>
    <w:rsid w:val="00BD1A80"/>
    <w:rsid w:val="00BD1BC1"/>
    <w:rsid w:val="00BD28F4"/>
    <w:rsid w:val="00BD5F8C"/>
    <w:rsid w:val="00BD5FE6"/>
    <w:rsid w:val="00BD603E"/>
    <w:rsid w:val="00BD719D"/>
    <w:rsid w:val="00BD7EF2"/>
    <w:rsid w:val="00BE0C56"/>
    <w:rsid w:val="00BE175A"/>
    <w:rsid w:val="00BE1C56"/>
    <w:rsid w:val="00BE21D3"/>
    <w:rsid w:val="00BE2C4B"/>
    <w:rsid w:val="00BE3FAC"/>
    <w:rsid w:val="00BE496E"/>
    <w:rsid w:val="00BE54CA"/>
    <w:rsid w:val="00BE565F"/>
    <w:rsid w:val="00BE5F2B"/>
    <w:rsid w:val="00BE5FF5"/>
    <w:rsid w:val="00BE73B1"/>
    <w:rsid w:val="00BF16D4"/>
    <w:rsid w:val="00BF1C2B"/>
    <w:rsid w:val="00BF21F1"/>
    <w:rsid w:val="00BF273B"/>
    <w:rsid w:val="00BF340D"/>
    <w:rsid w:val="00BF4936"/>
    <w:rsid w:val="00BF5522"/>
    <w:rsid w:val="00BF5C70"/>
    <w:rsid w:val="00BF61A8"/>
    <w:rsid w:val="00BF63A1"/>
    <w:rsid w:val="00BF727E"/>
    <w:rsid w:val="00BF7420"/>
    <w:rsid w:val="00BF7518"/>
    <w:rsid w:val="00BF7E7B"/>
    <w:rsid w:val="00C0070F"/>
    <w:rsid w:val="00C00899"/>
    <w:rsid w:val="00C00DD9"/>
    <w:rsid w:val="00C03E28"/>
    <w:rsid w:val="00C0482F"/>
    <w:rsid w:val="00C04CF7"/>
    <w:rsid w:val="00C04E94"/>
    <w:rsid w:val="00C05160"/>
    <w:rsid w:val="00C05384"/>
    <w:rsid w:val="00C05818"/>
    <w:rsid w:val="00C0680F"/>
    <w:rsid w:val="00C06E9E"/>
    <w:rsid w:val="00C105A2"/>
    <w:rsid w:val="00C10D59"/>
    <w:rsid w:val="00C1151C"/>
    <w:rsid w:val="00C118EA"/>
    <w:rsid w:val="00C119FF"/>
    <w:rsid w:val="00C12052"/>
    <w:rsid w:val="00C12887"/>
    <w:rsid w:val="00C12A45"/>
    <w:rsid w:val="00C12AB5"/>
    <w:rsid w:val="00C1363E"/>
    <w:rsid w:val="00C14184"/>
    <w:rsid w:val="00C15BAE"/>
    <w:rsid w:val="00C173DD"/>
    <w:rsid w:val="00C1798B"/>
    <w:rsid w:val="00C179A0"/>
    <w:rsid w:val="00C21D17"/>
    <w:rsid w:val="00C222B0"/>
    <w:rsid w:val="00C24681"/>
    <w:rsid w:val="00C24923"/>
    <w:rsid w:val="00C2549E"/>
    <w:rsid w:val="00C25A09"/>
    <w:rsid w:val="00C25A4E"/>
    <w:rsid w:val="00C26785"/>
    <w:rsid w:val="00C26D40"/>
    <w:rsid w:val="00C26D57"/>
    <w:rsid w:val="00C2747E"/>
    <w:rsid w:val="00C27A89"/>
    <w:rsid w:val="00C3059F"/>
    <w:rsid w:val="00C30CE7"/>
    <w:rsid w:val="00C310D1"/>
    <w:rsid w:val="00C3113D"/>
    <w:rsid w:val="00C32BFD"/>
    <w:rsid w:val="00C32F19"/>
    <w:rsid w:val="00C33CDE"/>
    <w:rsid w:val="00C34278"/>
    <w:rsid w:val="00C34F6D"/>
    <w:rsid w:val="00C3527A"/>
    <w:rsid w:val="00C359CD"/>
    <w:rsid w:val="00C36A57"/>
    <w:rsid w:val="00C37C4C"/>
    <w:rsid w:val="00C403F2"/>
    <w:rsid w:val="00C40DB0"/>
    <w:rsid w:val="00C4107C"/>
    <w:rsid w:val="00C41B1A"/>
    <w:rsid w:val="00C41B52"/>
    <w:rsid w:val="00C41F3E"/>
    <w:rsid w:val="00C422E2"/>
    <w:rsid w:val="00C4257A"/>
    <w:rsid w:val="00C43091"/>
    <w:rsid w:val="00C436FD"/>
    <w:rsid w:val="00C44545"/>
    <w:rsid w:val="00C45832"/>
    <w:rsid w:val="00C45FD2"/>
    <w:rsid w:val="00C472D4"/>
    <w:rsid w:val="00C47659"/>
    <w:rsid w:val="00C47B8B"/>
    <w:rsid w:val="00C52AB5"/>
    <w:rsid w:val="00C53307"/>
    <w:rsid w:val="00C535E3"/>
    <w:rsid w:val="00C53D5B"/>
    <w:rsid w:val="00C5678A"/>
    <w:rsid w:val="00C57393"/>
    <w:rsid w:val="00C57746"/>
    <w:rsid w:val="00C6131A"/>
    <w:rsid w:val="00C61B5F"/>
    <w:rsid w:val="00C62149"/>
    <w:rsid w:val="00C62418"/>
    <w:rsid w:val="00C62E6F"/>
    <w:rsid w:val="00C632AF"/>
    <w:rsid w:val="00C64358"/>
    <w:rsid w:val="00C64AEC"/>
    <w:rsid w:val="00C64B59"/>
    <w:rsid w:val="00C64FF2"/>
    <w:rsid w:val="00C65935"/>
    <w:rsid w:val="00C6630F"/>
    <w:rsid w:val="00C665A5"/>
    <w:rsid w:val="00C6740B"/>
    <w:rsid w:val="00C67EBD"/>
    <w:rsid w:val="00C67ED7"/>
    <w:rsid w:val="00C70B06"/>
    <w:rsid w:val="00C70B56"/>
    <w:rsid w:val="00C71069"/>
    <w:rsid w:val="00C7117D"/>
    <w:rsid w:val="00C71D1B"/>
    <w:rsid w:val="00C71F05"/>
    <w:rsid w:val="00C7201D"/>
    <w:rsid w:val="00C73647"/>
    <w:rsid w:val="00C75094"/>
    <w:rsid w:val="00C76CC7"/>
    <w:rsid w:val="00C77BB4"/>
    <w:rsid w:val="00C80BDC"/>
    <w:rsid w:val="00C80DEE"/>
    <w:rsid w:val="00C81324"/>
    <w:rsid w:val="00C8303A"/>
    <w:rsid w:val="00C86574"/>
    <w:rsid w:val="00C86AD8"/>
    <w:rsid w:val="00C86B34"/>
    <w:rsid w:val="00C86BF2"/>
    <w:rsid w:val="00C87138"/>
    <w:rsid w:val="00C8717C"/>
    <w:rsid w:val="00C91629"/>
    <w:rsid w:val="00C91EC1"/>
    <w:rsid w:val="00C9342B"/>
    <w:rsid w:val="00C97022"/>
    <w:rsid w:val="00C9754D"/>
    <w:rsid w:val="00C977D8"/>
    <w:rsid w:val="00C97A39"/>
    <w:rsid w:val="00CA00A1"/>
    <w:rsid w:val="00CA020E"/>
    <w:rsid w:val="00CA139F"/>
    <w:rsid w:val="00CA224B"/>
    <w:rsid w:val="00CA22A3"/>
    <w:rsid w:val="00CA2868"/>
    <w:rsid w:val="00CA328A"/>
    <w:rsid w:val="00CA384F"/>
    <w:rsid w:val="00CA3AA8"/>
    <w:rsid w:val="00CA453D"/>
    <w:rsid w:val="00CA467B"/>
    <w:rsid w:val="00CA6556"/>
    <w:rsid w:val="00CA7007"/>
    <w:rsid w:val="00CA784F"/>
    <w:rsid w:val="00CB0706"/>
    <w:rsid w:val="00CB12DF"/>
    <w:rsid w:val="00CB24D1"/>
    <w:rsid w:val="00CB2DB2"/>
    <w:rsid w:val="00CB331E"/>
    <w:rsid w:val="00CB3A3E"/>
    <w:rsid w:val="00CB4EC4"/>
    <w:rsid w:val="00CB55AD"/>
    <w:rsid w:val="00CB6134"/>
    <w:rsid w:val="00CB6F0F"/>
    <w:rsid w:val="00CB77C9"/>
    <w:rsid w:val="00CB797D"/>
    <w:rsid w:val="00CB7F8C"/>
    <w:rsid w:val="00CC01DA"/>
    <w:rsid w:val="00CC06A5"/>
    <w:rsid w:val="00CC2B38"/>
    <w:rsid w:val="00CC57FD"/>
    <w:rsid w:val="00CC5F17"/>
    <w:rsid w:val="00CC6C07"/>
    <w:rsid w:val="00CC78FD"/>
    <w:rsid w:val="00CC7A3B"/>
    <w:rsid w:val="00CD1A93"/>
    <w:rsid w:val="00CD2832"/>
    <w:rsid w:val="00CD2A36"/>
    <w:rsid w:val="00CD5428"/>
    <w:rsid w:val="00CD56C3"/>
    <w:rsid w:val="00CE029C"/>
    <w:rsid w:val="00CE0DC7"/>
    <w:rsid w:val="00CE0DFB"/>
    <w:rsid w:val="00CE1DF3"/>
    <w:rsid w:val="00CE238D"/>
    <w:rsid w:val="00CE380F"/>
    <w:rsid w:val="00CE3989"/>
    <w:rsid w:val="00CE3ED5"/>
    <w:rsid w:val="00CE41B5"/>
    <w:rsid w:val="00CE4C56"/>
    <w:rsid w:val="00CE5477"/>
    <w:rsid w:val="00CE577C"/>
    <w:rsid w:val="00CF004E"/>
    <w:rsid w:val="00CF08FF"/>
    <w:rsid w:val="00CF1875"/>
    <w:rsid w:val="00CF1F55"/>
    <w:rsid w:val="00CF2288"/>
    <w:rsid w:val="00CF2494"/>
    <w:rsid w:val="00CF281C"/>
    <w:rsid w:val="00CF2C21"/>
    <w:rsid w:val="00CF37F8"/>
    <w:rsid w:val="00CF3B14"/>
    <w:rsid w:val="00CF4A50"/>
    <w:rsid w:val="00CF4C3D"/>
    <w:rsid w:val="00CF4D4A"/>
    <w:rsid w:val="00CF609C"/>
    <w:rsid w:val="00D00E20"/>
    <w:rsid w:val="00D02F46"/>
    <w:rsid w:val="00D032D6"/>
    <w:rsid w:val="00D04642"/>
    <w:rsid w:val="00D04722"/>
    <w:rsid w:val="00D05695"/>
    <w:rsid w:val="00D059C7"/>
    <w:rsid w:val="00D06B7F"/>
    <w:rsid w:val="00D129DC"/>
    <w:rsid w:val="00D12AA0"/>
    <w:rsid w:val="00D12D25"/>
    <w:rsid w:val="00D13219"/>
    <w:rsid w:val="00D13CB0"/>
    <w:rsid w:val="00D14287"/>
    <w:rsid w:val="00D1438C"/>
    <w:rsid w:val="00D15DD4"/>
    <w:rsid w:val="00D15F79"/>
    <w:rsid w:val="00D16219"/>
    <w:rsid w:val="00D17A09"/>
    <w:rsid w:val="00D17CBF"/>
    <w:rsid w:val="00D17D5A"/>
    <w:rsid w:val="00D226D3"/>
    <w:rsid w:val="00D227B8"/>
    <w:rsid w:val="00D2285A"/>
    <w:rsid w:val="00D2310D"/>
    <w:rsid w:val="00D23696"/>
    <w:rsid w:val="00D238BA"/>
    <w:rsid w:val="00D23A42"/>
    <w:rsid w:val="00D245B6"/>
    <w:rsid w:val="00D24EA6"/>
    <w:rsid w:val="00D2767F"/>
    <w:rsid w:val="00D27716"/>
    <w:rsid w:val="00D27D98"/>
    <w:rsid w:val="00D323F5"/>
    <w:rsid w:val="00D3296A"/>
    <w:rsid w:val="00D332E1"/>
    <w:rsid w:val="00D34D7E"/>
    <w:rsid w:val="00D34D8D"/>
    <w:rsid w:val="00D36CEF"/>
    <w:rsid w:val="00D3707B"/>
    <w:rsid w:val="00D40812"/>
    <w:rsid w:val="00D40875"/>
    <w:rsid w:val="00D40880"/>
    <w:rsid w:val="00D419DA"/>
    <w:rsid w:val="00D429C9"/>
    <w:rsid w:val="00D42BE0"/>
    <w:rsid w:val="00D43022"/>
    <w:rsid w:val="00D4479C"/>
    <w:rsid w:val="00D44DB8"/>
    <w:rsid w:val="00D460C8"/>
    <w:rsid w:val="00D4630F"/>
    <w:rsid w:val="00D46537"/>
    <w:rsid w:val="00D46841"/>
    <w:rsid w:val="00D47765"/>
    <w:rsid w:val="00D477C3"/>
    <w:rsid w:val="00D50617"/>
    <w:rsid w:val="00D50E07"/>
    <w:rsid w:val="00D51E69"/>
    <w:rsid w:val="00D52034"/>
    <w:rsid w:val="00D52ABD"/>
    <w:rsid w:val="00D54556"/>
    <w:rsid w:val="00D5504C"/>
    <w:rsid w:val="00D55057"/>
    <w:rsid w:val="00D57A98"/>
    <w:rsid w:val="00D611DB"/>
    <w:rsid w:val="00D612F0"/>
    <w:rsid w:val="00D61569"/>
    <w:rsid w:val="00D615D1"/>
    <w:rsid w:val="00D61FDB"/>
    <w:rsid w:val="00D621FD"/>
    <w:rsid w:val="00D624C3"/>
    <w:rsid w:val="00D626EB"/>
    <w:rsid w:val="00D62ED0"/>
    <w:rsid w:val="00D6399C"/>
    <w:rsid w:val="00D63E10"/>
    <w:rsid w:val="00D64258"/>
    <w:rsid w:val="00D64466"/>
    <w:rsid w:val="00D645FB"/>
    <w:rsid w:val="00D646B2"/>
    <w:rsid w:val="00D64812"/>
    <w:rsid w:val="00D64D80"/>
    <w:rsid w:val="00D64E4E"/>
    <w:rsid w:val="00D65086"/>
    <w:rsid w:val="00D657BF"/>
    <w:rsid w:val="00D663B7"/>
    <w:rsid w:val="00D673E6"/>
    <w:rsid w:val="00D67972"/>
    <w:rsid w:val="00D71010"/>
    <w:rsid w:val="00D71289"/>
    <w:rsid w:val="00D729F6"/>
    <w:rsid w:val="00D73564"/>
    <w:rsid w:val="00D73EDD"/>
    <w:rsid w:val="00D74FE4"/>
    <w:rsid w:val="00D76A80"/>
    <w:rsid w:val="00D77E65"/>
    <w:rsid w:val="00D81645"/>
    <w:rsid w:val="00D817F3"/>
    <w:rsid w:val="00D822BF"/>
    <w:rsid w:val="00D82372"/>
    <w:rsid w:val="00D82B66"/>
    <w:rsid w:val="00D855FD"/>
    <w:rsid w:val="00D861A0"/>
    <w:rsid w:val="00D871E1"/>
    <w:rsid w:val="00D87F92"/>
    <w:rsid w:val="00D902D3"/>
    <w:rsid w:val="00D91029"/>
    <w:rsid w:val="00D9171C"/>
    <w:rsid w:val="00D92C29"/>
    <w:rsid w:val="00D92FFF"/>
    <w:rsid w:val="00D9318B"/>
    <w:rsid w:val="00D94A0F"/>
    <w:rsid w:val="00D95833"/>
    <w:rsid w:val="00D96FB3"/>
    <w:rsid w:val="00D97236"/>
    <w:rsid w:val="00D9727C"/>
    <w:rsid w:val="00D972E3"/>
    <w:rsid w:val="00D978C8"/>
    <w:rsid w:val="00DA134E"/>
    <w:rsid w:val="00DA1EF5"/>
    <w:rsid w:val="00DA3203"/>
    <w:rsid w:val="00DA3BB2"/>
    <w:rsid w:val="00DA3CD1"/>
    <w:rsid w:val="00DA4A83"/>
    <w:rsid w:val="00DA69C4"/>
    <w:rsid w:val="00DB000E"/>
    <w:rsid w:val="00DB0B46"/>
    <w:rsid w:val="00DB312F"/>
    <w:rsid w:val="00DB37C7"/>
    <w:rsid w:val="00DB3802"/>
    <w:rsid w:val="00DB3B3E"/>
    <w:rsid w:val="00DB4185"/>
    <w:rsid w:val="00DB5DCA"/>
    <w:rsid w:val="00DB690B"/>
    <w:rsid w:val="00DB7111"/>
    <w:rsid w:val="00DB7785"/>
    <w:rsid w:val="00DC05C3"/>
    <w:rsid w:val="00DC0A40"/>
    <w:rsid w:val="00DC1F52"/>
    <w:rsid w:val="00DC233F"/>
    <w:rsid w:val="00DC2CDC"/>
    <w:rsid w:val="00DC35C1"/>
    <w:rsid w:val="00DC3972"/>
    <w:rsid w:val="00DC45D1"/>
    <w:rsid w:val="00DC5188"/>
    <w:rsid w:val="00DC5F04"/>
    <w:rsid w:val="00DC6165"/>
    <w:rsid w:val="00DC68A5"/>
    <w:rsid w:val="00DC7D31"/>
    <w:rsid w:val="00DD1006"/>
    <w:rsid w:val="00DD1A45"/>
    <w:rsid w:val="00DD1B3F"/>
    <w:rsid w:val="00DD1BF0"/>
    <w:rsid w:val="00DD1EFC"/>
    <w:rsid w:val="00DD207A"/>
    <w:rsid w:val="00DD2C77"/>
    <w:rsid w:val="00DD3460"/>
    <w:rsid w:val="00DD4E48"/>
    <w:rsid w:val="00DD50C6"/>
    <w:rsid w:val="00DD52E5"/>
    <w:rsid w:val="00DD565F"/>
    <w:rsid w:val="00DD57D2"/>
    <w:rsid w:val="00DD59FB"/>
    <w:rsid w:val="00DD5DB1"/>
    <w:rsid w:val="00DD6D75"/>
    <w:rsid w:val="00DD6F89"/>
    <w:rsid w:val="00DD7BF1"/>
    <w:rsid w:val="00DE1141"/>
    <w:rsid w:val="00DE17F4"/>
    <w:rsid w:val="00DE19AE"/>
    <w:rsid w:val="00DE2029"/>
    <w:rsid w:val="00DE3821"/>
    <w:rsid w:val="00DE4355"/>
    <w:rsid w:val="00DE4A2B"/>
    <w:rsid w:val="00DE5D6C"/>
    <w:rsid w:val="00DE6189"/>
    <w:rsid w:val="00DE66AC"/>
    <w:rsid w:val="00DE6A7B"/>
    <w:rsid w:val="00DE6C15"/>
    <w:rsid w:val="00DF023C"/>
    <w:rsid w:val="00DF0537"/>
    <w:rsid w:val="00DF0B9D"/>
    <w:rsid w:val="00DF0CC8"/>
    <w:rsid w:val="00DF1085"/>
    <w:rsid w:val="00DF333D"/>
    <w:rsid w:val="00DF419E"/>
    <w:rsid w:val="00DF4B79"/>
    <w:rsid w:val="00DF4FC3"/>
    <w:rsid w:val="00DF5370"/>
    <w:rsid w:val="00DF5D67"/>
    <w:rsid w:val="00DF621E"/>
    <w:rsid w:val="00DF773A"/>
    <w:rsid w:val="00DF7E77"/>
    <w:rsid w:val="00E007D2"/>
    <w:rsid w:val="00E0081A"/>
    <w:rsid w:val="00E02D4E"/>
    <w:rsid w:val="00E03421"/>
    <w:rsid w:val="00E03845"/>
    <w:rsid w:val="00E04497"/>
    <w:rsid w:val="00E04A7D"/>
    <w:rsid w:val="00E04BB8"/>
    <w:rsid w:val="00E05631"/>
    <w:rsid w:val="00E06A2D"/>
    <w:rsid w:val="00E073BB"/>
    <w:rsid w:val="00E07AD8"/>
    <w:rsid w:val="00E102E7"/>
    <w:rsid w:val="00E108A9"/>
    <w:rsid w:val="00E11071"/>
    <w:rsid w:val="00E1115C"/>
    <w:rsid w:val="00E1132D"/>
    <w:rsid w:val="00E1170E"/>
    <w:rsid w:val="00E1172F"/>
    <w:rsid w:val="00E11FCE"/>
    <w:rsid w:val="00E122F8"/>
    <w:rsid w:val="00E12EA3"/>
    <w:rsid w:val="00E13D41"/>
    <w:rsid w:val="00E144D3"/>
    <w:rsid w:val="00E162CD"/>
    <w:rsid w:val="00E16D63"/>
    <w:rsid w:val="00E170C2"/>
    <w:rsid w:val="00E174D7"/>
    <w:rsid w:val="00E2108E"/>
    <w:rsid w:val="00E22E80"/>
    <w:rsid w:val="00E22ECB"/>
    <w:rsid w:val="00E233B4"/>
    <w:rsid w:val="00E238F1"/>
    <w:rsid w:val="00E24B36"/>
    <w:rsid w:val="00E25E23"/>
    <w:rsid w:val="00E272E6"/>
    <w:rsid w:val="00E2781A"/>
    <w:rsid w:val="00E302E1"/>
    <w:rsid w:val="00E32835"/>
    <w:rsid w:val="00E32ACC"/>
    <w:rsid w:val="00E32EAA"/>
    <w:rsid w:val="00E33766"/>
    <w:rsid w:val="00E33B64"/>
    <w:rsid w:val="00E3456E"/>
    <w:rsid w:val="00E35355"/>
    <w:rsid w:val="00E357DD"/>
    <w:rsid w:val="00E36688"/>
    <w:rsid w:val="00E36845"/>
    <w:rsid w:val="00E37530"/>
    <w:rsid w:val="00E37A60"/>
    <w:rsid w:val="00E37FC2"/>
    <w:rsid w:val="00E402DB"/>
    <w:rsid w:val="00E40B1B"/>
    <w:rsid w:val="00E411BA"/>
    <w:rsid w:val="00E41A90"/>
    <w:rsid w:val="00E444D7"/>
    <w:rsid w:val="00E46BCE"/>
    <w:rsid w:val="00E474DA"/>
    <w:rsid w:val="00E50C41"/>
    <w:rsid w:val="00E52028"/>
    <w:rsid w:val="00E53696"/>
    <w:rsid w:val="00E5454C"/>
    <w:rsid w:val="00E54E45"/>
    <w:rsid w:val="00E55522"/>
    <w:rsid w:val="00E55773"/>
    <w:rsid w:val="00E567C7"/>
    <w:rsid w:val="00E573EB"/>
    <w:rsid w:val="00E57532"/>
    <w:rsid w:val="00E579BE"/>
    <w:rsid w:val="00E57DC6"/>
    <w:rsid w:val="00E60C2A"/>
    <w:rsid w:val="00E61154"/>
    <w:rsid w:val="00E61F98"/>
    <w:rsid w:val="00E637BA"/>
    <w:rsid w:val="00E639CB"/>
    <w:rsid w:val="00E66A44"/>
    <w:rsid w:val="00E676E4"/>
    <w:rsid w:val="00E67B5F"/>
    <w:rsid w:val="00E67E57"/>
    <w:rsid w:val="00E71041"/>
    <w:rsid w:val="00E72E6F"/>
    <w:rsid w:val="00E73DDE"/>
    <w:rsid w:val="00E7421A"/>
    <w:rsid w:val="00E743A5"/>
    <w:rsid w:val="00E753E1"/>
    <w:rsid w:val="00E75592"/>
    <w:rsid w:val="00E758EA"/>
    <w:rsid w:val="00E76393"/>
    <w:rsid w:val="00E7660C"/>
    <w:rsid w:val="00E76C55"/>
    <w:rsid w:val="00E77BDD"/>
    <w:rsid w:val="00E77DE9"/>
    <w:rsid w:val="00E802DC"/>
    <w:rsid w:val="00E8191F"/>
    <w:rsid w:val="00E828A2"/>
    <w:rsid w:val="00E831C8"/>
    <w:rsid w:val="00E832A0"/>
    <w:rsid w:val="00E8365E"/>
    <w:rsid w:val="00E8378B"/>
    <w:rsid w:val="00E83B4B"/>
    <w:rsid w:val="00E83E07"/>
    <w:rsid w:val="00E841B9"/>
    <w:rsid w:val="00E8450C"/>
    <w:rsid w:val="00E84F98"/>
    <w:rsid w:val="00E858DE"/>
    <w:rsid w:val="00E85B51"/>
    <w:rsid w:val="00E86740"/>
    <w:rsid w:val="00E879D8"/>
    <w:rsid w:val="00E90D7C"/>
    <w:rsid w:val="00E915F0"/>
    <w:rsid w:val="00E91755"/>
    <w:rsid w:val="00E92488"/>
    <w:rsid w:val="00E9311A"/>
    <w:rsid w:val="00E9520D"/>
    <w:rsid w:val="00E95810"/>
    <w:rsid w:val="00E95819"/>
    <w:rsid w:val="00E9593C"/>
    <w:rsid w:val="00E95ABF"/>
    <w:rsid w:val="00E96224"/>
    <w:rsid w:val="00E964FF"/>
    <w:rsid w:val="00E97A46"/>
    <w:rsid w:val="00E97B69"/>
    <w:rsid w:val="00EA018F"/>
    <w:rsid w:val="00EA0194"/>
    <w:rsid w:val="00EA10C6"/>
    <w:rsid w:val="00EA15A4"/>
    <w:rsid w:val="00EA274E"/>
    <w:rsid w:val="00EA3624"/>
    <w:rsid w:val="00EA38DB"/>
    <w:rsid w:val="00EA44F9"/>
    <w:rsid w:val="00EA497A"/>
    <w:rsid w:val="00EA4981"/>
    <w:rsid w:val="00EA4F86"/>
    <w:rsid w:val="00EA546D"/>
    <w:rsid w:val="00EA602E"/>
    <w:rsid w:val="00EA6A56"/>
    <w:rsid w:val="00EA7017"/>
    <w:rsid w:val="00EB0297"/>
    <w:rsid w:val="00EB0F65"/>
    <w:rsid w:val="00EB1447"/>
    <w:rsid w:val="00EB288E"/>
    <w:rsid w:val="00EB370D"/>
    <w:rsid w:val="00EB3B36"/>
    <w:rsid w:val="00EB40C1"/>
    <w:rsid w:val="00EB5E72"/>
    <w:rsid w:val="00EB7B07"/>
    <w:rsid w:val="00EC03E2"/>
    <w:rsid w:val="00EC06CB"/>
    <w:rsid w:val="00EC0FBD"/>
    <w:rsid w:val="00EC1017"/>
    <w:rsid w:val="00EC1268"/>
    <w:rsid w:val="00EC15B8"/>
    <w:rsid w:val="00EC18CD"/>
    <w:rsid w:val="00EC1EC7"/>
    <w:rsid w:val="00EC1F38"/>
    <w:rsid w:val="00EC272F"/>
    <w:rsid w:val="00EC2C79"/>
    <w:rsid w:val="00EC3130"/>
    <w:rsid w:val="00EC3FC4"/>
    <w:rsid w:val="00EC4CC1"/>
    <w:rsid w:val="00EC4E26"/>
    <w:rsid w:val="00EC5A64"/>
    <w:rsid w:val="00EC5EA0"/>
    <w:rsid w:val="00EC60EB"/>
    <w:rsid w:val="00EC7407"/>
    <w:rsid w:val="00ED0439"/>
    <w:rsid w:val="00ED04F0"/>
    <w:rsid w:val="00ED052E"/>
    <w:rsid w:val="00ED1394"/>
    <w:rsid w:val="00ED15B5"/>
    <w:rsid w:val="00ED1854"/>
    <w:rsid w:val="00ED20B6"/>
    <w:rsid w:val="00ED23F4"/>
    <w:rsid w:val="00ED3336"/>
    <w:rsid w:val="00ED344A"/>
    <w:rsid w:val="00ED456A"/>
    <w:rsid w:val="00ED4AEC"/>
    <w:rsid w:val="00ED5104"/>
    <w:rsid w:val="00ED5594"/>
    <w:rsid w:val="00ED61FB"/>
    <w:rsid w:val="00ED6D24"/>
    <w:rsid w:val="00ED73F4"/>
    <w:rsid w:val="00ED7C27"/>
    <w:rsid w:val="00ED7CF9"/>
    <w:rsid w:val="00ED7FC3"/>
    <w:rsid w:val="00EE068A"/>
    <w:rsid w:val="00EE09D9"/>
    <w:rsid w:val="00EE1DC6"/>
    <w:rsid w:val="00EE2105"/>
    <w:rsid w:val="00EE26F7"/>
    <w:rsid w:val="00EE45FB"/>
    <w:rsid w:val="00EE54B6"/>
    <w:rsid w:val="00EE7247"/>
    <w:rsid w:val="00EE78C8"/>
    <w:rsid w:val="00EF014E"/>
    <w:rsid w:val="00EF10A5"/>
    <w:rsid w:val="00EF1470"/>
    <w:rsid w:val="00EF19DC"/>
    <w:rsid w:val="00EF1CD8"/>
    <w:rsid w:val="00EF2D28"/>
    <w:rsid w:val="00EF3380"/>
    <w:rsid w:val="00EF3AAA"/>
    <w:rsid w:val="00EF45FD"/>
    <w:rsid w:val="00EF46DE"/>
    <w:rsid w:val="00EF56F4"/>
    <w:rsid w:val="00EF5AC6"/>
    <w:rsid w:val="00EF6341"/>
    <w:rsid w:val="00EF6BC6"/>
    <w:rsid w:val="00EF7371"/>
    <w:rsid w:val="00F00FBB"/>
    <w:rsid w:val="00F0153C"/>
    <w:rsid w:val="00F027C3"/>
    <w:rsid w:val="00F056A0"/>
    <w:rsid w:val="00F056E6"/>
    <w:rsid w:val="00F05B10"/>
    <w:rsid w:val="00F06930"/>
    <w:rsid w:val="00F078C1"/>
    <w:rsid w:val="00F07D5D"/>
    <w:rsid w:val="00F07FD6"/>
    <w:rsid w:val="00F10745"/>
    <w:rsid w:val="00F10784"/>
    <w:rsid w:val="00F10BC6"/>
    <w:rsid w:val="00F111C2"/>
    <w:rsid w:val="00F12128"/>
    <w:rsid w:val="00F12225"/>
    <w:rsid w:val="00F1339C"/>
    <w:rsid w:val="00F14BB4"/>
    <w:rsid w:val="00F14FB3"/>
    <w:rsid w:val="00F15FE4"/>
    <w:rsid w:val="00F16AB9"/>
    <w:rsid w:val="00F17476"/>
    <w:rsid w:val="00F176B9"/>
    <w:rsid w:val="00F21571"/>
    <w:rsid w:val="00F21609"/>
    <w:rsid w:val="00F23F6F"/>
    <w:rsid w:val="00F240F3"/>
    <w:rsid w:val="00F24735"/>
    <w:rsid w:val="00F24C78"/>
    <w:rsid w:val="00F26A9F"/>
    <w:rsid w:val="00F26DB3"/>
    <w:rsid w:val="00F26ED3"/>
    <w:rsid w:val="00F275C0"/>
    <w:rsid w:val="00F27667"/>
    <w:rsid w:val="00F31ACD"/>
    <w:rsid w:val="00F31E77"/>
    <w:rsid w:val="00F328C7"/>
    <w:rsid w:val="00F33033"/>
    <w:rsid w:val="00F332B8"/>
    <w:rsid w:val="00F34CCB"/>
    <w:rsid w:val="00F35705"/>
    <w:rsid w:val="00F36466"/>
    <w:rsid w:val="00F36C35"/>
    <w:rsid w:val="00F40F9A"/>
    <w:rsid w:val="00F41918"/>
    <w:rsid w:val="00F42661"/>
    <w:rsid w:val="00F42878"/>
    <w:rsid w:val="00F429D0"/>
    <w:rsid w:val="00F42BA9"/>
    <w:rsid w:val="00F43704"/>
    <w:rsid w:val="00F43D49"/>
    <w:rsid w:val="00F43DB8"/>
    <w:rsid w:val="00F45397"/>
    <w:rsid w:val="00F4665D"/>
    <w:rsid w:val="00F4667F"/>
    <w:rsid w:val="00F46951"/>
    <w:rsid w:val="00F47488"/>
    <w:rsid w:val="00F507D5"/>
    <w:rsid w:val="00F51C96"/>
    <w:rsid w:val="00F52631"/>
    <w:rsid w:val="00F53D7A"/>
    <w:rsid w:val="00F54BDE"/>
    <w:rsid w:val="00F5500B"/>
    <w:rsid w:val="00F56C3B"/>
    <w:rsid w:val="00F57E91"/>
    <w:rsid w:val="00F60B81"/>
    <w:rsid w:val="00F6161D"/>
    <w:rsid w:val="00F6217E"/>
    <w:rsid w:val="00F62236"/>
    <w:rsid w:val="00F6243C"/>
    <w:rsid w:val="00F627ED"/>
    <w:rsid w:val="00F62B59"/>
    <w:rsid w:val="00F6641C"/>
    <w:rsid w:val="00F674ED"/>
    <w:rsid w:val="00F676E7"/>
    <w:rsid w:val="00F71CB3"/>
    <w:rsid w:val="00F72280"/>
    <w:rsid w:val="00F72300"/>
    <w:rsid w:val="00F73CCF"/>
    <w:rsid w:val="00F7465F"/>
    <w:rsid w:val="00F758EC"/>
    <w:rsid w:val="00F768C4"/>
    <w:rsid w:val="00F823B4"/>
    <w:rsid w:val="00F835CF"/>
    <w:rsid w:val="00F862E1"/>
    <w:rsid w:val="00F877C4"/>
    <w:rsid w:val="00F87B44"/>
    <w:rsid w:val="00F9073B"/>
    <w:rsid w:val="00F90E84"/>
    <w:rsid w:val="00F9234A"/>
    <w:rsid w:val="00F935C0"/>
    <w:rsid w:val="00F943E8"/>
    <w:rsid w:val="00F94F66"/>
    <w:rsid w:val="00F95B9C"/>
    <w:rsid w:val="00F95DF6"/>
    <w:rsid w:val="00F964A2"/>
    <w:rsid w:val="00F964EC"/>
    <w:rsid w:val="00F96A5C"/>
    <w:rsid w:val="00FA06DC"/>
    <w:rsid w:val="00FA0F8A"/>
    <w:rsid w:val="00FA1233"/>
    <w:rsid w:val="00FA12B3"/>
    <w:rsid w:val="00FA14A6"/>
    <w:rsid w:val="00FA14B5"/>
    <w:rsid w:val="00FA1704"/>
    <w:rsid w:val="00FA30B1"/>
    <w:rsid w:val="00FA404D"/>
    <w:rsid w:val="00FA48FA"/>
    <w:rsid w:val="00FA5609"/>
    <w:rsid w:val="00FA5762"/>
    <w:rsid w:val="00FA5A9E"/>
    <w:rsid w:val="00FA5F39"/>
    <w:rsid w:val="00FA6F1B"/>
    <w:rsid w:val="00FA7558"/>
    <w:rsid w:val="00FA77E3"/>
    <w:rsid w:val="00FB20AC"/>
    <w:rsid w:val="00FB28BC"/>
    <w:rsid w:val="00FB3336"/>
    <w:rsid w:val="00FB4418"/>
    <w:rsid w:val="00FB4490"/>
    <w:rsid w:val="00FB4A79"/>
    <w:rsid w:val="00FB54B2"/>
    <w:rsid w:val="00FB5AA0"/>
    <w:rsid w:val="00FB5C69"/>
    <w:rsid w:val="00FB5D2E"/>
    <w:rsid w:val="00FB7A85"/>
    <w:rsid w:val="00FC0862"/>
    <w:rsid w:val="00FC0F06"/>
    <w:rsid w:val="00FC18BD"/>
    <w:rsid w:val="00FC1A09"/>
    <w:rsid w:val="00FC1DEF"/>
    <w:rsid w:val="00FC2825"/>
    <w:rsid w:val="00FC2844"/>
    <w:rsid w:val="00FC29F8"/>
    <w:rsid w:val="00FC35EC"/>
    <w:rsid w:val="00FC477E"/>
    <w:rsid w:val="00FC5506"/>
    <w:rsid w:val="00FC6CD8"/>
    <w:rsid w:val="00FC78DF"/>
    <w:rsid w:val="00FC7CD1"/>
    <w:rsid w:val="00FD1257"/>
    <w:rsid w:val="00FD17D7"/>
    <w:rsid w:val="00FD18C1"/>
    <w:rsid w:val="00FD2039"/>
    <w:rsid w:val="00FD20A0"/>
    <w:rsid w:val="00FD330B"/>
    <w:rsid w:val="00FD4FD6"/>
    <w:rsid w:val="00FD51D9"/>
    <w:rsid w:val="00FD543E"/>
    <w:rsid w:val="00FD645B"/>
    <w:rsid w:val="00FD68D6"/>
    <w:rsid w:val="00FD75FA"/>
    <w:rsid w:val="00FD7915"/>
    <w:rsid w:val="00FE0059"/>
    <w:rsid w:val="00FE019D"/>
    <w:rsid w:val="00FE04AE"/>
    <w:rsid w:val="00FE33DD"/>
    <w:rsid w:val="00FE3657"/>
    <w:rsid w:val="00FE4BD3"/>
    <w:rsid w:val="00FE4DE7"/>
    <w:rsid w:val="00FE5578"/>
    <w:rsid w:val="00FE6BE8"/>
    <w:rsid w:val="00FE6F84"/>
    <w:rsid w:val="00FE7534"/>
    <w:rsid w:val="00FE77FE"/>
    <w:rsid w:val="00FE79C4"/>
    <w:rsid w:val="00FF06E1"/>
    <w:rsid w:val="00FF12E6"/>
    <w:rsid w:val="00FF2481"/>
    <w:rsid w:val="00FF2EEB"/>
    <w:rsid w:val="00FF3ACA"/>
    <w:rsid w:val="00FF41A5"/>
    <w:rsid w:val="00FF5A7C"/>
    <w:rsid w:val="00FF5E82"/>
    <w:rsid w:val="00FF6655"/>
    <w:rsid w:val="00FF6777"/>
    <w:rsid w:val="00FF6BC6"/>
    <w:rsid w:val="00FF75BF"/>
    <w:rsid w:val="00FF761A"/>
    <w:rsid w:val="00FF7BAB"/>
    <w:rsid w:val="015329DC"/>
    <w:rsid w:val="016A2220"/>
    <w:rsid w:val="023354BB"/>
    <w:rsid w:val="02501C0D"/>
    <w:rsid w:val="03ED3FAB"/>
    <w:rsid w:val="05432ABC"/>
    <w:rsid w:val="068E236D"/>
    <w:rsid w:val="07FEE97C"/>
    <w:rsid w:val="08313A99"/>
    <w:rsid w:val="083B4688"/>
    <w:rsid w:val="083C5370"/>
    <w:rsid w:val="09F36AC5"/>
    <w:rsid w:val="0B81156C"/>
    <w:rsid w:val="0C19397A"/>
    <w:rsid w:val="0C1E4DFC"/>
    <w:rsid w:val="0CB229A3"/>
    <w:rsid w:val="0CBF621B"/>
    <w:rsid w:val="0D4B343C"/>
    <w:rsid w:val="0D6E60B2"/>
    <w:rsid w:val="0DA57D13"/>
    <w:rsid w:val="0EBC060B"/>
    <w:rsid w:val="0EC77BCB"/>
    <w:rsid w:val="0EDA1F24"/>
    <w:rsid w:val="0F1A2610"/>
    <w:rsid w:val="0F3023A8"/>
    <w:rsid w:val="0F931306"/>
    <w:rsid w:val="10930BAF"/>
    <w:rsid w:val="10FA4B91"/>
    <w:rsid w:val="112900AD"/>
    <w:rsid w:val="12107EFE"/>
    <w:rsid w:val="121B06D8"/>
    <w:rsid w:val="12D408FD"/>
    <w:rsid w:val="135D4172"/>
    <w:rsid w:val="14D85993"/>
    <w:rsid w:val="16232614"/>
    <w:rsid w:val="1659289C"/>
    <w:rsid w:val="170A4018"/>
    <w:rsid w:val="17544068"/>
    <w:rsid w:val="17D24696"/>
    <w:rsid w:val="194A1149"/>
    <w:rsid w:val="1AF90BA5"/>
    <w:rsid w:val="1D101DA9"/>
    <w:rsid w:val="1E075230"/>
    <w:rsid w:val="1E9270A1"/>
    <w:rsid w:val="1F504EBA"/>
    <w:rsid w:val="1FB72523"/>
    <w:rsid w:val="1FDC5F69"/>
    <w:rsid w:val="20642960"/>
    <w:rsid w:val="21F81A38"/>
    <w:rsid w:val="23AF6A31"/>
    <w:rsid w:val="23FA0237"/>
    <w:rsid w:val="24481623"/>
    <w:rsid w:val="25272DD3"/>
    <w:rsid w:val="283B647F"/>
    <w:rsid w:val="2A2658E2"/>
    <w:rsid w:val="2AC22B2B"/>
    <w:rsid w:val="2AE141BD"/>
    <w:rsid w:val="2B322B23"/>
    <w:rsid w:val="2B6752A3"/>
    <w:rsid w:val="2B9F1C79"/>
    <w:rsid w:val="2C471292"/>
    <w:rsid w:val="2C5C75E7"/>
    <w:rsid w:val="2CEF40AF"/>
    <w:rsid w:val="2D342EFD"/>
    <w:rsid w:val="2D5456E8"/>
    <w:rsid w:val="2D704306"/>
    <w:rsid w:val="2E056893"/>
    <w:rsid w:val="2E3E01DD"/>
    <w:rsid w:val="2E643F95"/>
    <w:rsid w:val="2E662B89"/>
    <w:rsid w:val="2FE067F8"/>
    <w:rsid w:val="30F24AC7"/>
    <w:rsid w:val="31B7664C"/>
    <w:rsid w:val="31FC00ED"/>
    <w:rsid w:val="3335269F"/>
    <w:rsid w:val="334D5F94"/>
    <w:rsid w:val="339825BB"/>
    <w:rsid w:val="33B37DE4"/>
    <w:rsid w:val="34A44D05"/>
    <w:rsid w:val="353124E6"/>
    <w:rsid w:val="355D5F65"/>
    <w:rsid w:val="356405DF"/>
    <w:rsid w:val="36694BCC"/>
    <w:rsid w:val="37AA1F4B"/>
    <w:rsid w:val="38C87CA5"/>
    <w:rsid w:val="390D2B25"/>
    <w:rsid w:val="3A98391B"/>
    <w:rsid w:val="3B2927FD"/>
    <w:rsid w:val="3B69078B"/>
    <w:rsid w:val="3BB53E82"/>
    <w:rsid w:val="3C695A33"/>
    <w:rsid w:val="3CD4157B"/>
    <w:rsid w:val="3D0E10DA"/>
    <w:rsid w:val="3D6B29E2"/>
    <w:rsid w:val="3DEA226B"/>
    <w:rsid w:val="3E6D5B4E"/>
    <w:rsid w:val="3F9574FB"/>
    <w:rsid w:val="40E44387"/>
    <w:rsid w:val="4198609D"/>
    <w:rsid w:val="42001024"/>
    <w:rsid w:val="42AC47F5"/>
    <w:rsid w:val="431334CA"/>
    <w:rsid w:val="43495C27"/>
    <w:rsid w:val="43B91790"/>
    <w:rsid w:val="44BF5581"/>
    <w:rsid w:val="450A4C9D"/>
    <w:rsid w:val="45DC5B80"/>
    <w:rsid w:val="463C7062"/>
    <w:rsid w:val="46F521A4"/>
    <w:rsid w:val="476A7312"/>
    <w:rsid w:val="47D31FB2"/>
    <w:rsid w:val="4891402A"/>
    <w:rsid w:val="48DE44BF"/>
    <w:rsid w:val="49A1285D"/>
    <w:rsid w:val="4B5FF07F"/>
    <w:rsid w:val="4B644975"/>
    <w:rsid w:val="4D0553D3"/>
    <w:rsid w:val="4E1946E0"/>
    <w:rsid w:val="4EBC70FA"/>
    <w:rsid w:val="4F635CA6"/>
    <w:rsid w:val="515652DE"/>
    <w:rsid w:val="53466839"/>
    <w:rsid w:val="53FD2F80"/>
    <w:rsid w:val="54137FDC"/>
    <w:rsid w:val="54221FE8"/>
    <w:rsid w:val="54D14D24"/>
    <w:rsid w:val="5590470D"/>
    <w:rsid w:val="56424886"/>
    <w:rsid w:val="56A65612"/>
    <w:rsid w:val="56DD43E8"/>
    <w:rsid w:val="57081422"/>
    <w:rsid w:val="57EF6E43"/>
    <w:rsid w:val="5821668D"/>
    <w:rsid w:val="583C516F"/>
    <w:rsid w:val="58D141B4"/>
    <w:rsid w:val="59F4122B"/>
    <w:rsid w:val="5A146DF7"/>
    <w:rsid w:val="5AFE248A"/>
    <w:rsid w:val="5CDF629F"/>
    <w:rsid w:val="5E144BAE"/>
    <w:rsid w:val="5EEA4517"/>
    <w:rsid w:val="5EEB152E"/>
    <w:rsid w:val="5FEF2A8C"/>
    <w:rsid w:val="600037AF"/>
    <w:rsid w:val="605A2839"/>
    <w:rsid w:val="60764E5A"/>
    <w:rsid w:val="61B35692"/>
    <w:rsid w:val="64010633"/>
    <w:rsid w:val="640A0D8D"/>
    <w:rsid w:val="65707EA9"/>
    <w:rsid w:val="65FE792F"/>
    <w:rsid w:val="68AF6FB0"/>
    <w:rsid w:val="69597F5D"/>
    <w:rsid w:val="69954753"/>
    <w:rsid w:val="6A6048F9"/>
    <w:rsid w:val="6A717BA6"/>
    <w:rsid w:val="6ACF6A3A"/>
    <w:rsid w:val="6D0D60C0"/>
    <w:rsid w:val="6F6012F2"/>
    <w:rsid w:val="712463E1"/>
    <w:rsid w:val="716D7753"/>
    <w:rsid w:val="717D2880"/>
    <w:rsid w:val="71F61597"/>
    <w:rsid w:val="735C72C1"/>
    <w:rsid w:val="74053C2D"/>
    <w:rsid w:val="74860E10"/>
    <w:rsid w:val="749D7D92"/>
    <w:rsid w:val="76DB5176"/>
    <w:rsid w:val="76F17791"/>
    <w:rsid w:val="77273E0D"/>
    <w:rsid w:val="772C7F11"/>
    <w:rsid w:val="77FF6093"/>
    <w:rsid w:val="79410200"/>
    <w:rsid w:val="79A3028A"/>
    <w:rsid w:val="7A352F30"/>
    <w:rsid w:val="7A4571A5"/>
    <w:rsid w:val="7B885BB4"/>
    <w:rsid w:val="7BA35CB7"/>
    <w:rsid w:val="7CB6F605"/>
    <w:rsid w:val="7DE51460"/>
    <w:rsid w:val="7DFACF0D"/>
    <w:rsid w:val="7E755714"/>
    <w:rsid w:val="7F54657D"/>
    <w:rsid w:val="7F8F508E"/>
    <w:rsid w:val="7FBB94F8"/>
    <w:rsid w:val="7FE52225"/>
    <w:rsid w:val="7FFF3540"/>
    <w:rsid w:val="A7FB2D89"/>
    <w:rsid w:val="BEFB09A0"/>
    <w:rsid w:val="BF99D008"/>
    <w:rsid w:val="D8ABA045"/>
    <w:rsid w:val="E7E6B11D"/>
    <w:rsid w:val="EFBC5A84"/>
    <w:rsid w:val="F77F6A3E"/>
    <w:rsid w:val="F9FE826C"/>
    <w:rsid w:val="FBE36549"/>
    <w:rsid w:val="FE7FB4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134"/>
    <w:qFormat/>
    <w:uiPriority w:val="0"/>
    <w:pPr>
      <w:keepNext/>
      <w:outlineLvl w:val="2"/>
    </w:pPr>
    <w:rPr>
      <w:rFonts w:ascii="楷体_GB2312" w:hAnsi="宋体" w:eastAsia="楷体_GB2312"/>
      <w:b/>
      <w:bCs/>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23"/>
    <w:qFormat/>
    <w:uiPriority w:val="0"/>
    <w:pPr>
      <w:widowControl/>
      <w:ind w:firstLine="420"/>
    </w:pPr>
    <w:rPr>
      <w:rFonts w:eastAsia="仿宋_GB2312"/>
      <w:sz w:val="30"/>
      <w:szCs w:val="20"/>
    </w:rPr>
  </w:style>
  <w:style w:type="paragraph" w:styleId="7">
    <w:name w:val="toc 7"/>
    <w:basedOn w:val="1"/>
    <w:next w:val="1"/>
    <w:semiHidden/>
    <w:qFormat/>
    <w:uiPriority w:val="0"/>
    <w:pPr>
      <w:ind w:left="1260"/>
      <w:jc w:val="left"/>
    </w:pPr>
    <w:rPr>
      <w:sz w:val="18"/>
      <w:szCs w:val="18"/>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19"/>
    <w:qFormat/>
    <w:uiPriority w:val="99"/>
    <w:pPr>
      <w:jc w:val="left"/>
    </w:pPr>
  </w:style>
  <w:style w:type="paragraph" w:styleId="11">
    <w:name w:val="Salutation"/>
    <w:basedOn w:val="1"/>
    <w:next w:val="1"/>
    <w:qFormat/>
    <w:uiPriority w:val="0"/>
    <w:pPr>
      <w:widowControl/>
      <w:jc w:val="left"/>
    </w:pPr>
    <w:rPr>
      <w:kern w:val="0"/>
      <w:sz w:val="20"/>
      <w:szCs w:val="20"/>
    </w:rPr>
  </w:style>
  <w:style w:type="paragraph" w:styleId="12">
    <w:name w:val="Body Text 3"/>
    <w:basedOn w:val="1"/>
    <w:link w:val="150"/>
    <w:qFormat/>
    <w:uiPriority w:val="0"/>
    <w:pPr>
      <w:spacing w:after="120"/>
    </w:pPr>
    <w:rPr>
      <w:sz w:val="16"/>
      <w:szCs w:val="16"/>
    </w:rPr>
  </w:style>
  <w:style w:type="paragraph" w:styleId="13">
    <w:name w:val="Body Text"/>
    <w:basedOn w:val="1"/>
    <w:link w:val="121"/>
    <w:qFormat/>
    <w:uiPriority w:val="0"/>
    <w:rPr>
      <w:sz w:val="24"/>
    </w:rPr>
  </w:style>
  <w:style w:type="paragraph" w:styleId="14">
    <w:name w:val="Body Text Indent"/>
    <w:basedOn w:val="1"/>
    <w:qFormat/>
    <w:uiPriority w:val="0"/>
    <w:pPr>
      <w:ind w:firstLine="570"/>
    </w:pPr>
    <w:rPr>
      <w:rFonts w:ascii="宋体" w:hAnsi="宋体"/>
      <w:sz w:val="28"/>
      <w:szCs w:val="20"/>
    </w:rPr>
  </w:style>
  <w:style w:type="paragraph" w:styleId="15">
    <w:name w:val="toc 5"/>
    <w:basedOn w:val="1"/>
    <w:next w:val="1"/>
    <w:semiHidden/>
    <w:qFormat/>
    <w:uiPriority w:val="0"/>
    <w:pPr>
      <w:ind w:left="840"/>
      <w:jc w:val="left"/>
    </w:pPr>
    <w:rPr>
      <w:sz w:val="18"/>
      <w:szCs w:val="18"/>
    </w:rPr>
  </w:style>
  <w:style w:type="paragraph" w:styleId="16">
    <w:name w:val="toc 3"/>
    <w:basedOn w:val="1"/>
    <w:next w:val="1"/>
    <w:semiHidden/>
    <w:qFormat/>
    <w:uiPriority w:val="0"/>
    <w:pPr>
      <w:ind w:left="420"/>
      <w:jc w:val="left"/>
    </w:pPr>
    <w:rPr>
      <w:i/>
      <w:iCs/>
      <w:sz w:val="20"/>
      <w:szCs w:val="20"/>
    </w:rPr>
  </w:style>
  <w:style w:type="paragraph" w:styleId="17">
    <w:name w:val="Plain Text"/>
    <w:basedOn w:val="1"/>
    <w:link w:val="117"/>
    <w:qFormat/>
    <w:uiPriority w:val="0"/>
    <w:rPr>
      <w:rFonts w:ascii="宋体" w:hAnsi="Courier New" w:cs="Courier New"/>
      <w:szCs w:val="21"/>
    </w:rPr>
  </w:style>
  <w:style w:type="paragraph" w:styleId="18">
    <w:name w:val="toc 8"/>
    <w:basedOn w:val="1"/>
    <w:next w:val="1"/>
    <w:semiHidden/>
    <w:qFormat/>
    <w:uiPriority w:val="0"/>
    <w:pPr>
      <w:ind w:left="1470"/>
      <w:jc w:val="left"/>
    </w:pPr>
    <w:rPr>
      <w:sz w:val="18"/>
      <w:szCs w:val="18"/>
    </w:rPr>
  </w:style>
  <w:style w:type="paragraph" w:styleId="19">
    <w:name w:val="Date"/>
    <w:basedOn w:val="1"/>
    <w:next w:val="1"/>
    <w:qFormat/>
    <w:uiPriority w:val="0"/>
    <w:pPr>
      <w:ind w:left="100" w:leftChars="2500"/>
    </w:pPr>
    <w:rPr>
      <w:rFonts w:ascii="宋体" w:hAnsi="宋体"/>
      <w:b/>
      <w:bCs/>
      <w:color w:val="000000"/>
      <w:sz w:val="36"/>
    </w:rPr>
  </w:style>
  <w:style w:type="paragraph" w:styleId="20">
    <w:name w:val="Body Text Indent 2"/>
    <w:basedOn w:val="1"/>
    <w:qFormat/>
    <w:uiPriority w:val="0"/>
    <w:pPr>
      <w:spacing w:line="400" w:lineRule="exact"/>
      <w:ind w:left="631" w:leftChars="200" w:hanging="211" w:hangingChars="100"/>
    </w:pPr>
    <w:rPr>
      <w:rFonts w:ascii="黑体" w:hAnsi="宋体" w:eastAsia="黑体"/>
      <w:b/>
      <w:bCs/>
      <w:color w:val="000000"/>
    </w:rPr>
  </w:style>
  <w:style w:type="paragraph" w:styleId="21">
    <w:name w:val="Balloon Text"/>
    <w:basedOn w:val="1"/>
    <w:link w:val="114"/>
    <w:qFormat/>
    <w:uiPriority w:val="0"/>
    <w:rPr>
      <w:sz w:val="18"/>
      <w:szCs w:val="18"/>
    </w:rPr>
  </w:style>
  <w:style w:type="paragraph" w:styleId="22">
    <w:name w:val="footer"/>
    <w:basedOn w:val="1"/>
    <w:link w:val="116"/>
    <w:qFormat/>
    <w:uiPriority w:val="99"/>
    <w:pPr>
      <w:tabs>
        <w:tab w:val="center" w:pos="4153"/>
        <w:tab w:val="right" w:pos="8306"/>
      </w:tabs>
      <w:snapToGrid w:val="0"/>
      <w:jc w:val="left"/>
    </w:pPr>
    <w:rPr>
      <w:sz w:val="18"/>
      <w:szCs w:val="18"/>
    </w:rPr>
  </w:style>
  <w:style w:type="paragraph" w:styleId="23">
    <w:name w:val="header"/>
    <w:basedOn w:val="1"/>
    <w:link w:val="14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spacing w:before="120" w:after="120" w:line="400" w:lineRule="exact"/>
      <w:jc w:val="center"/>
    </w:pPr>
    <w:rPr>
      <w:rFonts w:ascii="宋体" w:hAnsi="宋体"/>
      <w:bCs/>
      <w:caps/>
      <w:color w:val="0000FF"/>
      <w:szCs w:val="21"/>
    </w:rPr>
  </w:style>
  <w:style w:type="paragraph" w:styleId="25">
    <w:name w:val="toc 4"/>
    <w:basedOn w:val="1"/>
    <w:next w:val="1"/>
    <w:semiHidden/>
    <w:qFormat/>
    <w:uiPriority w:val="0"/>
    <w:pPr>
      <w:ind w:left="630"/>
      <w:jc w:val="left"/>
    </w:pPr>
    <w:rPr>
      <w:sz w:val="18"/>
      <w:szCs w:val="18"/>
    </w:rPr>
  </w:style>
  <w:style w:type="paragraph" w:styleId="26">
    <w:name w:val="index heading"/>
    <w:basedOn w:val="1"/>
    <w:next w:val="27"/>
    <w:semiHidden/>
    <w:qFormat/>
    <w:uiPriority w:val="0"/>
    <w:rPr>
      <w:szCs w:val="20"/>
    </w:rPr>
  </w:style>
  <w:style w:type="paragraph" w:styleId="27">
    <w:name w:val="index 1"/>
    <w:basedOn w:val="1"/>
    <w:next w:val="1"/>
    <w:semiHidden/>
    <w:qFormat/>
    <w:uiPriority w:val="0"/>
  </w:style>
  <w:style w:type="paragraph" w:styleId="28">
    <w:name w:val="toc 6"/>
    <w:basedOn w:val="1"/>
    <w:next w:val="1"/>
    <w:semiHidden/>
    <w:qFormat/>
    <w:uiPriority w:val="0"/>
    <w:pPr>
      <w:ind w:left="1050"/>
      <w:jc w:val="left"/>
    </w:pPr>
    <w:rPr>
      <w:sz w:val="18"/>
      <w:szCs w:val="18"/>
    </w:rPr>
  </w:style>
  <w:style w:type="paragraph" w:styleId="29">
    <w:name w:val="Body Text Indent 3"/>
    <w:basedOn w:val="1"/>
    <w:qFormat/>
    <w:uiPriority w:val="0"/>
    <w:pPr>
      <w:spacing w:line="360" w:lineRule="auto"/>
      <w:ind w:left="1260" w:leftChars="600"/>
    </w:pPr>
    <w:rPr>
      <w:rFonts w:ascii="宋体" w:hAnsi="宋体"/>
      <w:b/>
      <w:bCs/>
      <w:sz w:val="24"/>
    </w:rPr>
  </w:style>
  <w:style w:type="paragraph" w:styleId="30">
    <w:name w:val="toc 2"/>
    <w:basedOn w:val="1"/>
    <w:next w:val="1"/>
    <w:semiHidden/>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annotation subject"/>
    <w:basedOn w:val="10"/>
    <w:next w:val="10"/>
    <w:semiHidden/>
    <w:qFormat/>
    <w:uiPriority w:val="0"/>
    <w:rPr>
      <w:b/>
      <w:bCs/>
    </w:rPr>
  </w:style>
  <w:style w:type="paragraph" w:styleId="36">
    <w:name w:val="Body Text First Indent"/>
    <w:basedOn w:val="13"/>
    <w:qFormat/>
    <w:uiPriority w:val="0"/>
    <w:pPr>
      <w:spacing w:after="120"/>
      <w:ind w:firstLine="420" w:firstLineChars="100"/>
    </w:pPr>
    <w:rPr>
      <w:sz w:val="21"/>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qFormat/>
    <w:uiPriority w:val="99"/>
    <w:rPr>
      <w:sz w:val="21"/>
      <w:szCs w:val="21"/>
    </w:rPr>
  </w:style>
  <w:style w:type="paragraph" w:customStyle="1" w:styleId="45">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
    <w:name w:val="题注5"/>
    <w:basedOn w:val="1"/>
    <w:next w:val="8"/>
    <w:qFormat/>
    <w:uiPriority w:val="0"/>
    <w:pPr>
      <w:jc w:val="center"/>
    </w:pPr>
    <w:rPr>
      <w:b/>
      <w:color w:val="000000"/>
      <w:sz w:val="24"/>
      <w:szCs w:val="21"/>
    </w:rPr>
  </w:style>
  <w:style w:type="paragraph" w:customStyle="1" w:styleId="47">
    <w:name w:val="Char Char Char"/>
    <w:basedOn w:val="1"/>
    <w:qFormat/>
    <w:uiPriority w:val="0"/>
    <w:rPr>
      <w:rFonts w:ascii="宋体" w:hAnsi="宋体"/>
      <w:b/>
      <w:sz w:val="28"/>
      <w:szCs w:val="28"/>
    </w:rPr>
  </w:style>
  <w:style w:type="paragraph" w:customStyle="1" w:styleId="4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9">
    <w:name w:val="Char Char Char Char Char Char Char"/>
    <w:basedOn w:val="1"/>
    <w:qFormat/>
    <w:uiPriority w:val="0"/>
    <w:pPr>
      <w:tabs>
        <w:tab w:val="left" w:pos="425"/>
      </w:tabs>
      <w:ind w:left="425" w:hanging="425"/>
    </w:pPr>
    <w:rPr>
      <w:rFonts w:eastAsia="仿宋_GB2312"/>
      <w:kern w:val="24"/>
      <w:sz w:val="24"/>
    </w:rPr>
  </w:style>
  <w:style w:type="paragraph" w:customStyle="1" w:styleId="50">
    <w:name w:val="正文缩进2格"/>
    <w:basedOn w:val="1"/>
    <w:link w:val="130"/>
    <w:qFormat/>
    <w:uiPriority w:val="0"/>
    <w:pPr>
      <w:spacing w:after="120" w:line="600" w:lineRule="exact"/>
      <w:ind w:firstLine="639" w:firstLineChars="206"/>
    </w:pPr>
    <w:rPr>
      <w:rFonts w:ascii="仿宋_GB2312" w:hAnsi="宋体" w:eastAsia="仿宋_GB2312"/>
      <w:sz w:val="31"/>
      <w:szCs w:val="28"/>
    </w:rPr>
  </w:style>
  <w:style w:type="paragraph" w:customStyle="1" w:styleId="5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53">
    <w:name w:val="题注4"/>
    <w:basedOn w:val="1"/>
    <w:next w:val="8"/>
    <w:qFormat/>
    <w:uiPriority w:val="0"/>
    <w:pPr>
      <w:ind w:left="-132" w:leftChars="-64" w:right="-105" w:rightChars="-50" w:hanging="2"/>
      <w:jc w:val="center"/>
    </w:pPr>
    <w:rPr>
      <w:b/>
      <w:color w:val="FF0000"/>
      <w:szCs w:val="21"/>
      <w:lang w:val="en-GB"/>
    </w:rPr>
  </w:style>
  <w:style w:type="paragraph" w:customStyle="1" w:styleId="54">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5">
    <w:name w:val="Char Char Char Char Char Char Char Char Char Char"/>
    <w:basedOn w:val="1"/>
    <w:qFormat/>
    <w:uiPriority w:val="0"/>
    <w:rPr>
      <w:rFonts w:ascii="Tahoma" w:hAnsi="Tahoma"/>
      <w:sz w:val="24"/>
      <w:szCs w:val="20"/>
    </w:rPr>
  </w:style>
  <w:style w:type="paragraph" w:customStyle="1" w:styleId="56">
    <w:name w:val="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7">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5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kern w:val="0"/>
      <w:sz w:val="20"/>
      <w:szCs w:val="20"/>
    </w:rPr>
  </w:style>
  <w:style w:type="paragraph" w:customStyle="1" w:styleId="59">
    <w:name w:val="Char Char1 Char"/>
    <w:basedOn w:val="1"/>
    <w:qFormat/>
    <w:uiPriority w:val="0"/>
    <w:rPr>
      <w:rFonts w:ascii="Tahoma" w:hAnsi="Tahoma"/>
      <w:sz w:val="24"/>
      <w:szCs w:val="20"/>
    </w:rPr>
  </w:style>
  <w:style w:type="paragraph" w:customStyle="1" w:styleId="6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1">
    <w:name w:val="Char11"/>
    <w:basedOn w:val="1"/>
    <w:qFormat/>
    <w:uiPriority w:val="0"/>
    <w:pPr>
      <w:adjustRightInd w:val="0"/>
      <w:spacing w:line="360" w:lineRule="auto"/>
    </w:pPr>
    <w:rPr>
      <w:kern w:val="0"/>
      <w:sz w:val="24"/>
      <w:szCs w:val="20"/>
    </w:rPr>
  </w:style>
  <w:style w:type="paragraph" w:customStyle="1" w:styleId="62">
    <w:name w:val="Char Char2"/>
    <w:basedOn w:val="1"/>
    <w:qFormat/>
    <w:uiPriority w:val="0"/>
    <w:rPr>
      <w:rFonts w:ascii="宋体" w:hAnsi="宋体"/>
      <w:b/>
      <w:sz w:val="28"/>
      <w:szCs w:val="28"/>
    </w:rPr>
  </w:style>
  <w:style w:type="paragraph" w:customStyle="1" w:styleId="63">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1"/>
    <w:basedOn w:val="1"/>
    <w:next w:val="17"/>
    <w:qFormat/>
    <w:uiPriority w:val="0"/>
    <w:rPr>
      <w:rFonts w:ascii="宋体" w:hAnsi="Courier New"/>
      <w:szCs w:val="20"/>
    </w:rPr>
  </w:style>
  <w:style w:type="paragraph" w:customStyle="1" w:styleId="6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67">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kern w:val="0"/>
      <w:sz w:val="20"/>
      <w:szCs w:val="20"/>
    </w:rPr>
  </w:style>
  <w:style w:type="paragraph" w:customStyle="1" w:styleId="69">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0">
    <w:name w:val="Char Char21"/>
    <w:basedOn w:val="1"/>
    <w:qFormat/>
    <w:uiPriority w:val="0"/>
    <w:rPr>
      <w:rFonts w:ascii="宋体" w:hAnsi="宋体"/>
      <w:b/>
      <w:sz w:val="28"/>
      <w:szCs w:val="28"/>
    </w:rPr>
  </w:style>
  <w:style w:type="paragraph" w:customStyle="1" w:styleId="71">
    <w:name w:val="保留正文"/>
    <w:basedOn w:val="13"/>
    <w:qFormat/>
    <w:uiPriority w:val="0"/>
    <w:pPr>
      <w:keepNext/>
      <w:spacing w:after="160"/>
    </w:pPr>
    <w:rPr>
      <w:sz w:val="21"/>
    </w:rPr>
  </w:style>
  <w:style w:type="paragraph" w:customStyle="1" w:styleId="72">
    <w:name w:val="正文 + 宋体"/>
    <w:basedOn w:val="1"/>
    <w:qFormat/>
    <w:uiPriority w:val="0"/>
    <w:pPr>
      <w:snapToGrid w:val="0"/>
      <w:spacing w:line="360" w:lineRule="auto"/>
      <w:ind w:left="630" w:leftChars="100" w:hanging="420" w:hangingChars="200"/>
    </w:pPr>
    <w:rPr>
      <w:rFonts w:ascii="宋体" w:hAnsi="宋体"/>
      <w:color w:val="000000"/>
    </w:rPr>
  </w:style>
  <w:style w:type="paragraph" w:customStyle="1" w:styleId="73">
    <w:name w:val="默认段落字体 Para Char"/>
    <w:basedOn w:val="1"/>
    <w:qFormat/>
    <w:uiPriority w:val="0"/>
    <w:rPr>
      <w:rFonts w:ascii="宋体" w:hAnsi="宋体"/>
      <w:b/>
      <w:sz w:val="28"/>
      <w:szCs w:val="28"/>
    </w:rPr>
  </w:style>
  <w:style w:type="paragraph" w:customStyle="1" w:styleId="74">
    <w:name w:val="List Paragraph1"/>
    <w:basedOn w:val="1"/>
    <w:qFormat/>
    <w:uiPriority w:val="0"/>
    <w:pPr>
      <w:ind w:firstLine="420" w:firstLineChars="200"/>
    </w:pPr>
    <w:rPr>
      <w:rFonts w:ascii="Calibri" w:hAnsi="Calibri"/>
      <w:szCs w:val="22"/>
    </w:rPr>
  </w:style>
  <w:style w:type="paragraph" w:customStyle="1" w:styleId="7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 Char Char Char1"/>
    <w:basedOn w:val="1"/>
    <w:qFormat/>
    <w:uiPriority w:val="0"/>
    <w:pPr>
      <w:tabs>
        <w:tab w:val="left" w:pos="425"/>
      </w:tabs>
      <w:ind w:left="425" w:hanging="425"/>
    </w:pPr>
    <w:rPr>
      <w:rFonts w:eastAsia="仿宋_GB2312"/>
      <w:kern w:val="24"/>
      <w:sz w:val="24"/>
    </w:rPr>
  </w:style>
  <w:style w:type="paragraph" w:customStyle="1" w:styleId="77">
    <w:name w:val="列出段落1"/>
    <w:basedOn w:val="1"/>
    <w:qFormat/>
    <w:uiPriority w:val="34"/>
    <w:pPr>
      <w:ind w:firstLine="420" w:firstLineChars="200"/>
    </w:pPr>
    <w:rPr>
      <w:rFonts w:ascii="Calibri" w:hAnsi="Calibri"/>
      <w:szCs w:val="22"/>
    </w:rPr>
  </w:style>
  <w:style w:type="paragraph" w:customStyle="1" w:styleId="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79">
    <w:name w:val="列出段落2"/>
    <w:basedOn w:val="1"/>
    <w:qFormat/>
    <w:uiPriority w:val="0"/>
    <w:pPr>
      <w:ind w:firstLine="420" w:firstLineChars="200"/>
    </w:pPr>
    <w:rPr>
      <w:rFonts w:ascii="Calibri" w:hAnsi="Calibri"/>
      <w:szCs w:val="22"/>
    </w:rPr>
  </w:style>
  <w:style w:type="paragraph" w:customStyle="1" w:styleId="80">
    <w:name w:val="Char Char2 Char"/>
    <w:basedOn w:val="1"/>
    <w:qFormat/>
    <w:uiPriority w:val="0"/>
    <w:rPr>
      <w:rFonts w:ascii="宋体" w:hAnsi="宋体"/>
      <w:b/>
      <w:sz w:val="28"/>
      <w:szCs w:val="28"/>
    </w:rPr>
  </w:style>
  <w:style w:type="paragraph" w:customStyle="1" w:styleId="81">
    <w:name w:val="p0"/>
    <w:basedOn w:val="1"/>
    <w:qFormat/>
    <w:uiPriority w:val="0"/>
    <w:pPr>
      <w:widowControl/>
    </w:pPr>
    <w:rPr>
      <w:kern w:val="0"/>
      <w:szCs w:val="21"/>
    </w:rPr>
  </w:style>
  <w:style w:type="paragraph" w:customStyle="1" w:styleId="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83">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Char Char2 Char1"/>
    <w:basedOn w:val="1"/>
    <w:qFormat/>
    <w:uiPriority w:val="0"/>
    <w:rPr>
      <w:rFonts w:ascii="宋体" w:hAnsi="宋体"/>
      <w:b/>
      <w:sz w:val="28"/>
      <w:szCs w:val="28"/>
    </w:rPr>
  </w:style>
  <w:style w:type="paragraph" w:customStyle="1" w:styleId="85">
    <w:name w:val="_Style 84"/>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表格"/>
    <w:basedOn w:val="1"/>
    <w:qFormat/>
    <w:uiPriority w:val="0"/>
    <w:pPr>
      <w:spacing w:line="420" w:lineRule="exact"/>
      <w:ind w:left="84" w:leftChars="40"/>
      <w:jc w:val="center"/>
    </w:pPr>
    <w:rPr>
      <w:rFonts w:ascii="宋体" w:hAnsi="宋体"/>
      <w:bCs/>
      <w:spacing w:val="-12"/>
    </w:rPr>
  </w:style>
  <w:style w:type="paragraph" w:customStyle="1" w:styleId="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8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89">
    <w:name w:val="Char Char2 Char Char"/>
    <w:basedOn w:val="1"/>
    <w:qFormat/>
    <w:uiPriority w:val="0"/>
    <w:pPr>
      <w:widowControl/>
      <w:spacing w:after="160" w:line="240" w:lineRule="exact"/>
      <w:jc w:val="left"/>
    </w:pPr>
  </w:style>
  <w:style w:type="paragraph" w:customStyle="1" w:styleId="90">
    <w:name w:val="Char Char2 Char Char1"/>
    <w:basedOn w:val="1"/>
    <w:qFormat/>
    <w:uiPriority w:val="0"/>
    <w:pPr>
      <w:widowControl/>
      <w:spacing w:after="160" w:line="240" w:lineRule="exact"/>
      <w:jc w:val="left"/>
    </w:pPr>
  </w:style>
  <w:style w:type="paragraph" w:customStyle="1" w:styleId="91">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默认段落字体 Para Char Char Char Char"/>
    <w:basedOn w:val="1"/>
    <w:qFormat/>
    <w:uiPriority w:val="0"/>
  </w:style>
  <w:style w:type="paragraph" w:customStyle="1" w:styleId="9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kern w:val="0"/>
      <w:sz w:val="20"/>
      <w:szCs w:val="20"/>
    </w:rPr>
  </w:style>
  <w:style w:type="paragraph" w:customStyle="1" w:styleId="95">
    <w:name w:val="样式3"/>
    <w:basedOn w:val="17"/>
    <w:qFormat/>
    <w:uiPriority w:val="0"/>
    <w:pPr>
      <w:spacing w:line="0" w:lineRule="atLeast"/>
      <w:outlineLvl w:val="0"/>
    </w:pPr>
    <w:rPr>
      <w:rFonts w:cs="Times New Roman"/>
      <w:sz w:val="28"/>
      <w:szCs w:val="20"/>
    </w:rPr>
  </w:style>
  <w:style w:type="paragraph" w:customStyle="1" w:styleId="96">
    <w:name w:val="Char Char1 Char1"/>
    <w:basedOn w:val="1"/>
    <w:qFormat/>
    <w:uiPriority w:val="0"/>
    <w:rPr>
      <w:rFonts w:ascii="Tahoma" w:hAnsi="Tahoma"/>
      <w:sz w:val="24"/>
      <w:szCs w:val="20"/>
    </w:rPr>
  </w:style>
  <w:style w:type="paragraph" w:customStyle="1" w:styleId="97">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8">
    <w:name w:val="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99">
    <w:name w:val="办公自动化专用标题"/>
    <w:basedOn w:val="34"/>
    <w:qFormat/>
    <w:uiPriority w:val="0"/>
    <w:pPr>
      <w:spacing w:line="560" w:lineRule="atLeast"/>
    </w:pPr>
    <w:rPr>
      <w:rFonts w:ascii="宋体" w:cs="Times New Roman"/>
      <w:bCs w:val="0"/>
      <w:sz w:val="44"/>
      <w:szCs w:val="20"/>
    </w:rPr>
  </w:style>
  <w:style w:type="paragraph" w:customStyle="1" w:styleId="100">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1"/>
    <w:basedOn w:val="1"/>
    <w:qFormat/>
    <w:uiPriority w:val="0"/>
    <w:rPr>
      <w:rFonts w:ascii="宋体" w:hAnsi="宋体"/>
      <w:b/>
      <w:sz w:val="28"/>
      <w:szCs w:val="28"/>
    </w:rPr>
  </w:style>
  <w:style w:type="paragraph" w:customStyle="1" w:styleId="102">
    <w:name w:val="表格文字"/>
    <w:basedOn w:val="1"/>
    <w:qFormat/>
    <w:uiPriority w:val="0"/>
    <w:pPr>
      <w:spacing w:before="25" w:after="25"/>
      <w:jc w:val="left"/>
    </w:pPr>
    <w:rPr>
      <w:bCs/>
      <w:spacing w:val="10"/>
      <w:kern w:val="0"/>
      <w:sz w:val="24"/>
      <w:szCs w:val="20"/>
    </w:rPr>
  </w:style>
  <w:style w:type="paragraph" w:customStyle="1" w:styleId="10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105">
    <w:name w:val="Char1"/>
    <w:basedOn w:val="1"/>
    <w:qFormat/>
    <w:uiPriority w:val="0"/>
    <w:pPr>
      <w:widowControl/>
      <w:spacing w:line="400" w:lineRule="exact"/>
      <w:jc w:val="center"/>
    </w:pPr>
    <w:rPr>
      <w:rFonts w:ascii="Verdana" w:hAnsi="Verdana"/>
      <w:kern w:val="0"/>
      <w:szCs w:val="20"/>
      <w:lang w:eastAsia="en-US"/>
    </w:rPr>
  </w:style>
  <w:style w:type="paragraph" w:customStyle="1" w:styleId="106">
    <w:name w:val="Char12"/>
    <w:basedOn w:val="1"/>
    <w:qFormat/>
    <w:uiPriority w:val="0"/>
    <w:pPr>
      <w:widowControl/>
      <w:spacing w:line="400" w:lineRule="exact"/>
      <w:jc w:val="center"/>
    </w:pPr>
    <w:rPr>
      <w:rFonts w:ascii="Verdana" w:hAnsi="Verdana"/>
      <w:kern w:val="0"/>
      <w:szCs w:val="20"/>
      <w:lang w:eastAsia="en-US"/>
    </w:rPr>
  </w:style>
  <w:style w:type="paragraph" w:styleId="107">
    <w:name w:val="List Paragraph"/>
    <w:basedOn w:val="1"/>
    <w:qFormat/>
    <w:uiPriority w:val="34"/>
    <w:pPr>
      <w:widowControl/>
      <w:ind w:firstLine="420" w:firstLineChars="200"/>
      <w:jc w:val="left"/>
    </w:pPr>
    <w:rPr>
      <w:kern w:val="0"/>
      <w:sz w:val="20"/>
      <w:szCs w:val="20"/>
    </w:rPr>
  </w:style>
  <w:style w:type="paragraph" w:customStyle="1" w:styleId="10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9">
    <w:name w:val="Char Char Char Char Char Char Char Char Char1"/>
    <w:basedOn w:val="1"/>
    <w:qFormat/>
    <w:uiPriority w:val="0"/>
    <w:pPr>
      <w:widowControl/>
      <w:spacing w:line="400" w:lineRule="exact"/>
      <w:jc w:val="center"/>
    </w:pPr>
    <w:rPr>
      <w:rFonts w:ascii="Verdana" w:hAnsi="Verdana"/>
      <w:kern w:val="0"/>
      <w:szCs w:val="20"/>
      <w:lang w:eastAsia="en-US"/>
    </w:rPr>
  </w:style>
  <w:style w:type="character" w:customStyle="1" w:styleId="110">
    <w:name w:val="style11"/>
    <w:qFormat/>
    <w:uiPriority w:val="0"/>
    <w:rPr>
      <w:rFonts w:hint="default" w:ascii="Arial" w:hAnsi="Arial" w:cs="Arial"/>
    </w:rPr>
  </w:style>
  <w:style w:type="character" w:customStyle="1" w:styleId="111">
    <w:name w:val="ca-2"/>
    <w:basedOn w:val="39"/>
    <w:qFormat/>
    <w:uiPriority w:val="0"/>
  </w:style>
  <w:style w:type="character" w:customStyle="1" w:styleId="112">
    <w:name w:val="ca-6"/>
    <w:basedOn w:val="39"/>
    <w:qFormat/>
    <w:uiPriority w:val="0"/>
  </w:style>
  <w:style w:type="character" w:customStyle="1" w:styleId="113">
    <w:name w:val="b-121"/>
    <w:qFormat/>
    <w:uiPriority w:val="0"/>
    <w:rPr>
      <w:rFonts w:hint="default" w:ascii="_x000B__x000C_" w:hAnsi="_x000B__x000C_"/>
      <w:sz w:val="18"/>
      <w:szCs w:val="18"/>
      <w:u w:val="none"/>
    </w:rPr>
  </w:style>
  <w:style w:type="character" w:customStyle="1" w:styleId="114">
    <w:name w:val="批注框文本 字符"/>
    <w:link w:val="21"/>
    <w:qFormat/>
    <w:uiPriority w:val="0"/>
    <w:rPr>
      <w:kern w:val="2"/>
      <w:sz w:val="18"/>
      <w:szCs w:val="18"/>
    </w:rPr>
  </w:style>
  <w:style w:type="character" w:customStyle="1" w:styleId="115">
    <w:name w:val="apple-converted-space"/>
    <w:basedOn w:val="39"/>
    <w:qFormat/>
    <w:uiPriority w:val="0"/>
  </w:style>
  <w:style w:type="character" w:customStyle="1" w:styleId="116">
    <w:name w:val="页脚 字符"/>
    <w:link w:val="22"/>
    <w:qFormat/>
    <w:uiPriority w:val="99"/>
    <w:rPr>
      <w:rFonts w:eastAsia="宋体"/>
      <w:kern w:val="2"/>
      <w:sz w:val="18"/>
      <w:szCs w:val="18"/>
      <w:lang w:val="en-US" w:eastAsia="zh-CN" w:bidi="ar-SA"/>
    </w:rPr>
  </w:style>
  <w:style w:type="character" w:customStyle="1" w:styleId="117">
    <w:name w:val="纯文本 字符"/>
    <w:link w:val="17"/>
    <w:qFormat/>
    <w:uiPriority w:val="0"/>
    <w:rPr>
      <w:rFonts w:ascii="宋体" w:hAnsi="Courier New" w:eastAsia="宋体" w:cs="Courier New"/>
      <w:kern w:val="2"/>
      <w:sz w:val="21"/>
      <w:szCs w:val="21"/>
      <w:lang w:val="en-US" w:eastAsia="zh-CN" w:bidi="ar-SA"/>
    </w:rPr>
  </w:style>
  <w:style w:type="character" w:customStyle="1" w:styleId="118">
    <w:name w:val="普通文字 Char1"/>
    <w:qFormat/>
    <w:uiPriority w:val="0"/>
    <w:rPr>
      <w:rFonts w:ascii="宋体" w:hAnsi="Courier New" w:eastAsia="宋体"/>
      <w:kern w:val="2"/>
      <w:sz w:val="21"/>
      <w:lang w:val="en-US" w:eastAsia="zh-CN" w:bidi="ar-SA"/>
    </w:rPr>
  </w:style>
  <w:style w:type="character" w:customStyle="1" w:styleId="119">
    <w:name w:val="批注文字 字符"/>
    <w:link w:val="10"/>
    <w:qFormat/>
    <w:uiPriority w:val="99"/>
    <w:rPr>
      <w:kern w:val="2"/>
      <w:sz w:val="21"/>
      <w:szCs w:val="24"/>
    </w:rPr>
  </w:style>
  <w:style w:type="character" w:customStyle="1" w:styleId="120">
    <w:name w:val="Char Char3"/>
    <w:qFormat/>
    <w:uiPriority w:val="0"/>
    <w:rPr>
      <w:rFonts w:eastAsia="宋体"/>
      <w:kern w:val="2"/>
      <w:sz w:val="18"/>
      <w:szCs w:val="18"/>
      <w:lang w:val="en-US" w:eastAsia="zh-CN" w:bidi="ar-SA"/>
    </w:rPr>
  </w:style>
  <w:style w:type="character" w:customStyle="1" w:styleId="121">
    <w:name w:val="正文文本 字符"/>
    <w:link w:val="13"/>
    <w:qFormat/>
    <w:uiPriority w:val="0"/>
    <w:rPr>
      <w:kern w:val="2"/>
      <w:sz w:val="24"/>
      <w:szCs w:val="24"/>
    </w:rPr>
  </w:style>
  <w:style w:type="character" w:customStyle="1" w:styleId="122">
    <w:name w:val="ca-3"/>
    <w:basedOn w:val="39"/>
    <w:qFormat/>
    <w:uiPriority w:val="0"/>
  </w:style>
  <w:style w:type="character" w:customStyle="1" w:styleId="123">
    <w:name w:val="正文缩进 字符"/>
    <w:link w:val="5"/>
    <w:qFormat/>
    <w:uiPriority w:val="0"/>
    <w:rPr>
      <w:rFonts w:eastAsia="仿宋_GB2312"/>
      <w:kern w:val="2"/>
      <w:sz w:val="30"/>
      <w:lang w:val="en-US" w:eastAsia="zh-CN" w:bidi="ar-SA"/>
    </w:rPr>
  </w:style>
  <w:style w:type="character" w:customStyle="1" w:styleId="124">
    <w:name w:val="标题 2 Char"/>
    <w:qFormat/>
    <w:uiPriority w:val="0"/>
    <w:rPr>
      <w:rFonts w:ascii="Arial" w:hAnsi="Arial" w:eastAsia="黑体"/>
      <w:b/>
      <w:bCs/>
      <w:kern w:val="2"/>
      <w:sz w:val="32"/>
      <w:szCs w:val="32"/>
      <w:lang w:val="en-US" w:eastAsia="zh-CN" w:bidi="ar-SA"/>
    </w:rPr>
  </w:style>
  <w:style w:type="character" w:customStyle="1" w:styleId="125">
    <w:name w:val="kleintab1"/>
    <w:qFormat/>
    <w:uiPriority w:val="0"/>
    <w:rPr>
      <w:color w:val="999999"/>
      <w:sz w:val="9"/>
      <w:szCs w:val="9"/>
    </w:rPr>
  </w:style>
  <w:style w:type="character" w:customStyle="1" w:styleId="126">
    <w:name w:val="ca-1"/>
    <w:basedOn w:val="39"/>
    <w:qFormat/>
    <w:uiPriority w:val="0"/>
  </w:style>
  <w:style w:type="character" w:customStyle="1" w:styleId="127">
    <w:name w:val="14"/>
    <w:basedOn w:val="39"/>
    <w:qFormat/>
    <w:uiPriority w:val="0"/>
  </w:style>
  <w:style w:type="character" w:customStyle="1" w:styleId="128">
    <w:name w:val="表正文 Char"/>
    <w:qFormat/>
    <w:uiPriority w:val="0"/>
    <w:rPr>
      <w:rFonts w:eastAsia="仿宋_GB2312"/>
      <w:kern w:val="2"/>
      <w:sz w:val="30"/>
      <w:lang w:val="en-US" w:eastAsia="zh-CN" w:bidi="ar-SA"/>
    </w:rPr>
  </w:style>
  <w:style w:type="character" w:customStyle="1" w:styleId="129">
    <w:name w:val="ca-0"/>
    <w:basedOn w:val="39"/>
    <w:qFormat/>
    <w:uiPriority w:val="0"/>
  </w:style>
  <w:style w:type="character" w:customStyle="1" w:styleId="130">
    <w:name w:val="正文缩进2格 Char"/>
    <w:link w:val="50"/>
    <w:qFormat/>
    <w:uiPriority w:val="0"/>
    <w:rPr>
      <w:rFonts w:ascii="仿宋_GB2312" w:hAnsi="宋体" w:eastAsia="仿宋_GB2312"/>
      <w:kern w:val="2"/>
      <w:sz w:val="31"/>
      <w:szCs w:val="28"/>
    </w:rPr>
  </w:style>
  <w:style w:type="character" w:customStyle="1" w:styleId="131">
    <w:name w:val="ca-9"/>
    <w:basedOn w:val="39"/>
    <w:qFormat/>
    <w:uiPriority w:val="0"/>
  </w:style>
  <w:style w:type="character" w:customStyle="1" w:styleId="132">
    <w:name w:val="ca-5"/>
    <w:basedOn w:val="39"/>
    <w:qFormat/>
    <w:uiPriority w:val="0"/>
  </w:style>
  <w:style w:type="character" w:customStyle="1" w:styleId="133">
    <w:name w:val="ca-10"/>
    <w:basedOn w:val="39"/>
    <w:qFormat/>
    <w:uiPriority w:val="0"/>
  </w:style>
  <w:style w:type="character" w:customStyle="1" w:styleId="134">
    <w:name w:val="标题 3 字符"/>
    <w:link w:val="4"/>
    <w:qFormat/>
    <w:uiPriority w:val="0"/>
    <w:rPr>
      <w:rFonts w:ascii="楷体_GB2312" w:hAnsi="宋体" w:eastAsia="楷体_GB2312"/>
      <w:b/>
      <w:bCs/>
      <w:kern w:val="2"/>
      <w:sz w:val="32"/>
      <w:szCs w:val="24"/>
      <w:lang w:val="en-US" w:eastAsia="zh-CN" w:bidi="ar-SA"/>
    </w:rPr>
  </w:style>
  <w:style w:type="character" w:customStyle="1" w:styleId="135">
    <w:name w:val="p141"/>
    <w:qFormat/>
    <w:uiPriority w:val="0"/>
    <w:rPr>
      <w:sz w:val="21"/>
      <w:szCs w:val="21"/>
    </w:rPr>
  </w:style>
  <w:style w:type="character" w:customStyle="1" w:styleId="136">
    <w:name w:val="fontstyle01"/>
    <w:qFormat/>
    <w:uiPriority w:val="0"/>
    <w:rPr>
      <w:rFonts w:hint="eastAsia" w:ascii="宋体" w:hAnsi="宋体" w:eastAsia="宋体"/>
      <w:color w:val="000000"/>
      <w:sz w:val="24"/>
      <w:szCs w:val="24"/>
    </w:rPr>
  </w:style>
  <w:style w:type="character" w:customStyle="1" w:styleId="137">
    <w:name w:val="Char Char31"/>
    <w:qFormat/>
    <w:uiPriority w:val="0"/>
    <w:rPr>
      <w:rFonts w:eastAsia="宋体"/>
      <w:kern w:val="2"/>
      <w:sz w:val="18"/>
      <w:szCs w:val="18"/>
      <w:lang w:val="en-US" w:eastAsia="zh-CN" w:bidi="ar-SA"/>
    </w:rPr>
  </w:style>
  <w:style w:type="character" w:customStyle="1" w:styleId="138">
    <w:name w:val="ca-7"/>
    <w:basedOn w:val="39"/>
    <w:qFormat/>
    <w:uiPriority w:val="0"/>
  </w:style>
  <w:style w:type="paragraph" w:customStyle="1" w:styleId="1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ca-12"/>
    <w:qFormat/>
    <w:uiPriority w:val="99"/>
    <w:rPr>
      <w:rFonts w:eastAsia="宋体" w:cs="Times New Roman"/>
      <w:kern w:val="2"/>
      <w:sz w:val="24"/>
      <w:szCs w:val="24"/>
      <w:lang w:val="en-US" w:eastAsia="zh-CN" w:bidi="ar-SA"/>
    </w:rPr>
  </w:style>
  <w:style w:type="paragraph" w:customStyle="1" w:styleId="14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3">
    <w:name w:val="页眉 字符"/>
    <w:basedOn w:val="39"/>
    <w:link w:val="23"/>
    <w:qFormat/>
    <w:uiPriority w:val="99"/>
    <w:rPr>
      <w:kern w:val="2"/>
      <w:sz w:val="18"/>
      <w:szCs w:val="18"/>
    </w:rPr>
  </w:style>
  <w:style w:type="character" w:customStyle="1" w:styleId="144">
    <w:name w:val="纯文本 Char1"/>
    <w:qFormat/>
    <w:uiPriority w:val="0"/>
    <w:rPr>
      <w:rFonts w:ascii="宋体" w:hAnsi="Courier New"/>
      <w:kern w:val="2"/>
      <w:sz w:val="21"/>
      <w:szCs w:val="21"/>
      <w:lang w:val="zh-CN" w:eastAsia="zh-CN"/>
    </w:rPr>
  </w:style>
  <w:style w:type="paragraph" w:customStyle="1" w:styleId="145">
    <w:name w:val="样式1"/>
    <w:basedOn w:val="1"/>
    <w:link w:val="146"/>
    <w:qFormat/>
    <w:uiPriority w:val="0"/>
    <w:pPr>
      <w:numPr>
        <w:ilvl w:val="0"/>
        <w:numId w:val="1"/>
      </w:numPr>
      <w:spacing w:line="312" w:lineRule="auto"/>
      <w:jc w:val="center"/>
      <w:outlineLvl w:val="0"/>
    </w:pPr>
    <w:rPr>
      <w:rFonts w:asciiTheme="minorEastAsia" w:hAnsiTheme="minorEastAsia" w:eastAsiaTheme="minorEastAsia"/>
      <w:b/>
      <w:sz w:val="32"/>
    </w:rPr>
  </w:style>
  <w:style w:type="character" w:customStyle="1" w:styleId="146">
    <w:name w:val="样式1 字符"/>
    <w:basedOn w:val="39"/>
    <w:link w:val="145"/>
    <w:qFormat/>
    <w:uiPriority w:val="0"/>
    <w:rPr>
      <w:rFonts w:asciiTheme="minorEastAsia" w:hAnsiTheme="minorEastAsia" w:eastAsiaTheme="minorEastAsia"/>
      <w:b/>
      <w:kern w:val="2"/>
      <w:sz w:val="32"/>
      <w:szCs w:val="24"/>
    </w:rPr>
  </w:style>
  <w:style w:type="character" w:customStyle="1" w:styleId="147">
    <w:name w:val="15"/>
    <w:basedOn w:val="39"/>
    <w:qFormat/>
    <w:uiPriority w:val="0"/>
    <w:rPr>
      <w:rFonts w:hint="default" w:ascii="Calibri" w:hAnsi="Calibri" w:eastAsia="宋体" w:cs="Calibri"/>
      <w:kern w:val="2"/>
      <w:sz w:val="24"/>
      <w:szCs w:val="24"/>
    </w:rPr>
  </w:style>
  <w:style w:type="paragraph" w:customStyle="1" w:styleId="14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50">
    <w:name w:val="正文文本 3 字符"/>
    <w:basedOn w:val="39"/>
    <w:link w:val="12"/>
    <w:qFormat/>
    <w:uiPriority w:val="0"/>
    <w:rPr>
      <w:kern w:val="2"/>
      <w:sz w:val="16"/>
      <w:szCs w:val="16"/>
    </w:rPr>
  </w:style>
  <w:style w:type="paragraph" w:customStyle="1" w:styleId="15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列出段落3"/>
    <w:basedOn w:val="1"/>
    <w:qFormat/>
    <w:uiPriority w:val="0"/>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4A55C1F-2828-4CC2-90B9-B2CE1ECAFAC4}">
  <ds:schemaRefs/>
</ds:datastoreItem>
</file>

<file path=docProps/app.xml><?xml version="1.0" encoding="utf-8"?>
<Properties xmlns="http://schemas.openxmlformats.org/officeDocument/2006/extended-properties" xmlns:vt="http://schemas.openxmlformats.org/officeDocument/2006/docPropsVTypes">
  <Company>Microsoft China</Company>
  <Pages>34</Pages>
  <Words>3007</Words>
  <Characters>3452</Characters>
  <Lines>1</Lines>
  <Paragraphs>1</Paragraphs>
  <TotalTime>7</TotalTime>
  <ScaleCrop>false</ScaleCrop>
  <LinksUpToDate>false</LinksUpToDate>
  <CharactersWithSpaces>3478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2025-07-05T23:09:00Z</dcterms:created>
  <dc:creator>USER</dc:creator>
  <cp:lastModifiedBy>黄国平</cp:lastModifiedBy>
  <cp:lastPrinted>2020-08-11T14:49:00Z</cp:lastPrinted>
  <dcterms:modified xsi:type="dcterms:W3CDTF">2025-07-25T06:53:16Z</dcterms:modified>
  <dc:title>委托单位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eyJoZGlkIjoiN2QyMjg0YTNhZDkxMDgwOTIwODRhOTU0MjcxYTk4OGQiLCJ1c2VySWQiOiI0MDQ0MjcwMjMifQ==</vt:lpwstr>
  </property>
  <property fmtid="{D5CDD505-2E9C-101B-9397-08002B2CF9AE}" pid="4" name="ICV">
    <vt:lpwstr>A1E7EBD0907B4F8E9CD4B79521E2BF41_13</vt:lpwstr>
  </property>
</Properties>
</file>