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bCs/>
          <w:color w:val="000000" w:themeColor="text1"/>
          <w:sz w:val="84"/>
          <w:szCs w:val="84"/>
          <w14:textFill>
            <w14:solidFill>
              <w14:schemeClr w14:val="tx1"/>
            </w14:solidFill>
          </w14:textFill>
        </w:rPr>
      </w:pPr>
      <w:r>
        <w:rPr>
          <w:rFonts w:hint="eastAsia" w:ascii="宋体" w:hAnsi="宋体" w:eastAsia="宋体" w:cs="宋体"/>
          <w:b/>
          <w:color w:val="000000" w:themeColor="text1"/>
          <w:sz w:val="84"/>
          <w:szCs w:val="84"/>
          <w14:textFill>
            <w14:solidFill>
              <w14:schemeClr w14:val="tx1"/>
            </w14:solidFill>
          </w14:textFill>
        </w:rPr>
        <w:t>竞价文件</w:t>
      </w:r>
    </w:p>
    <w:p>
      <w:pPr>
        <w:spacing w:line="360" w:lineRule="auto"/>
        <w:jc w:val="center"/>
        <w:rPr>
          <w:rFonts w:ascii="宋体" w:hAnsi="宋体" w:eastAsia="宋体" w:cs="宋体"/>
          <w:b/>
          <w:bCs/>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jc w:val="left"/>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采购方式：线上竞价</w:t>
      </w:r>
    </w:p>
    <w:p>
      <w:pPr>
        <w:spacing w:line="360" w:lineRule="auto"/>
        <w:jc w:val="left"/>
        <w:rPr>
          <w:rFonts w:hint="eastAsia" w:ascii="宋体" w:hAnsi="宋体" w:eastAsia="宋体" w:cs="宋体"/>
          <w:b/>
          <w:bCs/>
          <w:color w:val="000000" w:themeColor="text1"/>
          <w:sz w:val="28"/>
          <w:szCs w:val="32"/>
          <w:lang w:eastAsia="zh-CN"/>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项目名称：</w:t>
      </w:r>
      <w:r>
        <w:rPr>
          <w:rFonts w:hint="eastAsia" w:ascii="宋体" w:hAnsi="宋体" w:eastAsia="宋体" w:cs="宋体"/>
          <w:b/>
          <w:bCs/>
          <w:color w:val="000000" w:themeColor="text1"/>
          <w:sz w:val="28"/>
          <w:szCs w:val="32"/>
          <w:u w:val="single"/>
          <w:lang w:eastAsia="zh-CN"/>
          <w14:textFill>
            <w14:solidFill>
              <w14:schemeClr w14:val="tx1"/>
            </w14:solidFill>
          </w14:textFill>
        </w:rPr>
        <w:t>肇庆市鼎湖区桂城街道社区卫生服务中心毛巾采购项目</w:t>
      </w:r>
    </w:p>
    <w:p>
      <w:pPr>
        <w:snapToGrid w:val="0"/>
        <w:spacing w:before="156" w:beforeLines="50" w:after="156" w:afterLines="50" w:line="360" w:lineRule="auto"/>
        <w:jc w:val="center"/>
        <w:rPr>
          <w:rFonts w:ascii="宋体" w:hAnsi="宋体" w:eastAsia="宋体" w:cs="宋体"/>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肇庆市鼎湖区桂城街道社区卫生服务中心</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云采链（广州）信息科技有限公司</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二〇二四年</w:t>
      </w:r>
      <w:r>
        <w:rPr>
          <w:rFonts w:hint="eastAsia" w:ascii="宋体" w:hAnsi="宋体" w:eastAsia="宋体" w:cs="宋体"/>
          <w:b/>
          <w:color w:val="000000" w:themeColor="text1"/>
          <w:sz w:val="28"/>
          <w:lang w:val="en-US" w:eastAsia="zh-CN"/>
          <w14:textFill>
            <w14:solidFill>
              <w14:schemeClr w14:val="tx1"/>
            </w14:solidFill>
          </w14:textFill>
        </w:rPr>
        <w:t>四</w:t>
      </w:r>
      <w:r>
        <w:rPr>
          <w:rFonts w:hint="eastAsia" w:ascii="宋体" w:hAnsi="宋体" w:eastAsia="宋体" w:cs="宋体"/>
          <w:b/>
          <w:color w:val="000000" w:themeColor="text1"/>
          <w:sz w:val="28"/>
          <w14:textFill>
            <w14:solidFill>
              <w14:schemeClr w14:val="tx1"/>
            </w14:solidFill>
          </w14:textFill>
        </w:rPr>
        <w:t>月</w:t>
      </w:r>
    </w:p>
    <w:p>
      <w:pPr>
        <w:widowControl/>
        <w:jc w:val="left"/>
        <w:rPr>
          <w:rFonts w:ascii="宋体" w:hAnsi="宋体" w:eastAsia="宋体" w:cs="宋体"/>
          <w:color w:val="000000" w:themeColor="text1"/>
          <w:sz w:val="28"/>
          <w14:textFill>
            <w14:solidFill>
              <w14:schemeClr w14:val="tx1"/>
            </w14:solidFill>
          </w14:textFill>
        </w:rPr>
      </w:pPr>
      <w:r>
        <w:rPr>
          <w:rFonts w:ascii="宋体" w:hAnsi="宋体" w:eastAsia="宋体" w:cs="宋体"/>
          <w:color w:val="000000" w:themeColor="text1"/>
          <w:sz w:val="28"/>
          <w14:textFill>
            <w14:solidFill>
              <w14:schemeClr w14:val="tx1"/>
            </w14:solidFill>
          </w14:textFill>
        </w:rPr>
        <w:br w:type="page"/>
      </w:r>
    </w:p>
    <w:p>
      <w:pPr>
        <w:pStyle w:val="19"/>
        <w:spacing w:before="0" w:after="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第一章 竞价须知</w:t>
      </w:r>
    </w:p>
    <w:p>
      <w:pPr>
        <w:pStyle w:val="30"/>
        <w:numPr>
          <w:ilvl w:val="0"/>
          <w:numId w:val="2"/>
        </w:numPr>
        <w:spacing w:line="360" w:lineRule="auto"/>
        <w:ind w:firstLineChars="0"/>
        <w:rPr>
          <w:rStyle w:val="26"/>
          <w:rFonts w:ascii="宋体" w:hAnsi="宋体" w:eastAsia="宋体" w:cs="宋体"/>
          <w:b w:val="0"/>
          <w:bCs w:val="0"/>
          <w:color w:val="000000" w:themeColor="text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本项目采用邀请供应商竞价的方式进行竞价采购，不接受邀请名单之外的供应商参与竞价。</w:t>
      </w:r>
      <w:bookmarkStart w:id="0" w:name="_GoBack"/>
      <w:bookmarkEnd w:id="0"/>
    </w:p>
    <w:p>
      <w:pPr>
        <w:pStyle w:val="30"/>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本项目通过云采链线上采购一体化平台（www.choicelink.cn）进行竞价，参与竞价的供应商必须登录平台进行注册，注册成功后方可参与项目竞价。</w:t>
      </w:r>
    </w:p>
    <w:p>
      <w:pPr>
        <w:pStyle w:val="30"/>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语言要求</w:t>
      </w:r>
    </w:p>
    <w:p>
      <w:pPr>
        <w:spacing w:line="360" w:lineRule="auto"/>
        <w:ind w:left="420" w:leftChars="2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30"/>
        <w:numPr>
          <w:ilvl w:val="0"/>
          <w:numId w:val="2"/>
        </w:numPr>
        <w:spacing w:line="360" w:lineRule="auto"/>
        <w:ind w:firstLineChars="0"/>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在云采链平台参与项目竞价后放弃成交资格超过三次（含三次）的供应商连同该供应商同一法人名下所有公司将被列入平台黑名单，永久不得参与平台的项目竞价。</w:t>
      </w:r>
    </w:p>
    <w:p>
      <w:pPr>
        <w:pStyle w:val="30"/>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竞价须知</w:t>
      </w:r>
    </w:p>
    <w:p>
      <w:pPr>
        <w:pStyle w:val="30"/>
        <w:numPr>
          <w:ilvl w:val="0"/>
          <w:numId w:val="3"/>
        </w:numPr>
        <w:spacing w:line="360" w:lineRule="auto"/>
        <w:ind w:left="420" w:hanging="420" w:firstLineChars="0"/>
        <w:rPr>
          <w:rFonts w:ascii="宋体" w:hAnsi="宋体" w:eastAsia="宋体" w:cs="宋体"/>
          <w:b/>
          <w:color w:val="000000" w:themeColor="text1"/>
          <w14:textFill>
            <w14:solidFill>
              <w14:schemeClr w14:val="tx1"/>
            </w14:solidFill>
          </w14:textFill>
        </w:rPr>
      </w:pPr>
      <w:r>
        <w:rPr>
          <w:rStyle w:val="26"/>
          <w:rFonts w:hint="eastAsia" w:ascii="宋体" w:hAnsi="宋体" w:eastAsia="宋体" w:cs="宋体"/>
          <w:bCs w:val="0"/>
          <w:color w:val="000000" w:themeColor="text1"/>
          <w14:textFill>
            <w14:solidFill>
              <w14:schemeClr w14:val="tx1"/>
            </w14:solidFill>
          </w14:textFill>
        </w:rPr>
        <w:t>竞价说明</w:t>
      </w:r>
    </w:p>
    <w:p>
      <w:pPr>
        <w:pStyle w:val="30"/>
        <w:numPr>
          <w:ilvl w:val="0"/>
          <w:numId w:val="4"/>
        </w:numPr>
        <w:tabs>
          <w:tab w:val="left" w:pos="851"/>
        </w:tabs>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参与竞价的供应商应承担所有与准备和参加竞价有关的费用，不</w:t>
      </w:r>
      <w:r>
        <w:rPr>
          <w:rFonts w:hint="eastAsia" w:ascii="宋体" w:hAnsi="宋体" w:eastAsia="宋体" w:cs="宋体"/>
          <w:color w:val="000000" w:themeColor="text1"/>
          <w:szCs w:val="21"/>
          <w:lang w:eastAsia="zh-TW"/>
          <w14:textFill>
            <w14:solidFill>
              <w14:schemeClr w14:val="tx1"/>
            </w14:solidFill>
          </w14:textFill>
        </w:rPr>
        <w:t>论</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的结果如何</w:t>
      </w:r>
      <w:r>
        <w:rPr>
          <w:rFonts w:hint="eastAsia" w:ascii="宋体" w:hAnsi="宋体" w:eastAsia="宋体" w:cs="宋体"/>
          <w:color w:val="000000" w:themeColor="text1"/>
          <w:szCs w:val="21"/>
          <w14:textFill>
            <w14:solidFill>
              <w14:schemeClr w14:val="tx1"/>
            </w14:solidFill>
          </w14:textFill>
        </w:rPr>
        <w:t>，采购</w:t>
      </w:r>
      <w:r>
        <w:rPr>
          <w:rFonts w:hint="eastAsia" w:ascii="宋体" w:hAnsi="宋体" w:eastAsia="宋体" w:cs="宋体"/>
          <w:color w:val="000000" w:themeColor="text1"/>
          <w:szCs w:val="21"/>
          <w:lang w:eastAsia="zh-TW"/>
          <w14:textFill>
            <w14:solidFill>
              <w14:schemeClr w14:val="tx1"/>
            </w14:solidFill>
          </w14:textFill>
        </w:rPr>
        <w:t>人</w:t>
      </w:r>
      <w:r>
        <w:rPr>
          <w:rFonts w:hint="eastAsia" w:ascii="宋体" w:hAnsi="宋体" w:eastAsia="宋体" w:cs="宋体"/>
          <w:color w:val="000000" w:themeColor="text1"/>
          <w:szCs w:val="21"/>
          <w14:textFill>
            <w14:solidFill>
              <w14:schemeClr w14:val="tx1"/>
            </w14:solidFill>
          </w14:textFill>
        </w:rPr>
        <w:t>和</w:t>
      </w:r>
      <w:r>
        <w:rPr>
          <w:rFonts w:hint="eastAsia" w:ascii="宋体" w:hAnsi="宋体" w:eastAsia="宋体" w:cs="宋体"/>
          <w:color w:val="000000" w:themeColor="text1"/>
          <w:szCs w:val="21"/>
          <w:lang w:eastAsia="zh-TW"/>
          <w14:textFill>
            <w14:solidFill>
              <w14:schemeClr w14:val="tx1"/>
            </w14:solidFill>
          </w14:textFill>
        </w:rPr>
        <w:t>代理机构均无义务和责任承担这些费用</w:t>
      </w:r>
      <w:r>
        <w:rPr>
          <w:rFonts w:hint="eastAsia" w:ascii="宋体" w:hAnsi="宋体" w:eastAsia="宋体" w:cs="宋体"/>
          <w:color w:val="000000" w:themeColor="text1"/>
          <w:szCs w:val="21"/>
          <w14:textFill>
            <w14:solidFill>
              <w14:schemeClr w14:val="tx1"/>
            </w14:solidFill>
          </w14:textFill>
        </w:rPr>
        <w:t>。</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val="zh-CN"/>
          <w14:textFill>
            <w14:solidFill>
              <w14:schemeClr w14:val="tx1"/>
            </w14:solidFill>
          </w14:textFill>
        </w:rPr>
        <w:t>供应商需对用户需求书的所有条款进行整体响应，用户需求书条款若有一条负偏离或不响应，</w:t>
      </w:r>
      <w:r>
        <w:rPr>
          <w:rFonts w:hint="eastAsia" w:ascii="宋体" w:hAnsi="宋体" w:eastAsia="宋体" w:cs="宋体"/>
          <w:bCs/>
          <w:color w:val="000000" w:themeColor="text1"/>
          <w:szCs w:val="21"/>
          <w14:textFill>
            <w14:solidFill>
              <w14:schemeClr w14:val="tx1"/>
            </w14:solidFill>
          </w14:textFill>
        </w:rPr>
        <w:t>不推荐为成交候选人</w:t>
      </w:r>
      <w:r>
        <w:rPr>
          <w:rFonts w:hint="eastAsia" w:ascii="宋体" w:hAnsi="宋体" w:eastAsia="宋体" w:cs="宋体"/>
          <w:color w:val="000000" w:themeColor="text1"/>
          <w:szCs w:val="21"/>
          <w:lang w:val="zh-CN"/>
          <w14:textFill>
            <w14:solidFill>
              <w14:schemeClr w14:val="tx1"/>
            </w14:solidFill>
          </w14:textFill>
        </w:rPr>
        <w:t>。</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若成交供应商自身原因无法完成本项目，则采购人有权利保留追究责任。</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成交供应商因自身原因被取消成交资格，采购人可重新启动采购或按竞价公告规定顺延推选符合要求的供应商作为成交供应商。</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若本项目竞价采购失败，采购人将重新采购，届时采购人有权根据项目具体情况，决定重新采购项目的采购方式。</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成交供应商若无正当理由恶意放弃成交资格，采购人有权将拒绝其参加本项目重新组织的竞价采购活动。</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如采购人或代理机构在审核或复核</w:t>
      </w: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供应商所提交的竞价资料时，供应商须无条件配合；期间若发现存在弄虚作假或相关的失信记录或违反国家法律法规等相关的不良情形，采购人可取消其成交资格并保留追究责任的权力。</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eastAsia="zh-TW"/>
          <w14:textFill>
            <w14:solidFill>
              <w14:schemeClr w14:val="tx1"/>
            </w14:solidFill>
          </w14:textFill>
        </w:rPr>
        <w:t>供应商向我司咨询的有关项目事项，一切以</w:t>
      </w:r>
      <w:r>
        <w:rPr>
          <w:rFonts w:hint="eastAsia" w:ascii="宋体" w:hAnsi="宋体" w:eastAsia="宋体" w:cs="宋体"/>
          <w:color w:val="000000" w:themeColor="text1"/>
          <w:szCs w:val="21"/>
          <w14:textFill>
            <w14:solidFill>
              <w14:schemeClr w14:val="tx1"/>
            </w14:solidFill>
          </w14:textFill>
        </w:rPr>
        <w:t>竞价文件</w:t>
      </w:r>
      <w:r>
        <w:rPr>
          <w:rFonts w:hint="eastAsia" w:ascii="宋体" w:hAnsi="宋体" w:eastAsia="宋体" w:cs="宋体"/>
          <w:color w:val="000000" w:themeColor="text1"/>
          <w:szCs w:val="21"/>
          <w:lang w:eastAsia="zh-TW"/>
          <w14:textFill>
            <w14:solidFill>
              <w14:schemeClr w14:val="tx1"/>
            </w14:solidFill>
          </w14:textFill>
        </w:rPr>
        <w:t>规定</w:t>
      </w:r>
      <w:r>
        <w:rPr>
          <w:rFonts w:hint="eastAsia" w:ascii="宋体" w:hAnsi="宋体" w:eastAsia="宋体" w:cs="宋体"/>
          <w:color w:val="000000" w:themeColor="text1"/>
          <w:szCs w:val="21"/>
          <w14:textFill>
            <w14:solidFill>
              <w14:schemeClr w14:val="tx1"/>
            </w14:solidFill>
          </w14:textFill>
        </w:rPr>
        <w:t>和竞价公告规定以及</w:t>
      </w:r>
      <w:r>
        <w:rPr>
          <w:rFonts w:hint="eastAsia" w:ascii="宋体" w:hAnsi="宋体" w:eastAsia="宋体" w:cs="宋体"/>
          <w:color w:val="000000" w:themeColor="text1"/>
          <w:szCs w:val="21"/>
          <w:lang w:eastAsia="zh-TW"/>
          <w14:textFill>
            <w14:solidFill>
              <w14:schemeClr w14:val="tx1"/>
            </w14:solidFill>
          </w14:textFill>
        </w:rPr>
        <w:t>本公司</w:t>
      </w:r>
      <w:r>
        <w:rPr>
          <w:rFonts w:hint="eastAsia" w:ascii="宋体" w:hAnsi="宋体" w:eastAsia="宋体" w:cs="宋体"/>
          <w:color w:val="000000" w:themeColor="text1"/>
          <w:szCs w:val="21"/>
          <w14:textFill>
            <w14:solidFill>
              <w14:schemeClr w14:val="tx1"/>
            </w14:solidFill>
          </w14:textFill>
        </w:rPr>
        <w:t>的</w:t>
      </w:r>
      <w:r>
        <w:rPr>
          <w:rFonts w:hint="eastAsia" w:ascii="宋体" w:hAnsi="宋体" w:eastAsia="宋体" w:cs="宋体"/>
          <w:color w:val="000000" w:themeColor="text1"/>
          <w:szCs w:val="21"/>
          <w:lang w:eastAsia="zh-TW"/>
          <w14:textFill>
            <w14:solidFill>
              <w14:schemeClr w14:val="tx1"/>
            </w14:solidFill>
          </w14:textFill>
        </w:rPr>
        <w:t>书面答复为准，其他一切形式均为个人意见，不代表本公司的意见</w:t>
      </w:r>
      <w:r>
        <w:rPr>
          <w:rFonts w:hint="eastAsia" w:ascii="宋体" w:hAnsi="宋体" w:eastAsia="宋体" w:cs="宋体"/>
          <w:color w:val="000000" w:themeColor="text1"/>
          <w:szCs w:val="21"/>
          <w14:textFill>
            <w14:solidFill>
              <w14:schemeClr w14:val="tx1"/>
            </w14:solidFill>
          </w14:textFill>
        </w:rPr>
        <w:t>。</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参与竞价的供应商应认真阅读</w:t>
      </w:r>
      <w:r>
        <w:rPr>
          <w:rFonts w:hint="eastAsia" w:ascii="宋体" w:hAnsi="宋体" w:eastAsia="宋体" w:cs="宋体"/>
          <w:color w:val="000000" w:themeColor="text1"/>
          <w:szCs w:val="21"/>
          <w:lang w:eastAsia="zh-TW"/>
          <w14:textFill>
            <w14:solidFill>
              <w14:schemeClr w14:val="tx1"/>
            </w14:solidFill>
          </w14:textFill>
        </w:rPr>
        <w:t>、并充分理解</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文件的全部内容（包括所有的补充、修改内容重要事项、格式、条款</w:t>
      </w:r>
      <w:r>
        <w:rPr>
          <w:rFonts w:hint="eastAsia" w:ascii="宋体" w:hAnsi="宋体" w:eastAsia="宋体" w:cs="宋体"/>
          <w:color w:val="000000" w:themeColor="text1"/>
          <w:szCs w:val="21"/>
          <w14:textFill>
            <w14:solidFill>
              <w14:schemeClr w14:val="tx1"/>
            </w14:solidFill>
          </w14:textFill>
        </w:rPr>
        <w:t>、服务要求</w:t>
      </w:r>
      <w:r>
        <w:rPr>
          <w:rFonts w:hint="eastAsia" w:ascii="宋体" w:hAnsi="宋体" w:eastAsia="宋体" w:cs="宋体"/>
          <w:color w:val="000000" w:themeColor="text1"/>
          <w:szCs w:val="21"/>
          <w:lang w:eastAsia="zh-TW"/>
          <w14:textFill>
            <w14:solidFill>
              <w14:schemeClr w14:val="tx1"/>
            </w14:solidFill>
          </w14:textFill>
        </w:rPr>
        <w:t>和技术规范、参数及要求等）。</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没有按照</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文件要求提交全部资料，或者</w:t>
      </w:r>
      <w:r>
        <w:rPr>
          <w:rFonts w:hint="eastAsia" w:ascii="宋体" w:hAnsi="宋体" w:eastAsia="宋体" w:cs="宋体"/>
          <w:color w:val="000000" w:themeColor="text1"/>
          <w:szCs w:val="21"/>
          <w14:textFill>
            <w14:solidFill>
              <w14:schemeClr w14:val="tx1"/>
            </w14:solidFill>
          </w14:textFill>
        </w:rPr>
        <w:t>参与竞价所上传的</w:t>
      </w:r>
      <w:r>
        <w:rPr>
          <w:rFonts w:hint="eastAsia" w:ascii="宋体" w:hAnsi="宋体" w:eastAsia="宋体" w:cs="宋体"/>
          <w:color w:val="000000" w:themeColor="text1"/>
          <w:szCs w:val="21"/>
          <w:lang w:eastAsia="zh-TW"/>
          <w14:textFill>
            <w14:solidFill>
              <w14:schemeClr w14:val="tx1"/>
            </w14:solidFill>
          </w14:textFill>
        </w:rPr>
        <w:t>文件没有对</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文件在各方面都作出实质性响应是</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的风险，有可能导致其</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被拒绝，</w:t>
      </w:r>
      <w:r>
        <w:rPr>
          <w:rFonts w:hint="eastAsia" w:ascii="宋体" w:hAnsi="宋体" w:eastAsia="宋体" w:cs="宋体"/>
          <w:color w:val="000000" w:themeColor="text1"/>
          <w:szCs w:val="21"/>
          <w14:textFill>
            <w14:solidFill>
              <w14:schemeClr w14:val="tx1"/>
            </w14:solidFill>
          </w14:textFill>
        </w:rPr>
        <w:t>或被认定为无效竞价。</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采购人有权拒绝接受任何不合格的货物或服务，由此产生的费用及相关后果均由成交供应商自行承担。</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供应商认为竞价结果损害其权益的，应按照云采链平台相关指引在规定的时间内向采购人或代理机构提交书面质疑，不提交的视为无异议，逾期提交将不予受理。</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本竞价公告和竞价文件的解释权归</w:t>
      </w:r>
      <w:r>
        <w:rPr>
          <w:rFonts w:hint="eastAsia" w:ascii="宋体" w:hAnsi="宋体" w:eastAsia="宋体" w:cs="宋体"/>
          <w:color w:val="000000" w:themeColor="text1"/>
          <w:szCs w:val="21"/>
          <w:lang w:eastAsia="zh-TW"/>
          <w14:textFill>
            <w14:solidFill>
              <w14:schemeClr w14:val="tx1"/>
            </w14:solidFill>
          </w14:textFill>
        </w:rPr>
        <w:t>“云采链</w:t>
      </w:r>
      <w:r>
        <w:rPr>
          <w:rFonts w:hint="eastAsia" w:ascii="宋体" w:hAnsi="宋体" w:eastAsia="宋体" w:cs="宋体"/>
          <w:color w:val="000000" w:themeColor="text1"/>
          <w14:textFill>
            <w14:solidFill>
              <w14:schemeClr w14:val="tx1"/>
            </w14:solidFill>
          </w14:textFill>
        </w:rPr>
        <w:t>线上采购一体化平台</w:t>
      </w:r>
      <w:r>
        <w:rPr>
          <w:rFonts w:hint="eastAsia" w:ascii="宋体" w:hAnsi="宋体" w:eastAsia="宋体" w:cs="宋体"/>
          <w:color w:val="000000" w:themeColor="text1"/>
          <w:szCs w:val="21"/>
          <w:lang w:eastAsia="zh-TW"/>
          <w14:textFill>
            <w14:solidFill>
              <w14:schemeClr w14:val="tx1"/>
            </w14:solidFill>
          </w14:textFill>
        </w:rPr>
        <w:t>”所有。</w:t>
      </w:r>
    </w:p>
    <w:p>
      <w:pPr>
        <w:pStyle w:val="30"/>
        <w:numPr>
          <w:ilvl w:val="0"/>
          <w:numId w:val="3"/>
        </w:numPr>
        <w:spacing w:line="360" w:lineRule="auto"/>
        <w:ind w:left="42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竞价文件的澄清或修改</w:t>
      </w:r>
    </w:p>
    <w:p>
      <w:pPr>
        <w:pStyle w:val="30"/>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30"/>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eastAsia="宋体" w:cs="宋体"/>
          <w:color w:val="000000" w:themeColor="text1"/>
          <w:szCs w:val="21"/>
          <w14:textFill>
            <w14:solidFill>
              <w14:schemeClr w14:val="tx1"/>
            </w14:solidFill>
          </w14:textFill>
        </w:rPr>
        <w:t>如报名</w:t>
      </w:r>
      <w:r>
        <w:rPr>
          <w:rFonts w:hint="eastAsia" w:ascii="宋体" w:hAnsi="宋体" w:eastAsia="宋体" w:cs="宋体"/>
          <w:color w:val="000000" w:themeColor="text1"/>
          <w:szCs w:val="21"/>
          <w:lang w:eastAsia="zh-TW"/>
          <w14:textFill>
            <w14:solidFill>
              <w14:schemeClr w14:val="tx1"/>
            </w14:solidFill>
          </w14:textFill>
        </w:rPr>
        <w:t>截止时间</w:t>
      </w:r>
      <w:r>
        <w:rPr>
          <w:rFonts w:hint="eastAsia" w:ascii="宋体" w:hAnsi="宋体" w:eastAsia="宋体" w:cs="宋体"/>
          <w:color w:val="000000" w:themeColor="text1"/>
          <w:szCs w:val="21"/>
          <w14:textFill>
            <w14:solidFill>
              <w14:schemeClr w14:val="tx1"/>
            </w14:solidFill>
          </w14:textFill>
        </w:rPr>
        <w:t>少于一个工作日的，</w:t>
      </w:r>
      <w:r>
        <w:rPr>
          <w:rFonts w:hint="eastAsia" w:ascii="宋体" w:hAnsi="宋体" w:eastAsia="宋体" w:cs="宋体"/>
          <w:color w:val="000000" w:themeColor="text1"/>
          <w14:textFill>
            <w14:solidFill>
              <w14:schemeClr w14:val="tx1"/>
            </w14:solidFill>
          </w14:textFill>
        </w:rPr>
        <w:t>采购人或者采购代理机构应当相应顺延报名的截止时间。</w:t>
      </w:r>
    </w:p>
    <w:p>
      <w:pPr>
        <w:pStyle w:val="30"/>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30"/>
        <w:numPr>
          <w:ilvl w:val="0"/>
          <w:numId w:val="3"/>
        </w:numPr>
        <w:spacing w:line="360" w:lineRule="auto"/>
        <w:ind w:left="420" w:hanging="420" w:firstLineChars="0"/>
        <w:rPr>
          <w:rStyle w:val="26"/>
          <w:rFonts w:ascii="宋体" w:hAnsi="宋体" w:eastAsia="宋体" w:cs="宋体"/>
          <w:bCs w:val="0"/>
        </w:rPr>
      </w:pPr>
      <w:r>
        <w:rPr>
          <w:rStyle w:val="26"/>
          <w:rFonts w:hint="eastAsia" w:ascii="宋体" w:hAnsi="宋体" w:eastAsia="宋体" w:cs="宋体"/>
          <w:bCs w:val="0"/>
        </w:rPr>
        <w:t>报名要求</w:t>
      </w:r>
      <w:r>
        <w:rPr>
          <w:rStyle w:val="26"/>
          <w:rFonts w:hint="eastAsia" w:ascii="宋体" w:hAnsi="宋体" w:eastAsia="宋体" w:cs="宋体"/>
          <w:b w:val="0"/>
        </w:rPr>
        <w:t>（参与竞价的供应商资质要求: 报名时需要提供以下</w:t>
      </w:r>
      <w:r>
        <w:rPr>
          <w:rStyle w:val="26"/>
          <w:rFonts w:hint="eastAsia" w:ascii="宋体" w:hAnsi="宋体" w:eastAsia="宋体" w:cs="宋体"/>
          <w:bCs w:val="0"/>
          <w:u w:val="single"/>
        </w:rPr>
        <w:t>盖章</w:t>
      </w:r>
      <w:r>
        <w:rPr>
          <w:rStyle w:val="26"/>
          <w:rFonts w:hint="eastAsia" w:ascii="宋体" w:hAnsi="宋体" w:eastAsia="宋体" w:cs="宋体"/>
          <w:b w:val="0"/>
        </w:rPr>
        <w:t>资料，并对上传的报名文件资料承担责任）</w:t>
      </w:r>
    </w:p>
    <w:p>
      <w:pPr>
        <w:pStyle w:val="30"/>
        <w:widowControl/>
        <w:numPr>
          <w:ilvl w:val="0"/>
          <w:numId w:val="6"/>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提供在中华人民共和国境内注册的法人或其他组织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pStyle w:val="30"/>
        <w:widowControl/>
        <w:numPr>
          <w:ilvl w:val="0"/>
          <w:numId w:val="6"/>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经办人如是法定代表人，需提供法定代表人证明书及法定代表人身份证复印件，格式详见附件；经办人如是供应商授权代表，需提供法定代表人证明书、法定代表人身份证复印件、法定代表人授权委托书、授权代表身份证复印件，格式详见附件；</w:t>
      </w:r>
    </w:p>
    <w:p>
      <w:pPr>
        <w:pStyle w:val="30"/>
        <w:widowControl/>
        <w:numPr>
          <w:ilvl w:val="0"/>
          <w:numId w:val="6"/>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满足《中华人民共和国政府采购法》第二十二条规定；本项目不允许联合竞价；不允许分包转包；不接受进口产品响应；为采购项目提供整体设计、规范编制或者项目管理、监理、检测等服务的供应商，不得再参加该采购项目同一合同项下的其他采购活动；法定代表人或单位负责人与所参投的本项目其他供应商的法定代表人或单位负责人不为同一人且与其他供应商之间不存在直接控股、管理关系；（提供《供应商资格声明函》，格式见附件）；</w:t>
      </w:r>
    </w:p>
    <w:p>
      <w:pPr>
        <w:pStyle w:val="30"/>
        <w:widowControl/>
        <w:numPr>
          <w:ilvl w:val="0"/>
          <w:numId w:val="6"/>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供应商完全响应本项目用户需求的条款、内容及要求的，提供用户需求书响应声明函即可</w:t>
      </w:r>
      <w:r>
        <w:rPr>
          <w:rFonts w:hint="eastAsia" w:ascii="宋体" w:hAnsi="宋体" w:eastAsia="宋体" w:cs="宋体"/>
          <w:b/>
          <w:color w:val="000000" w:themeColor="text1"/>
          <w:kern w:val="0"/>
          <w:szCs w:val="21"/>
          <w14:textFill>
            <w14:solidFill>
              <w14:schemeClr w14:val="tx1"/>
            </w14:solidFill>
          </w14:textFill>
        </w:rPr>
        <w:t>，格式详见附件；</w:t>
      </w:r>
    </w:p>
    <w:p>
      <w:pPr>
        <w:pStyle w:val="30"/>
        <w:numPr>
          <w:ilvl w:val="0"/>
          <w:numId w:val="3"/>
        </w:numPr>
        <w:spacing w:line="360" w:lineRule="auto"/>
        <w:ind w:left="420" w:hanging="420" w:firstLineChars="0"/>
        <w:rPr>
          <w:rStyle w:val="26"/>
          <w:rFonts w:ascii="宋体" w:hAnsi="宋体" w:eastAsia="宋体" w:cs="宋体"/>
          <w:bCs w:val="0"/>
          <w:color w:val="000000" w:themeColor="text1"/>
          <w14:textFill>
            <w14:solidFill>
              <w14:schemeClr w14:val="tx1"/>
            </w14:solidFill>
          </w14:textFill>
        </w:rPr>
      </w:pPr>
      <w:r>
        <w:rPr>
          <w:rStyle w:val="26"/>
          <w:rFonts w:hint="eastAsia" w:ascii="宋体" w:hAnsi="宋体" w:eastAsia="宋体" w:cs="宋体"/>
          <w:bCs w:val="0"/>
          <w:color w:val="000000" w:themeColor="text1"/>
          <w14:textFill>
            <w14:solidFill>
              <w14:schemeClr w14:val="tx1"/>
            </w14:solidFill>
          </w14:textFill>
        </w:rPr>
        <w:t>报价要求</w:t>
      </w:r>
      <w:r>
        <w:rPr>
          <w:rStyle w:val="26"/>
          <w:rFonts w:hint="eastAsia" w:ascii="宋体" w:hAnsi="宋体" w:eastAsia="宋体" w:cs="宋体"/>
          <w:color w:val="000000" w:themeColor="text1"/>
          <w:szCs w:val="21"/>
          <w14:textFill>
            <w14:solidFill>
              <w14:schemeClr w14:val="tx1"/>
            </w14:solidFill>
          </w14:textFill>
        </w:rPr>
        <w:t>（</w:t>
      </w:r>
      <w:r>
        <w:rPr>
          <w:rStyle w:val="26"/>
          <w:rFonts w:hint="eastAsia" w:ascii="宋体" w:hAnsi="宋体" w:eastAsia="宋体" w:cs="宋体"/>
          <w:b w:val="0"/>
          <w:color w:val="000000" w:themeColor="text1"/>
          <w:szCs w:val="21"/>
          <w14:textFill>
            <w14:solidFill>
              <w14:schemeClr w14:val="tx1"/>
            </w14:solidFill>
          </w14:textFill>
        </w:rPr>
        <w:t>报价时需要提供以下</w:t>
      </w:r>
      <w:r>
        <w:rPr>
          <w:rStyle w:val="26"/>
          <w:rFonts w:hint="eastAsia" w:ascii="宋体" w:hAnsi="宋体" w:eastAsia="宋体" w:cs="宋体"/>
          <w:color w:val="000000" w:themeColor="text1"/>
          <w:szCs w:val="21"/>
          <w:u w:val="double"/>
          <w14:textFill>
            <w14:solidFill>
              <w14:schemeClr w14:val="tx1"/>
            </w14:solidFill>
          </w14:textFill>
        </w:rPr>
        <w:t>盖章</w:t>
      </w:r>
      <w:r>
        <w:rPr>
          <w:rStyle w:val="26"/>
          <w:rFonts w:hint="eastAsia" w:ascii="宋体" w:hAnsi="宋体" w:eastAsia="宋体" w:cs="宋体"/>
          <w:b w:val="0"/>
          <w:color w:val="000000" w:themeColor="text1"/>
          <w:szCs w:val="21"/>
          <w14:textFill>
            <w14:solidFill>
              <w14:schemeClr w14:val="tx1"/>
            </w14:solidFill>
          </w14:textFill>
        </w:rPr>
        <w:t>资料，</w:t>
      </w:r>
      <w:r>
        <w:rPr>
          <w:rFonts w:hint="eastAsia" w:ascii="宋体" w:hAnsi="宋体" w:eastAsia="宋体" w:cs="宋体"/>
          <w:color w:val="000000" w:themeColor="text1"/>
          <w:szCs w:val="21"/>
          <w14:textFill>
            <w14:solidFill>
              <w14:schemeClr w14:val="tx1"/>
            </w14:solidFill>
          </w14:textFill>
        </w:rPr>
        <w:t>并对上传的竞价文件资料承担责任</w:t>
      </w:r>
      <w:r>
        <w:rPr>
          <w:rStyle w:val="26"/>
          <w:rFonts w:hint="eastAsia" w:ascii="宋体" w:hAnsi="宋体" w:eastAsia="宋体" w:cs="宋体"/>
          <w:color w:val="000000" w:themeColor="text1"/>
          <w:szCs w:val="21"/>
          <w14:textFill>
            <w14:solidFill>
              <w14:schemeClr w14:val="tx1"/>
            </w14:solidFill>
          </w14:textFill>
        </w:rPr>
        <w:t>）</w:t>
      </w:r>
    </w:p>
    <w:p>
      <w:pPr>
        <w:pStyle w:val="30"/>
        <w:numPr>
          <w:ilvl w:val="0"/>
          <w:numId w:val="7"/>
        </w:numPr>
        <w:spacing w:line="360" w:lineRule="auto"/>
        <w:ind w:left="840" w:hanging="420" w:firstLineChars="0"/>
        <w:rPr>
          <w:rFonts w:ascii="宋体" w:hAnsi="宋体" w:eastAsia="宋体" w:cs="宋体"/>
          <w:szCs w:val="21"/>
        </w:rPr>
      </w:pPr>
      <w:r>
        <w:rPr>
          <w:rFonts w:hint="eastAsia" w:ascii="宋体" w:hAnsi="宋体" w:eastAsia="宋体" w:cs="宋体"/>
          <w:color w:val="000000" w:themeColor="text1"/>
          <w:szCs w:val="21"/>
          <w14:textFill>
            <w14:solidFill>
              <w14:schemeClr w14:val="tx1"/>
            </w14:solidFill>
          </w14:textFill>
        </w:rPr>
        <w:t>通过报名供应商应根据本公告要求，在规定的竞价时间内对采购项目进行报价，同时按本公告要求完整</w:t>
      </w:r>
      <w:r>
        <w:rPr>
          <w:rFonts w:hint="eastAsia" w:ascii="宋体" w:hAnsi="宋体" w:eastAsia="宋体" w:cs="宋体"/>
          <w:color w:val="000000" w:themeColor="text1"/>
          <w:szCs w:val="21"/>
          <w:lang w:eastAsia="zh-TW"/>
          <w14:textFill>
            <w14:solidFill>
              <w14:schemeClr w14:val="tx1"/>
            </w14:solidFill>
          </w14:textFill>
        </w:rPr>
        <w:t>、真实、准确地</w:t>
      </w:r>
      <w:r>
        <w:rPr>
          <w:rFonts w:hint="eastAsia" w:ascii="宋体" w:hAnsi="宋体" w:eastAsia="宋体" w:cs="宋体"/>
          <w:color w:val="000000" w:themeColor="text1"/>
          <w:szCs w:val="21"/>
          <w14:textFill>
            <w14:solidFill>
              <w14:schemeClr w14:val="tx1"/>
            </w14:solidFill>
          </w14:textFill>
        </w:rPr>
        <w:t>填写并上传相应报价附件</w:t>
      </w:r>
      <w:r>
        <w:rPr>
          <w:rFonts w:hint="eastAsia" w:ascii="宋体" w:hAnsi="宋体" w:eastAsia="宋体" w:cs="宋体"/>
          <w:b/>
          <w:bCs/>
          <w:color w:val="000000" w:themeColor="text1"/>
          <w:szCs w:val="21"/>
          <w14:textFill>
            <w14:solidFill>
              <w14:schemeClr w14:val="tx1"/>
            </w14:solidFill>
          </w14:textFill>
        </w:rPr>
        <w:t>（</w:t>
      </w:r>
      <w:r>
        <w:rPr>
          <w:rFonts w:hint="eastAsia" w:ascii="宋体" w:hAnsi="宋体" w:eastAsia="宋体" w:cs="宋体"/>
          <w:b/>
          <w:szCs w:val="21"/>
          <w:lang w:bidi="ar"/>
        </w:rPr>
        <w:t>上传</w:t>
      </w:r>
      <w:r>
        <w:rPr>
          <w:rFonts w:hint="eastAsia" w:ascii="宋体" w:hAnsi="宋体" w:eastAsia="宋体" w:cs="宋体"/>
          <w:b/>
          <w:bCs/>
          <w:szCs w:val="21"/>
          <w:shd w:val="clear" w:color="auto" w:fill="FFFFFF"/>
          <w:lang w:bidi="ar"/>
        </w:rPr>
        <w:t>报价表）。</w:t>
      </w:r>
    </w:p>
    <w:p>
      <w:pPr>
        <w:pStyle w:val="30"/>
        <w:numPr>
          <w:ilvl w:val="0"/>
          <w:numId w:val="7"/>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u w:val="double"/>
          <w14:textFill>
            <w14:solidFill>
              <w14:schemeClr w14:val="tx1"/>
            </w14:solidFill>
          </w14:textFill>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30"/>
        <w:numPr>
          <w:ilvl w:val="0"/>
          <w:numId w:val="3"/>
        </w:numPr>
        <w:spacing w:line="360" w:lineRule="auto"/>
        <w:ind w:left="420" w:hanging="420" w:firstLineChars="0"/>
        <w:rPr>
          <w:rStyle w:val="26"/>
          <w:rFonts w:ascii="宋体" w:hAnsi="宋体" w:eastAsia="宋体" w:cs="宋体"/>
          <w:bCs w:val="0"/>
          <w:color w:val="000000" w:themeColor="text1"/>
          <w14:textFill>
            <w14:solidFill>
              <w14:schemeClr w14:val="tx1"/>
            </w14:solidFill>
          </w14:textFill>
        </w:rPr>
      </w:pPr>
      <w:r>
        <w:rPr>
          <w:rStyle w:val="26"/>
          <w:rFonts w:hint="eastAsia" w:ascii="宋体" w:hAnsi="宋体" w:eastAsia="宋体" w:cs="宋体"/>
          <w:bCs w:val="0"/>
          <w:color w:val="000000" w:themeColor="text1"/>
          <w14:textFill>
            <w14:solidFill>
              <w14:schemeClr w14:val="tx1"/>
            </w14:solidFill>
          </w14:textFill>
        </w:rPr>
        <w:t>确定成交候选人</w:t>
      </w:r>
    </w:p>
    <w:p>
      <w:pPr>
        <w:pStyle w:val="30"/>
        <w:numPr>
          <w:ilvl w:val="0"/>
          <w:numId w:val="8"/>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本项目以最低价成交的方式确定成交供应商。报价时间截止后，系统按报价（经价格核准后的价格）由低到高顺序排列，</w:t>
      </w:r>
      <w:r>
        <w:rPr>
          <w:rFonts w:hint="eastAsia" w:ascii="宋体" w:hAnsi="宋体" w:eastAsia="宋体" w:cs="宋体"/>
          <w:color w:val="000000" w:themeColor="text1"/>
          <w14:textFill>
            <w14:solidFill>
              <w14:schemeClr w14:val="tx1"/>
            </w14:solidFill>
          </w14:textFill>
        </w:rPr>
        <w:t>报价最低的为第一成交候选人，报价相同的，按报价时间在前的为第一成交候选人；</w:t>
      </w:r>
      <w:r>
        <w:rPr>
          <w:rFonts w:hint="eastAsia" w:ascii="宋体" w:hAnsi="宋体" w:eastAsia="宋体" w:cs="宋体"/>
          <w:color w:val="000000" w:themeColor="text1"/>
          <w:szCs w:val="21"/>
          <w14:textFill>
            <w14:solidFill>
              <w14:schemeClr w14:val="tx1"/>
            </w14:solidFill>
          </w14:textFill>
        </w:rPr>
        <w:t>报价次低的为第二成交候选人，以此类推</w:t>
      </w:r>
      <w:r>
        <w:rPr>
          <w:rFonts w:hint="eastAsia" w:ascii="宋体" w:hAnsi="宋体" w:eastAsia="宋体" w:cs="宋体"/>
          <w:color w:val="000000" w:themeColor="text1"/>
          <w14:textFill>
            <w14:solidFill>
              <w14:schemeClr w14:val="tx1"/>
            </w14:solidFill>
          </w14:textFill>
        </w:rPr>
        <w:t>。</w:t>
      </w:r>
    </w:p>
    <w:p>
      <w:pPr>
        <w:pStyle w:val="30"/>
        <w:numPr>
          <w:ilvl w:val="0"/>
          <w:numId w:val="3"/>
        </w:numPr>
        <w:spacing w:line="360" w:lineRule="auto"/>
        <w:ind w:left="420" w:hanging="420" w:firstLineChars="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无效报价</w:t>
      </w:r>
    </w:p>
    <w:p>
      <w:pPr>
        <w:pStyle w:val="30"/>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供应商报价超过最高限价或低于最低限价或超过项目对应产品单项最高限价的视为无效报价。</w:t>
      </w:r>
    </w:p>
    <w:p>
      <w:pPr>
        <w:pStyle w:val="30"/>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供应商须提供本项目要求的资质文件，如果不按公告规定或竞价文件要求等相关规定提供符合要求的资质文件，将被视为无效报价。</w:t>
      </w:r>
    </w:p>
    <w:p>
      <w:pPr>
        <w:pStyle w:val="30"/>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供应商须对本项目采购内容进行整体报价，任何只对其中一部分内容进行的报价都被视为无效报价。</w:t>
      </w:r>
    </w:p>
    <w:p>
      <w:pPr>
        <w:pStyle w:val="30"/>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u w:val="double"/>
          <w14:textFill>
            <w14:solidFill>
              <w14:schemeClr w14:val="tx1"/>
            </w14:solidFill>
          </w14:textFill>
        </w:rPr>
        <w:t>报价表以及有报价供应商落款的报价文件必须加盖报价供应商公章，否则视为无效报价。</w:t>
      </w:r>
    </w:p>
    <w:p>
      <w:pPr>
        <w:pStyle w:val="18"/>
        <w:numPr>
          <w:ilvl w:val="0"/>
          <w:numId w:val="9"/>
        </w:numPr>
        <w:shd w:val="clear" w:color="auto" w:fill="FFFFFF"/>
        <w:spacing w:before="0" w:beforeAutospacing="0" w:after="0" w:afterAutospacing="0" w:line="360" w:lineRule="auto"/>
        <w:ind w:left="840" w:hanging="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8"/>
        <w:numPr>
          <w:ilvl w:val="0"/>
          <w:numId w:val="9"/>
        </w:numPr>
        <w:shd w:val="clear" w:color="auto" w:fill="FFFFFF"/>
        <w:spacing w:before="0" w:beforeAutospacing="0" w:after="0" w:afterAutospacing="0" w:line="360" w:lineRule="auto"/>
        <w:ind w:left="840" w:hanging="420"/>
        <w:rPr>
          <w:b/>
          <w:bCs/>
          <w:color w:val="000000" w:themeColor="text1"/>
          <w:sz w:val="21"/>
          <w:szCs w:val="21"/>
          <w:u w:val="double"/>
          <w14:textFill>
            <w14:solidFill>
              <w14:schemeClr w14:val="tx1"/>
            </w14:solidFill>
          </w14:textFill>
        </w:rPr>
      </w:pPr>
      <w:r>
        <w:rPr>
          <w:rFonts w:hint="eastAsia"/>
          <w:b/>
          <w:bCs/>
          <w:color w:val="000000" w:themeColor="text1"/>
          <w:sz w:val="21"/>
          <w:szCs w:val="21"/>
          <w:u w:val="double"/>
          <w14:textFill>
            <w14:solidFill>
              <w14:schemeClr w14:val="tx1"/>
            </w14:solidFill>
          </w14:textFill>
        </w:rPr>
        <w:t>按有关法律、法规、规章属于报价无效的。</w:t>
      </w:r>
    </w:p>
    <w:p>
      <w:pPr>
        <w:pStyle w:val="18"/>
        <w:numPr>
          <w:ilvl w:val="0"/>
          <w:numId w:val="9"/>
        </w:numPr>
        <w:shd w:val="clear" w:color="auto" w:fill="FFFFFF"/>
        <w:spacing w:before="0" w:beforeAutospacing="0" w:after="0" w:afterAutospacing="0" w:line="360" w:lineRule="auto"/>
        <w:ind w:left="840" w:hanging="420"/>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有下列情形之一的，视为串通竞价，其报价无效：</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存在单位负责人为同一人或存在控股、管理关系的不同单位参与同一竞价项目；</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不同供应商的响应文件由同一单位或者个人编制；</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不同供应商委托同一单位或者个人办理竞价事宜；</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不同供应商使用同一IP地址参与竞价；</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不同供应商的响应文件载明的项目管理成员或者联系人员为同一人；</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不同供应商的响应文件异常一致或者报价呈规律性差异；</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不同供应商的响应文件相互混淆；</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不同供应商的平台使用费从同一单位或者个人的账户转出。</w:t>
      </w:r>
    </w:p>
    <w:p>
      <w:pPr>
        <w:pStyle w:val="30"/>
        <w:numPr>
          <w:ilvl w:val="0"/>
          <w:numId w:val="3"/>
        </w:numPr>
        <w:spacing w:line="360" w:lineRule="auto"/>
        <w:ind w:left="42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竞价活动失败</w:t>
      </w:r>
    </w:p>
    <w:p>
      <w:pPr>
        <w:pStyle w:val="30"/>
        <w:numPr>
          <w:ilvl w:val="0"/>
          <w:numId w:val="11"/>
        </w:numPr>
        <w:spacing w:line="360" w:lineRule="auto"/>
        <w:ind w:left="840" w:leftChars="200" w:hanging="420" w:firstLineChars="0"/>
        <w:rPr>
          <w:rFonts w:ascii="宋体" w:hAnsi="宋体" w:eastAsia="宋体" w:cs="宋体"/>
          <w:color w:val="000000"/>
        </w:rPr>
      </w:pPr>
      <w:r>
        <w:rPr>
          <w:rFonts w:hint="eastAsia" w:ascii="宋体" w:hAnsi="宋体" w:eastAsia="宋体" w:cs="宋体"/>
          <w:color w:val="000000"/>
          <w:szCs w:val="21"/>
        </w:rPr>
        <w:t>出现下列情况的，本项目竞价活动失败：</w:t>
      </w:r>
    </w:p>
    <w:p>
      <w:pPr>
        <w:pStyle w:val="30"/>
        <w:numPr>
          <w:ilvl w:val="0"/>
          <w:numId w:val="12"/>
        </w:numPr>
        <w:spacing w:line="360" w:lineRule="auto"/>
        <w:ind w:left="1260" w:leftChars="600" w:firstLineChars="0"/>
        <w:rPr>
          <w:rFonts w:ascii="宋体" w:hAnsi="宋体" w:eastAsia="宋体" w:cs="宋体"/>
          <w:color w:val="000000"/>
        </w:rPr>
      </w:pPr>
      <w:r>
        <w:rPr>
          <w:rFonts w:hint="eastAsia" w:ascii="宋体" w:hAnsi="宋体" w:eastAsia="宋体" w:cs="宋体"/>
          <w:color w:val="000000"/>
        </w:rPr>
        <w:t>有效报名供应商不足3家；</w:t>
      </w:r>
    </w:p>
    <w:p>
      <w:pPr>
        <w:pStyle w:val="30"/>
        <w:numPr>
          <w:ilvl w:val="0"/>
          <w:numId w:val="12"/>
        </w:numPr>
        <w:spacing w:line="360" w:lineRule="auto"/>
        <w:ind w:left="1260" w:leftChars="600" w:firstLineChars="0"/>
        <w:rPr>
          <w:rFonts w:ascii="宋体" w:hAnsi="宋体" w:eastAsia="宋体" w:cs="宋体"/>
          <w:color w:val="000000"/>
          <w:szCs w:val="21"/>
        </w:rPr>
      </w:pPr>
      <w:r>
        <w:rPr>
          <w:rFonts w:hint="eastAsia" w:ascii="宋体" w:hAnsi="宋体" w:eastAsia="宋体" w:cs="宋体"/>
          <w:color w:val="000000"/>
        </w:rPr>
        <w:t>有效报价供应商不足3家。</w:t>
      </w:r>
    </w:p>
    <w:p>
      <w:pPr>
        <w:pStyle w:val="30"/>
        <w:spacing w:line="360" w:lineRule="auto"/>
        <w:ind w:left="840" w:leftChars="200" w:hanging="420" w:firstLineChars="0"/>
        <w:rPr>
          <w:rFonts w:ascii="宋体" w:hAnsi="宋体" w:eastAsia="宋体" w:cs="宋体"/>
          <w:szCs w:val="21"/>
        </w:rPr>
      </w:pPr>
      <w:r>
        <w:rPr>
          <w:rFonts w:hint="eastAsia" w:ascii="宋体" w:hAnsi="宋体" w:eastAsia="宋体" w:cs="宋体"/>
          <w:szCs w:val="21"/>
        </w:rPr>
        <w:t>2.出现影响采购公正的违法、违规行为的。</w:t>
      </w:r>
    </w:p>
    <w:p>
      <w:pPr>
        <w:pStyle w:val="30"/>
        <w:spacing w:line="360" w:lineRule="auto"/>
        <w:ind w:left="840" w:leftChars="200" w:hanging="420" w:firstLineChars="0"/>
        <w:rPr>
          <w:rFonts w:ascii="宋体" w:hAnsi="宋体" w:eastAsia="宋体" w:cs="宋体"/>
          <w:szCs w:val="21"/>
        </w:rPr>
      </w:pPr>
      <w:r>
        <w:rPr>
          <w:rFonts w:hint="eastAsia" w:ascii="宋体" w:hAnsi="宋体" w:eastAsia="宋体" w:cs="宋体"/>
          <w:szCs w:val="21"/>
        </w:rPr>
        <w:t>3.因重大变故，采购任务取消的。</w:t>
      </w:r>
    </w:p>
    <w:p>
      <w:pPr>
        <w:pStyle w:val="30"/>
        <w:numPr>
          <w:ilvl w:val="0"/>
          <w:numId w:val="3"/>
        </w:numPr>
        <w:spacing w:line="360" w:lineRule="auto"/>
        <w:ind w:left="420" w:hanging="420" w:firstLineChars="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使用费</w:t>
      </w:r>
    </w:p>
    <w:p>
      <w:pPr>
        <w:pStyle w:val="30"/>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1.成交供应商须向平台服务商云采链线上采购一体化平台缴纳平台使用费，金额为成交金额的1.5%（四舍五入取整数）。</w:t>
      </w:r>
    </w:p>
    <w:p>
      <w:pPr>
        <w:pStyle w:val="30"/>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2.成交供应商无正当理由放弃成交资格的必须按竞价公告等相关规定缴纳相应的平台使用费。</w:t>
      </w:r>
    </w:p>
    <w:p>
      <w:pPr>
        <w:pStyle w:val="30"/>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3.如确实因不可抗力放弃成交资格的，应在不可抗力发生后三个工作日内予以通知采购代理机构并提供相关的证明；如逾期，采购代理机构不予退还平台使用费。</w:t>
      </w:r>
    </w:p>
    <w:p>
      <w:pPr>
        <w:pStyle w:val="30"/>
        <w:numPr>
          <w:ilvl w:val="0"/>
          <w:numId w:val="2"/>
        </w:numPr>
        <w:spacing w:line="360" w:lineRule="auto"/>
        <w:ind w:firstLineChars="0"/>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联系方式</w:t>
      </w:r>
    </w:p>
    <w:p>
      <w:pPr>
        <w:pStyle w:val="18"/>
        <w:spacing w:before="0" w:beforeAutospacing="0" w:after="0" w:afterAutospacing="0" w:line="360" w:lineRule="auto"/>
        <w:ind w:left="420"/>
        <w:rPr>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扫码关注微信公众号“云采链互联服务平台”，即可在线咨询相关事项。</w:t>
      </w:r>
    </w:p>
    <w:p>
      <w:pPr>
        <w:pStyle w:val="30"/>
        <w:widowControl/>
        <w:spacing w:line="360" w:lineRule="auto"/>
        <w:ind w:left="420"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snapToGrid w:val="0"/>
        <w:spacing w:line="360" w:lineRule="auto"/>
        <w:jc w:val="center"/>
        <w:outlineLvl w:val="0"/>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第二章 用户需求书</w:t>
      </w:r>
    </w:p>
    <w:p>
      <w:pPr>
        <w:snapToGrid w:val="0"/>
        <w:spacing w:line="360" w:lineRule="auto"/>
        <w:ind w:left="517" w:hanging="517" w:hangingChars="245"/>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说明：</w:t>
      </w:r>
    </w:p>
    <w:p>
      <w:pPr>
        <w:numPr>
          <w:ilvl w:val="0"/>
          <w:numId w:val="13"/>
        </w:numPr>
        <w:snapToGrid w:val="0"/>
        <w:spacing w:line="360" w:lineRule="auto"/>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响应供应商须对本项目进行整体响应，任何只对其中一部分进行的响应都被视为无效响应。 </w:t>
      </w:r>
    </w:p>
    <w:p>
      <w:pPr>
        <w:pStyle w:val="10"/>
        <w:numPr>
          <w:ilvl w:val="0"/>
          <w:numId w:val="14"/>
        </w:numPr>
        <w:tabs>
          <w:tab w:val="left" w:pos="540"/>
        </w:tabs>
        <w:adjustRightInd w:val="0"/>
        <w:snapToGrid w:val="0"/>
        <w:spacing w:line="360" w:lineRule="auto"/>
        <w:rPr>
          <w:rFonts w:hAnsi="宋体" w:cs="宋体"/>
          <w:b/>
          <w:bCs/>
          <w:color w:val="000000" w:themeColor="text1"/>
          <w:sz w:val="21"/>
          <w14:textFill>
            <w14:solidFill>
              <w14:schemeClr w14:val="tx1"/>
            </w14:solidFill>
          </w14:textFill>
        </w:rPr>
      </w:pPr>
      <w:r>
        <w:rPr>
          <w:rFonts w:hint="eastAsia" w:hAnsi="宋体" w:cs="宋体"/>
          <w:b/>
          <w:bCs/>
          <w:color w:val="000000" w:themeColor="text1"/>
          <w:sz w:val="21"/>
          <w14:textFill>
            <w14:solidFill>
              <w14:schemeClr w14:val="tx1"/>
            </w14:solidFill>
          </w14:textFill>
        </w:rPr>
        <w:t>项目一览表</w:t>
      </w:r>
    </w:p>
    <w:tbl>
      <w:tblPr>
        <w:tblStyle w:val="23"/>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563"/>
        <w:gridCol w:w="970"/>
        <w:gridCol w:w="2969"/>
        <w:gridCol w:w="20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04" w:type="pct"/>
            <w:tcBorders>
              <w:top w:val="single" w:color="auto" w:sz="12" w:space="0"/>
              <w:bottom w:val="single" w:color="auto" w:sz="2" w:space="0"/>
            </w:tcBorders>
            <w:shd w:val="clear" w:color="auto" w:fill="EEECE1"/>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采购内容</w:t>
            </w:r>
          </w:p>
        </w:tc>
        <w:tc>
          <w:tcPr>
            <w:tcW w:w="569" w:type="pct"/>
            <w:tcBorders>
              <w:top w:val="single" w:color="auto" w:sz="12" w:space="0"/>
              <w:bottom w:val="single" w:color="auto" w:sz="2" w:space="0"/>
            </w:tcBorders>
            <w:shd w:val="clear" w:color="auto" w:fill="EEECE1"/>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数量</w:t>
            </w:r>
          </w:p>
        </w:tc>
        <w:tc>
          <w:tcPr>
            <w:tcW w:w="1742" w:type="pct"/>
            <w:tcBorders>
              <w:top w:val="single" w:color="auto" w:sz="12" w:space="0"/>
              <w:bottom w:val="single" w:color="auto" w:sz="2" w:space="0"/>
            </w:tcBorders>
            <w:shd w:val="clear" w:color="auto" w:fill="EEECE1"/>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rPr>
              <w:t>交货期</w:t>
            </w:r>
          </w:p>
        </w:tc>
        <w:tc>
          <w:tcPr>
            <w:tcW w:w="1183" w:type="pct"/>
            <w:tcBorders>
              <w:top w:val="single" w:color="auto" w:sz="12" w:space="0"/>
              <w:bottom w:val="single" w:color="auto" w:sz="2" w:space="0"/>
            </w:tcBorders>
            <w:shd w:val="clear" w:color="auto" w:fill="EEECE1"/>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最高限价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04" w:type="pct"/>
            <w:tcBorders>
              <w:top w:val="single" w:color="auto" w:sz="2" w:space="0"/>
              <w:bottom w:val="single" w:color="auto" w:sz="2" w:space="0"/>
            </w:tcBorders>
            <w:vAlign w:val="center"/>
          </w:tcPr>
          <w:p>
            <w:pPr>
              <w:spacing w:line="360" w:lineRule="auto"/>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肇庆市鼎湖区桂城街道社区卫生服务中心毛巾采购项目</w:t>
            </w:r>
          </w:p>
        </w:tc>
        <w:tc>
          <w:tcPr>
            <w:tcW w:w="569" w:type="pct"/>
            <w:tcBorders>
              <w:top w:val="single" w:color="auto" w:sz="2" w:space="0"/>
              <w:bottom w:val="single" w:color="auto" w:sz="2" w:space="0"/>
            </w:tcBorders>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1批</w:t>
            </w:r>
          </w:p>
        </w:tc>
        <w:tc>
          <w:tcPr>
            <w:tcW w:w="1742" w:type="pct"/>
            <w:tcBorders>
              <w:top w:val="single" w:color="auto" w:sz="2" w:space="0"/>
              <w:bottom w:val="single" w:color="auto" w:sz="2" w:space="0"/>
            </w:tcBorders>
            <w:vAlign w:val="center"/>
          </w:tcPr>
          <w:p>
            <w:pPr>
              <w:pStyle w:val="37"/>
              <w:spacing w:line="360" w:lineRule="auto"/>
              <w:ind w:right="-82" w:rightChars="-39" w:hanging="54"/>
              <w:rPr>
                <w:rFonts w:ascii="宋体" w:hAnsi="宋体" w:cs="宋体"/>
                <w:snapToGrid/>
                <w:color w:val="000000" w:themeColor="text1"/>
                <w:spacing w:val="0"/>
                <w:kern w:val="2"/>
                <w:sz w:val="21"/>
                <w:szCs w:val="24"/>
                <w14:textFill>
                  <w14:solidFill>
                    <w14:schemeClr w14:val="tx1"/>
                  </w14:solidFill>
                </w14:textFill>
              </w:rPr>
            </w:pPr>
            <w:r>
              <w:rPr>
                <w:rFonts w:hint="eastAsia" w:ascii="宋体" w:hAnsi="宋体" w:cs="宋体"/>
                <w:snapToGrid/>
                <w:color w:val="000000" w:themeColor="text1"/>
                <w:spacing w:val="0"/>
                <w:kern w:val="2"/>
                <w:sz w:val="21"/>
                <w:szCs w:val="21"/>
                <w14:textFill>
                  <w14:solidFill>
                    <w14:schemeClr w14:val="tx1"/>
                  </w14:solidFill>
                </w14:textFill>
              </w:rPr>
              <w:t>自合同签订之日起</w:t>
            </w:r>
            <w:r>
              <w:rPr>
                <w:rFonts w:hint="eastAsia" w:ascii="宋体" w:hAnsi="宋体" w:cs="宋体"/>
                <w:snapToGrid/>
                <w:color w:val="000000" w:themeColor="text1"/>
                <w:spacing w:val="0"/>
                <w:kern w:val="2"/>
                <w:sz w:val="21"/>
                <w:szCs w:val="21"/>
                <w:u w:val="single"/>
                <w:lang w:val="en-US" w:eastAsia="zh-CN"/>
                <w14:textFill>
                  <w14:solidFill>
                    <w14:schemeClr w14:val="tx1"/>
                  </w14:solidFill>
                </w14:textFill>
              </w:rPr>
              <w:t>15</w:t>
            </w:r>
            <w:r>
              <w:rPr>
                <w:rFonts w:hint="eastAsia" w:ascii="宋体" w:hAnsi="宋体" w:cs="宋体"/>
                <w:snapToGrid/>
                <w:color w:val="000000" w:themeColor="text1"/>
                <w:spacing w:val="0"/>
                <w:kern w:val="2"/>
                <w:sz w:val="21"/>
                <w:szCs w:val="21"/>
                <w14:textFill>
                  <w14:solidFill>
                    <w14:schemeClr w14:val="tx1"/>
                  </w14:solidFill>
                </w14:textFill>
              </w:rPr>
              <w:t>日历天内</w:t>
            </w:r>
          </w:p>
        </w:tc>
        <w:tc>
          <w:tcPr>
            <w:tcW w:w="1183" w:type="pct"/>
            <w:tcBorders>
              <w:top w:val="single" w:color="auto" w:sz="2" w:space="0"/>
              <w:bottom w:val="single" w:color="auto" w:sz="2" w:space="0"/>
            </w:tcBorders>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人民币</w:t>
            </w:r>
            <w:r>
              <w:rPr>
                <w:rFonts w:hint="eastAsia" w:ascii="宋体" w:hAnsi="宋体" w:eastAsia="宋体" w:cs="宋体"/>
                <w:color w:val="000000" w:themeColor="text1"/>
                <w:szCs w:val="21"/>
                <w:u w:val="single"/>
                <w14:textFill>
                  <w14:solidFill>
                    <w14:schemeClr w14:val="tx1"/>
                  </w14:solidFill>
                </w14:textFill>
              </w:rPr>
              <w:t>28000</w:t>
            </w:r>
            <w:r>
              <w:rPr>
                <w:rFonts w:hint="eastAsia" w:ascii="宋体" w:hAnsi="宋体" w:eastAsia="宋体" w:cs="宋体"/>
                <w:color w:val="000000" w:themeColor="text1"/>
                <w:szCs w:val="21"/>
                <w14:textFill>
                  <w14:solidFill>
                    <w14:schemeClr w14:val="tx1"/>
                  </w14:solidFill>
                </w14:textFill>
              </w:rPr>
              <w:t>元</w:t>
            </w:r>
          </w:p>
        </w:tc>
      </w:tr>
    </w:tbl>
    <w:p>
      <w:pPr>
        <w:pStyle w:val="10"/>
        <w:numPr>
          <w:ilvl w:val="0"/>
          <w:numId w:val="14"/>
        </w:numPr>
        <w:tabs>
          <w:tab w:val="left" w:pos="540"/>
        </w:tabs>
        <w:adjustRightInd w:val="0"/>
        <w:snapToGrid w:val="0"/>
        <w:spacing w:line="360" w:lineRule="auto"/>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采购清单</w:t>
      </w:r>
    </w:p>
    <w:tbl>
      <w:tblPr>
        <w:tblStyle w:val="23"/>
        <w:tblW w:w="34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
        <w:gridCol w:w="1200"/>
        <w:gridCol w:w="1373"/>
        <w:gridCol w:w="753"/>
        <w:gridCol w:w="753"/>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457" w:type="pct"/>
            <w:vAlign w:val="center"/>
          </w:tcPr>
          <w:p>
            <w:pPr>
              <w:pStyle w:val="10"/>
              <w:tabs>
                <w:tab w:val="left" w:pos="420"/>
                <w:tab w:val="left" w:pos="540"/>
              </w:tabs>
              <w:adjustRightInd w:val="0"/>
              <w:snapToGrid w:val="0"/>
              <w:jc w:val="center"/>
              <w:rPr>
                <w:rFonts w:cs="宋体" w:asciiTheme="minorEastAsia" w:hAnsiTheme="minorEastAsia" w:eastAsiaTheme="minorEastAsia"/>
                <w:b/>
                <w:color w:val="000000"/>
                <w:sz w:val="21"/>
              </w:rPr>
            </w:pPr>
            <w:r>
              <w:rPr>
                <w:rFonts w:hint="eastAsia" w:cs="宋体" w:asciiTheme="minorEastAsia" w:hAnsiTheme="minorEastAsia" w:eastAsiaTheme="minorEastAsia"/>
                <w:b/>
                <w:color w:val="000000"/>
                <w:sz w:val="21"/>
              </w:rPr>
              <w:t>序号</w:t>
            </w:r>
          </w:p>
        </w:tc>
        <w:tc>
          <w:tcPr>
            <w:tcW w:w="1011" w:type="pct"/>
            <w:vAlign w:val="center"/>
          </w:tcPr>
          <w:p>
            <w:pPr>
              <w:pStyle w:val="10"/>
              <w:tabs>
                <w:tab w:val="left" w:pos="420"/>
                <w:tab w:val="left" w:pos="540"/>
              </w:tabs>
              <w:adjustRightInd w:val="0"/>
              <w:snapToGrid w:val="0"/>
              <w:jc w:val="center"/>
              <w:rPr>
                <w:rFonts w:cs="宋体" w:asciiTheme="minorEastAsia" w:hAnsiTheme="minorEastAsia" w:eastAsiaTheme="minorEastAsia"/>
                <w:b/>
                <w:color w:val="000000"/>
                <w:sz w:val="21"/>
              </w:rPr>
            </w:pPr>
            <w:r>
              <w:rPr>
                <w:rFonts w:hint="eastAsia" w:cs="宋体" w:asciiTheme="minorEastAsia" w:hAnsiTheme="minorEastAsia" w:eastAsiaTheme="minorEastAsia"/>
                <w:b/>
                <w:color w:val="000000"/>
                <w:sz w:val="21"/>
              </w:rPr>
              <w:t>采购内容</w:t>
            </w:r>
          </w:p>
        </w:tc>
        <w:tc>
          <w:tcPr>
            <w:tcW w:w="1157" w:type="pct"/>
            <w:vAlign w:val="center"/>
          </w:tcPr>
          <w:p>
            <w:pPr>
              <w:pStyle w:val="10"/>
              <w:tabs>
                <w:tab w:val="left" w:pos="420"/>
                <w:tab w:val="left" w:pos="540"/>
              </w:tabs>
              <w:adjustRightInd w:val="0"/>
              <w:snapToGrid w:val="0"/>
              <w:jc w:val="center"/>
              <w:rPr>
                <w:rFonts w:cs="宋体" w:asciiTheme="minorEastAsia" w:hAnsiTheme="minorEastAsia" w:eastAsiaTheme="minorEastAsia"/>
                <w:b/>
                <w:color w:val="000000"/>
                <w:sz w:val="21"/>
              </w:rPr>
            </w:pPr>
            <w:r>
              <w:rPr>
                <w:rFonts w:hint="eastAsia" w:cs="宋体" w:asciiTheme="minorEastAsia" w:hAnsiTheme="minorEastAsia" w:eastAsiaTheme="minorEastAsia"/>
                <w:b/>
                <w:color w:val="000000"/>
                <w:sz w:val="21"/>
              </w:rPr>
              <w:t>规格</w:t>
            </w:r>
          </w:p>
        </w:tc>
        <w:tc>
          <w:tcPr>
            <w:tcW w:w="634" w:type="pct"/>
            <w:vAlign w:val="center"/>
          </w:tcPr>
          <w:p>
            <w:pPr>
              <w:pStyle w:val="10"/>
              <w:tabs>
                <w:tab w:val="left" w:pos="420"/>
                <w:tab w:val="left" w:pos="540"/>
              </w:tabs>
              <w:adjustRightInd w:val="0"/>
              <w:snapToGrid w:val="0"/>
              <w:jc w:val="center"/>
              <w:rPr>
                <w:rFonts w:cs="宋体" w:asciiTheme="minorEastAsia" w:hAnsiTheme="minorEastAsia" w:eastAsiaTheme="minorEastAsia"/>
                <w:b/>
                <w:color w:val="000000"/>
                <w:sz w:val="21"/>
              </w:rPr>
            </w:pPr>
            <w:r>
              <w:rPr>
                <w:rFonts w:hint="eastAsia" w:cs="宋体" w:asciiTheme="minorEastAsia" w:hAnsiTheme="minorEastAsia" w:eastAsiaTheme="minorEastAsia"/>
                <w:b/>
                <w:color w:val="000000"/>
                <w:sz w:val="21"/>
              </w:rPr>
              <w:t>单位</w:t>
            </w:r>
          </w:p>
        </w:tc>
        <w:tc>
          <w:tcPr>
            <w:tcW w:w="634" w:type="pct"/>
            <w:vAlign w:val="center"/>
          </w:tcPr>
          <w:p>
            <w:pPr>
              <w:pStyle w:val="10"/>
              <w:tabs>
                <w:tab w:val="left" w:pos="420"/>
                <w:tab w:val="left" w:pos="540"/>
              </w:tabs>
              <w:adjustRightInd w:val="0"/>
              <w:snapToGrid w:val="0"/>
              <w:jc w:val="center"/>
              <w:rPr>
                <w:rFonts w:cs="宋体" w:asciiTheme="minorEastAsia" w:hAnsiTheme="minorEastAsia" w:eastAsiaTheme="minorEastAsia"/>
                <w:b/>
                <w:color w:val="000000"/>
                <w:sz w:val="21"/>
              </w:rPr>
            </w:pPr>
            <w:r>
              <w:rPr>
                <w:rFonts w:hint="eastAsia" w:cs="宋体" w:asciiTheme="minorEastAsia" w:hAnsiTheme="minorEastAsia" w:eastAsiaTheme="minorEastAsia"/>
                <w:b/>
                <w:color w:val="000000"/>
                <w:sz w:val="21"/>
              </w:rPr>
              <w:t>数量</w:t>
            </w:r>
          </w:p>
        </w:tc>
        <w:tc>
          <w:tcPr>
            <w:tcW w:w="1104" w:type="pct"/>
            <w:vAlign w:val="center"/>
          </w:tcPr>
          <w:p>
            <w:pPr>
              <w:pStyle w:val="10"/>
              <w:tabs>
                <w:tab w:val="left" w:pos="420"/>
                <w:tab w:val="left" w:pos="540"/>
              </w:tabs>
              <w:adjustRightInd w:val="0"/>
              <w:snapToGrid w:val="0"/>
              <w:jc w:val="center"/>
              <w:rPr>
                <w:rFonts w:cs="宋体" w:asciiTheme="minorEastAsia" w:hAnsiTheme="minorEastAsia" w:eastAsiaTheme="minorEastAsia"/>
                <w:b/>
                <w:color w:val="000000"/>
                <w:sz w:val="21"/>
              </w:rPr>
            </w:pPr>
            <w:r>
              <w:rPr>
                <w:rFonts w:hint="eastAsia" w:cs="宋体" w:asciiTheme="minorEastAsia" w:hAnsiTheme="minorEastAsia" w:eastAsiaTheme="minorEastAsia"/>
                <w:b/>
                <w:color w:val="000000"/>
                <w:sz w:val="21"/>
                <w:lang w:val="en-US" w:eastAsia="zh-CN"/>
              </w:rPr>
              <w:t>最高</w:t>
            </w:r>
            <w:r>
              <w:rPr>
                <w:rFonts w:hint="eastAsia" w:cs="宋体" w:asciiTheme="minorEastAsia" w:hAnsiTheme="minorEastAsia" w:eastAsiaTheme="minorEastAsia"/>
                <w:b/>
                <w:color w:val="000000"/>
                <w:sz w:val="21"/>
              </w:rPr>
              <w:t>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57" w:type="pct"/>
            <w:vAlign w:val="center"/>
          </w:tcPr>
          <w:p>
            <w:pPr>
              <w:pStyle w:val="10"/>
              <w:tabs>
                <w:tab w:val="left" w:pos="420"/>
                <w:tab w:val="left" w:pos="540"/>
              </w:tabs>
              <w:adjustRightInd w:val="0"/>
              <w:snapToGrid w:val="0"/>
              <w:jc w:val="center"/>
              <w:rPr>
                <w:rFonts w:cs="宋体" w:asciiTheme="minorEastAsia" w:hAnsiTheme="minorEastAsia" w:eastAsiaTheme="minorEastAsia"/>
                <w:color w:val="000000"/>
                <w:sz w:val="21"/>
              </w:rPr>
            </w:pPr>
            <w:r>
              <w:rPr>
                <w:rFonts w:hint="eastAsia" w:cs="宋体" w:asciiTheme="minorEastAsia" w:hAnsiTheme="minorEastAsia" w:eastAsiaTheme="minorEastAsia"/>
                <w:color w:val="000000"/>
                <w:sz w:val="21"/>
              </w:rPr>
              <w:t>1</w:t>
            </w:r>
          </w:p>
        </w:tc>
        <w:tc>
          <w:tcPr>
            <w:tcW w:w="1011" w:type="pct"/>
            <w:vAlign w:val="center"/>
          </w:tcPr>
          <w:p>
            <w:pPr>
              <w:pStyle w:val="10"/>
              <w:tabs>
                <w:tab w:val="left" w:pos="420"/>
                <w:tab w:val="left" w:pos="540"/>
              </w:tabs>
              <w:adjustRightInd w:val="0"/>
              <w:snapToGrid w:val="0"/>
              <w:jc w:val="center"/>
              <w:rPr>
                <w:rFonts w:hint="eastAsia" w:cs="宋体" w:asciiTheme="minorEastAsia" w:hAnsiTheme="minorEastAsia" w:eastAsiaTheme="minorEastAsia"/>
                <w:b/>
                <w:color w:val="000000"/>
                <w:sz w:val="21"/>
                <w:lang w:eastAsia="zh-CN"/>
              </w:rPr>
            </w:pPr>
            <w:r>
              <w:rPr>
                <w:rFonts w:hint="eastAsia" w:asciiTheme="minorEastAsia" w:hAnsiTheme="minorEastAsia" w:eastAsiaTheme="minorEastAsia"/>
                <w:sz w:val="21"/>
                <w:lang w:val="en-US" w:eastAsia="zh-CN"/>
              </w:rPr>
              <w:t>毛巾</w:t>
            </w:r>
          </w:p>
        </w:tc>
        <w:tc>
          <w:tcPr>
            <w:tcW w:w="1157" w:type="pct"/>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33*73CM</w:t>
            </w:r>
          </w:p>
        </w:tc>
        <w:tc>
          <w:tcPr>
            <w:tcW w:w="634" w:type="pct"/>
            <w:vAlign w:val="center"/>
          </w:tcPr>
          <w:p>
            <w:pPr>
              <w:pStyle w:val="76"/>
              <w:spacing w:before="87"/>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条</w:t>
            </w:r>
          </w:p>
        </w:tc>
        <w:tc>
          <w:tcPr>
            <w:tcW w:w="634" w:type="pct"/>
            <w:vAlign w:val="center"/>
          </w:tcPr>
          <w:p>
            <w:pPr>
              <w:pStyle w:val="76"/>
              <w:spacing w:before="87"/>
              <w:ind w:right="13"/>
              <w:jc w:val="center"/>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2000</w:t>
            </w:r>
          </w:p>
        </w:tc>
        <w:tc>
          <w:tcPr>
            <w:tcW w:w="1104" w:type="pct"/>
            <w:vAlign w:val="center"/>
          </w:tcPr>
          <w:p>
            <w:pPr>
              <w:pStyle w:val="10"/>
              <w:tabs>
                <w:tab w:val="left" w:pos="420"/>
                <w:tab w:val="left" w:pos="540"/>
              </w:tabs>
              <w:adjustRightInd w:val="0"/>
              <w:snapToGrid w:val="0"/>
              <w:jc w:val="center"/>
              <w:rPr>
                <w:rFonts w:hint="default" w:cs="宋体" w:asciiTheme="minorEastAsia" w:hAnsiTheme="minorEastAsia" w:eastAsiaTheme="minorEastAsia"/>
                <w:b/>
                <w:color w:val="000000"/>
                <w:sz w:val="21"/>
                <w:lang w:val="en-US" w:eastAsia="zh-CN"/>
              </w:rPr>
            </w:pPr>
            <w:r>
              <w:rPr>
                <w:rFonts w:hint="eastAsia" w:ascii="宋体" w:hAnsi="宋体" w:eastAsia="宋体" w:cs="宋体"/>
                <w:b/>
                <w:bCs/>
                <w:color w:val="000000" w:themeColor="text1"/>
                <w:szCs w:val="21"/>
                <w:u w:val="none"/>
                <w14:textFill>
                  <w14:solidFill>
                    <w14:schemeClr w14:val="tx1"/>
                  </w14:solidFill>
                </w14:textFill>
              </w:rPr>
              <w:t>28000</w:t>
            </w:r>
            <w:r>
              <w:rPr>
                <w:rFonts w:hint="eastAsia" w:cs="宋体" w:asciiTheme="minorEastAsia" w:hAnsiTheme="minorEastAsia" w:eastAsiaTheme="minorEastAsia"/>
                <w:b/>
                <w:bCs/>
                <w:color w:val="000000"/>
                <w:sz w:val="21"/>
                <w:u w:val="none"/>
                <w:lang w:val="en-US" w:eastAsia="zh-CN"/>
              </w:rPr>
              <w:t>.00</w:t>
            </w:r>
          </w:p>
        </w:tc>
      </w:tr>
    </w:tbl>
    <w:p>
      <w:pPr>
        <w:pStyle w:val="10"/>
        <w:tabs>
          <w:tab w:val="left" w:pos="540"/>
        </w:tabs>
        <w:adjustRightInd w:val="0"/>
        <w:snapToGrid w:val="0"/>
        <w:spacing w:line="360" w:lineRule="auto"/>
        <w:ind w:firstLine="422"/>
        <w:rPr>
          <w:rFonts w:hAnsi="宋体" w:cs="宋体"/>
          <w:b/>
          <w:bCs/>
          <w:color w:val="000000"/>
          <w:sz w:val="21"/>
        </w:rPr>
      </w:pPr>
      <w:r>
        <w:rPr>
          <w:rFonts w:hAnsi="宋体" w:cs="宋体"/>
          <w:b/>
          <w:bCs/>
          <w:color w:val="000000"/>
          <w:sz w:val="21"/>
        </w:rPr>
        <w:t>备注：</w:t>
      </w:r>
      <w:r>
        <w:rPr>
          <w:rFonts w:hint="eastAsia" w:hAnsi="宋体" w:cs="宋体"/>
          <w:b/>
          <w:bCs/>
          <w:color w:val="000000"/>
          <w:sz w:val="21"/>
          <w:lang w:val="en-US" w:eastAsia="zh-CN"/>
        </w:rPr>
        <w:t>1.</w:t>
      </w:r>
      <w:r>
        <w:rPr>
          <w:rFonts w:hAnsi="宋体" w:cs="宋体"/>
          <w:b/>
          <w:bCs/>
          <w:color w:val="000000"/>
          <w:sz w:val="21"/>
        </w:rPr>
        <w:t>供应商报价须包含税费、运费等其它一切费用，不得另外收费</w:t>
      </w:r>
      <w:r>
        <w:rPr>
          <w:rFonts w:hint="eastAsia" w:hAnsi="宋体" w:cs="宋体"/>
          <w:b/>
          <w:bCs/>
          <w:color w:val="000000"/>
          <w:sz w:val="21"/>
          <w:lang w:eastAsia="zh-CN"/>
        </w:rPr>
        <w:t>；</w:t>
      </w:r>
      <w:r>
        <w:rPr>
          <w:rFonts w:hint="eastAsia" w:hAnsi="宋体" w:cs="宋体"/>
          <w:b/>
          <w:bCs/>
          <w:color w:val="000000"/>
          <w:sz w:val="21"/>
          <w:lang w:val="en-US" w:eastAsia="zh-CN"/>
        </w:rPr>
        <w:t>2.供应商</w:t>
      </w:r>
      <w:r>
        <w:rPr>
          <w:rFonts w:hint="eastAsia"/>
          <w:b/>
          <w:bCs/>
          <w:color w:val="000000" w:themeColor="text1"/>
          <w:sz w:val="21"/>
          <w:szCs w:val="21"/>
          <w:u w:val="none"/>
          <w:lang w:val="en-US" w:eastAsia="zh-CN"/>
          <w14:textFill>
            <w14:solidFill>
              <w14:schemeClr w14:val="tx1"/>
            </w14:solidFill>
          </w14:textFill>
        </w:rPr>
        <w:t>须提供产品图片，与报价表一并上传</w:t>
      </w:r>
      <w:r>
        <w:rPr>
          <w:rFonts w:hAnsi="宋体" w:cs="宋体"/>
          <w:b/>
          <w:bCs/>
          <w:color w:val="000000"/>
          <w:sz w:val="21"/>
        </w:rPr>
        <w:t>。</w:t>
      </w:r>
    </w:p>
    <w:p>
      <w:pPr>
        <w:pStyle w:val="10"/>
        <w:numPr>
          <w:ilvl w:val="0"/>
          <w:numId w:val="14"/>
        </w:numPr>
        <w:tabs>
          <w:tab w:val="left" w:pos="540"/>
        </w:tabs>
        <w:adjustRightInd w:val="0"/>
        <w:snapToGrid w:val="0"/>
        <w:spacing w:line="360" w:lineRule="auto"/>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商务要求：</w:t>
      </w:r>
    </w:p>
    <w:p>
      <w:pPr>
        <w:pStyle w:val="10"/>
        <w:numPr>
          <w:ilvl w:val="0"/>
          <w:numId w:val="15"/>
        </w:numPr>
        <w:tabs>
          <w:tab w:val="left" w:pos="540"/>
        </w:tabs>
        <w:adjustRightInd w:val="0"/>
        <w:snapToGrid w:val="0"/>
        <w:spacing w:line="360" w:lineRule="auto"/>
        <w:rPr>
          <w:rFonts w:hAnsi="宋体" w:cs="宋体"/>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质保期及售后服务要求</w:t>
      </w:r>
    </w:p>
    <w:p>
      <w:pPr>
        <w:pStyle w:val="10"/>
        <w:numPr>
          <w:ilvl w:val="0"/>
          <w:numId w:val="16"/>
        </w:numPr>
        <w:tabs>
          <w:tab w:val="left" w:pos="2340"/>
        </w:tabs>
        <w:adjustRightInd w:val="0"/>
        <w:snapToGrid w:val="0"/>
        <w:spacing w:line="360" w:lineRule="auto"/>
        <w:ind w:left="425" w:hanging="425"/>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质量保证期（简称“质保期”）为1年，质保期内成交供应商对所供货物实行包修、包换、包退、包维护保养。</w:t>
      </w:r>
    </w:p>
    <w:p>
      <w:pPr>
        <w:numPr>
          <w:ilvl w:val="0"/>
          <w:numId w:val="16"/>
        </w:numPr>
        <w:autoSpaceDE w:val="0"/>
        <w:autoSpaceDN w:val="0"/>
        <w:adjustRightInd w:val="0"/>
        <w:snapToGrid w:val="0"/>
        <w:spacing w:line="360" w:lineRule="auto"/>
        <w:ind w:left="425" w:hanging="425"/>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质保期内，如设备或零部件因非人为因素出现故障而造成短期停用时，则质保期和免费维修期相应顺延。如停用时间累计超过60天则质保期重新计算。</w:t>
      </w:r>
    </w:p>
    <w:p>
      <w:pPr>
        <w:numPr>
          <w:ilvl w:val="0"/>
          <w:numId w:val="16"/>
        </w:numPr>
        <w:autoSpaceDE w:val="0"/>
        <w:autoSpaceDN w:val="0"/>
        <w:adjustRightInd w:val="0"/>
        <w:snapToGrid w:val="0"/>
        <w:spacing w:line="360" w:lineRule="auto"/>
        <w:ind w:left="425" w:hanging="425"/>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对采购人的服务通知，成交</w:t>
      </w:r>
      <w:r>
        <w:rPr>
          <w:rFonts w:hint="eastAsia" w:ascii="宋体" w:hAnsi="宋体" w:eastAsia="宋体" w:cs="宋体"/>
          <w:iCs/>
          <w:szCs w:val="21"/>
          <w:lang w:bidi="ar"/>
        </w:rPr>
        <w:t>供应商</w:t>
      </w:r>
      <w:r>
        <w:rPr>
          <w:rFonts w:hint="eastAsia" w:ascii="宋体" w:hAnsi="宋体" w:eastAsia="宋体" w:cs="宋体"/>
          <w:color w:val="000000" w:themeColor="text1"/>
          <w:szCs w:val="21"/>
          <w14:textFill>
            <w14:solidFill>
              <w14:schemeClr w14:val="tx1"/>
            </w14:solidFill>
          </w14:textFill>
        </w:rPr>
        <w:t>在接报后1小时内响应，4小时内到达现场，48小时内处理完毕。若在48小时内仍未能有效解决，成交</w:t>
      </w:r>
      <w:r>
        <w:rPr>
          <w:rFonts w:hint="eastAsia" w:ascii="宋体" w:hAnsi="宋体" w:eastAsia="宋体" w:cs="宋体"/>
          <w:iCs/>
          <w:szCs w:val="21"/>
          <w:lang w:bidi="ar"/>
        </w:rPr>
        <w:t>供应商</w:t>
      </w:r>
      <w:r>
        <w:rPr>
          <w:rFonts w:hint="eastAsia" w:ascii="宋体" w:hAnsi="宋体" w:eastAsia="宋体" w:cs="宋体"/>
          <w:color w:val="000000" w:themeColor="text1"/>
          <w:szCs w:val="21"/>
          <w14:textFill>
            <w14:solidFill>
              <w14:schemeClr w14:val="tx1"/>
            </w14:solidFill>
          </w14:textFill>
        </w:rPr>
        <w:t>须免费提供同档次的设备予采购人临时使用。</w:t>
      </w:r>
    </w:p>
    <w:p>
      <w:pPr>
        <w:pStyle w:val="10"/>
        <w:numPr>
          <w:ilvl w:val="0"/>
          <w:numId w:val="15"/>
        </w:numPr>
        <w:tabs>
          <w:tab w:val="left" w:pos="540"/>
        </w:tabs>
        <w:adjustRightInd w:val="0"/>
        <w:snapToGrid w:val="0"/>
        <w:spacing w:line="360" w:lineRule="auto"/>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包装、保险及发运、保管要求</w:t>
      </w:r>
    </w:p>
    <w:p>
      <w:pPr>
        <w:numPr>
          <w:ilvl w:val="0"/>
          <w:numId w:val="17"/>
        </w:numPr>
        <w:adjustRightInd w:val="0"/>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设备材料的包装必须是制造商原厂包装，其包装均应有良好的防湿、防锈、防潮、防雨、防腐及防碰撞的措施。凡由于包装不良造成的损失和由此产生的费用均由供应商承担。</w:t>
      </w:r>
    </w:p>
    <w:p>
      <w:pPr>
        <w:numPr>
          <w:ilvl w:val="0"/>
          <w:numId w:val="17"/>
        </w:numPr>
        <w:adjustRightInd w:val="0"/>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成交</w:t>
      </w:r>
      <w:r>
        <w:rPr>
          <w:rFonts w:hint="eastAsia" w:ascii="宋体" w:hAnsi="宋体" w:eastAsia="宋体" w:cs="宋体"/>
          <w:iCs/>
          <w:szCs w:val="21"/>
          <w:lang w:bidi="ar"/>
        </w:rPr>
        <w:t>供应商</w:t>
      </w:r>
      <w:r>
        <w:rPr>
          <w:rFonts w:hint="eastAsia" w:ascii="宋体" w:hAnsi="宋体" w:eastAsia="宋体" w:cs="宋体"/>
          <w:color w:val="000000" w:themeColor="text1"/>
          <w:szCs w:val="21"/>
          <w14:textFill>
            <w14:solidFill>
              <w14:schemeClr w14:val="tx1"/>
            </w14:solidFill>
          </w14:textFill>
        </w:rPr>
        <w:t>负责将设备材料货到现场过程中的全部运输，包括装卸车、货物现场的搬运。</w:t>
      </w:r>
    </w:p>
    <w:p>
      <w:pPr>
        <w:numPr>
          <w:ilvl w:val="0"/>
          <w:numId w:val="17"/>
        </w:numPr>
        <w:adjustRightInd w:val="0"/>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各种设备必须提供装箱清单，按装箱清单验收货物。</w:t>
      </w:r>
    </w:p>
    <w:p>
      <w:pPr>
        <w:numPr>
          <w:ilvl w:val="0"/>
          <w:numId w:val="17"/>
        </w:numPr>
        <w:adjustRightInd w:val="0"/>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货物在现场的保管由成交</w:t>
      </w:r>
      <w:r>
        <w:rPr>
          <w:rFonts w:hint="eastAsia" w:ascii="宋体" w:hAnsi="宋体" w:eastAsia="宋体" w:cs="宋体"/>
          <w:iCs/>
          <w:szCs w:val="21"/>
          <w:lang w:bidi="ar"/>
        </w:rPr>
        <w:t>供应商</w:t>
      </w:r>
      <w:r>
        <w:rPr>
          <w:rFonts w:hint="eastAsia" w:ascii="宋体" w:hAnsi="宋体" w:eastAsia="宋体" w:cs="宋体"/>
          <w:color w:val="000000" w:themeColor="text1"/>
          <w:szCs w:val="21"/>
          <w14:textFill>
            <w14:solidFill>
              <w14:schemeClr w14:val="tx1"/>
            </w14:solidFill>
          </w14:textFill>
        </w:rPr>
        <w:t>负责，直至项目安装、验收完毕。</w:t>
      </w:r>
    </w:p>
    <w:p>
      <w:pPr>
        <w:numPr>
          <w:ilvl w:val="0"/>
          <w:numId w:val="17"/>
        </w:numPr>
        <w:adjustRightInd w:val="0"/>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货物在系统安装调试验收合格前的保险由成交</w:t>
      </w:r>
      <w:r>
        <w:rPr>
          <w:rFonts w:hint="eastAsia" w:ascii="宋体" w:hAnsi="宋体" w:eastAsia="宋体" w:cs="宋体"/>
          <w:iCs/>
          <w:szCs w:val="21"/>
          <w:lang w:bidi="ar"/>
        </w:rPr>
        <w:t>供应商</w:t>
      </w:r>
      <w:r>
        <w:rPr>
          <w:rFonts w:hint="eastAsia" w:ascii="宋体" w:hAnsi="宋体" w:eastAsia="宋体" w:cs="宋体"/>
          <w:color w:val="000000" w:themeColor="text1"/>
          <w:szCs w:val="21"/>
          <w14:textFill>
            <w14:solidFill>
              <w14:schemeClr w14:val="tx1"/>
            </w14:solidFill>
          </w14:textFill>
        </w:rPr>
        <w:t>负责，成交</w:t>
      </w:r>
      <w:r>
        <w:rPr>
          <w:rFonts w:hint="eastAsia" w:ascii="宋体" w:hAnsi="宋体" w:eastAsia="宋体" w:cs="宋体"/>
          <w:iCs/>
          <w:szCs w:val="21"/>
          <w:lang w:bidi="ar"/>
        </w:rPr>
        <w:t>供应商</w:t>
      </w:r>
      <w:r>
        <w:rPr>
          <w:rFonts w:hint="eastAsia" w:ascii="宋体" w:hAnsi="宋体" w:eastAsia="宋体" w:cs="宋体"/>
          <w:color w:val="000000" w:themeColor="text1"/>
          <w:szCs w:val="21"/>
          <w14:textFill>
            <w14:solidFill>
              <w14:schemeClr w14:val="tx1"/>
            </w14:solidFill>
          </w14:textFill>
        </w:rPr>
        <w:t>负责其派出的现场服务人员人身意外保险。</w:t>
      </w:r>
    </w:p>
    <w:p>
      <w:pPr>
        <w:numPr>
          <w:ilvl w:val="0"/>
          <w:numId w:val="17"/>
        </w:numPr>
        <w:adjustRightInd w:val="0"/>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设备至采购人指定的使用现场的包装、保险及发运等环节和费用均由成交</w:t>
      </w:r>
      <w:r>
        <w:rPr>
          <w:rFonts w:hint="eastAsia" w:ascii="宋体" w:hAnsi="宋体" w:eastAsia="宋体" w:cs="宋体"/>
          <w:iCs/>
          <w:szCs w:val="21"/>
          <w:lang w:bidi="ar"/>
        </w:rPr>
        <w:t>供应商</w:t>
      </w:r>
      <w:r>
        <w:rPr>
          <w:rFonts w:hint="eastAsia" w:ascii="宋体" w:hAnsi="宋体" w:eastAsia="宋体" w:cs="宋体"/>
          <w:color w:val="000000" w:themeColor="text1"/>
          <w:szCs w:val="21"/>
          <w14:textFill>
            <w14:solidFill>
              <w14:schemeClr w14:val="tx1"/>
            </w14:solidFill>
          </w14:textFill>
        </w:rPr>
        <w:t>负责。</w:t>
      </w:r>
    </w:p>
    <w:p>
      <w:pPr>
        <w:pStyle w:val="10"/>
        <w:numPr>
          <w:ilvl w:val="0"/>
          <w:numId w:val="15"/>
        </w:numPr>
        <w:tabs>
          <w:tab w:val="left" w:pos="540"/>
        </w:tabs>
        <w:adjustRightInd w:val="0"/>
        <w:snapToGrid w:val="0"/>
        <w:spacing w:line="360" w:lineRule="auto"/>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安装、调试与验收</w:t>
      </w:r>
    </w:p>
    <w:p>
      <w:pPr>
        <w:pStyle w:val="10"/>
        <w:numPr>
          <w:ilvl w:val="0"/>
          <w:numId w:val="18"/>
        </w:numPr>
        <w:tabs>
          <w:tab w:val="left" w:pos="540"/>
        </w:tabs>
        <w:adjustRightInd w:val="0"/>
        <w:snapToGrid w:val="0"/>
        <w:spacing w:line="360" w:lineRule="auto"/>
        <w:ind w:left="425" w:hanging="425"/>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成交供应商必须依照采购文件的要求和响应文件的承诺，将设备、系统安装并调试至正常运行的最佳状态。</w:t>
      </w:r>
    </w:p>
    <w:p>
      <w:pPr>
        <w:pStyle w:val="10"/>
        <w:numPr>
          <w:ilvl w:val="0"/>
          <w:numId w:val="18"/>
        </w:numPr>
        <w:tabs>
          <w:tab w:val="left" w:pos="540"/>
        </w:tabs>
        <w:adjustRightInd w:val="0"/>
        <w:snapToGrid w:val="0"/>
        <w:spacing w:line="360" w:lineRule="auto"/>
        <w:ind w:left="425" w:hanging="425"/>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 xml:space="preserve">货物若有国家标准按照国家标准验收，若无国家标准按行业标准验收，为原制造商制造的全新产品，整机无污染，无侵权行为、表面无划损、无任何缺陷隐患，在中国境内可依常规安全合法使用。 </w:t>
      </w:r>
    </w:p>
    <w:p>
      <w:pPr>
        <w:numPr>
          <w:ilvl w:val="0"/>
          <w:numId w:val="18"/>
        </w:numPr>
        <w:tabs>
          <w:tab w:val="left" w:pos="900"/>
        </w:tabs>
        <w:autoSpaceDE w:val="0"/>
        <w:autoSpaceDN w:val="0"/>
        <w:adjustRightInd w:val="0"/>
        <w:snapToGrid w:val="0"/>
        <w:spacing w:line="360" w:lineRule="auto"/>
        <w:ind w:left="425" w:hanging="425"/>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货物为原厂商未启封全新包装，具有出厂合格证，序列号、包装箱号与出厂批号一致，并可追索查阅。所有随设备的附件必须齐全。</w:t>
      </w:r>
    </w:p>
    <w:p>
      <w:pPr>
        <w:numPr>
          <w:ilvl w:val="0"/>
          <w:numId w:val="18"/>
        </w:numPr>
        <w:tabs>
          <w:tab w:val="left" w:pos="900"/>
        </w:tabs>
        <w:autoSpaceDE w:val="0"/>
        <w:autoSpaceDN w:val="0"/>
        <w:adjustRightInd w:val="0"/>
        <w:snapToGrid w:val="0"/>
        <w:spacing w:line="360" w:lineRule="auto"/>
        <w:ind w:left="425" w:hanging="425"/>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成交</w:t>
      </w:r>
      <w:r>
        <w:rPr>
          <w:rFonts w:hint="eastAsia" w:ascii="宋体" w:hAnsi="宋体" w:eastAsia="宋体" w:cs="宋体"/>
          <w:iCs/>
          <w:szCs w:val="21"/>
          <w:lang w:bidi="ar"/>
        </w:rPr>
        <w:t>供应商</w:t>
      </w:r>
      <w:r>
        <w:rPr>
          <w:rFonts w:hint="eastAsia" w:ascii="宋体" w:hAnsi="宋体" w:eastAsia="宋体" w:cs="宋体"/>
          <w:color w:val="000000" w:themeColor="text1"/>
          <w:szCs w:val="21"/>
          <w14:textFill>
            <w14:solidFill>
              <w14:schemeClr w14:val="tx1"/>
            </w14:solidFill>
          </w14:textFill>
        </w:rPr>
        <w:t>应将关键主机设备的用户手册、保修手册、有关单证资料及配备件、随机工具等交付给采购人，使用操作及安全须知等重要资料应附有中文说明。</w:t>
      </w:r>
    </w:p>
    <w:p>
      <w:pPr>
        <w:numPr>
          <w:ilvl w:val="0"/>
          <w:numId w:val="18"/>
        </w:numPr>
        <w:tabs>
          <w:tab w:val="left" w:pos="900"/>
        </w:tabs>
        <w:autoSpaceDE w:val="0"/>
        <w:autoSpaceDN w:val="0"/>
        <w:adjustRightInd w:val="0"/>
        <w:snapToGrid w:val="0"/>
        <w:spacing w:line="360" w:lineRule="auto"/>
        <w:ind w:left="425" w:hanging="425"/>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成交</w:t>
      </w:r>
      <w:r>
        <w:rPr>
          <w:rFonts w:hint="eastAsia" w:ascii="宋体" w:hAnsi="宋体" w:eastAsia="宋体" w:cs="宋体"/>
          <w:iCs/>
          <w:szCs w:val="21"/>
          <w:lang w:bidi="ar"/>
        </w:rPr>
        <w:t>供应商</w:t>
      </w:r>
      <w:r>
        <w:rPr>
          <w:rFonts w:hint="eastAsia" w:ascii="宋体" w:hAnsi="宋体" w:eastAsia="宋体" w:cs="宋体"/>
          <w:color w:val="000000" w:themeColor="text1"/>
          <w:szCs w:val="21"/>
          <w14:textFill>
            <w14:solidFill>
              <w14:schemeClr w14:val="tx1"/>
            </w14:solidFill>
          </w14:textFill>
        </w:rPr>
        <w:t>承担。</w:t>
      </w:r>
    </w:p>
    <w:p>
      <w:pPr>
        <w:pStyle w:val="10"/>
        <w:numPr>
          <w:ilvl w:val="0"/>
          <w:numId w:val="15"/>
        </w:numPr>
        <w:tabs>
          <w:tab w:val="left" w:pos="540"/>
        </w:tabs>
        <w:adjustRightInd w:val="0"/>
        <w:spacing w:line="360" w:lineRule="auto"/>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付款方式</w:t>
      </w:r>
    </w:p>
    <w:p>
      <w:pPr>
        <w:spacing w:line="360" w:lineRule="auto"/>
        <w:ind w:firstLine="420" w:firstLineChars="200"/>
        <w:contextualSpacing/>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由采购人按下列程序付款： </w:t>
      </w:r>
    </w:p>
    <w:p>
      <w:pPr>
        <w:numPr>
          <w:ilvl w:val="0"/>
          <w:numId w:val="19"/>
        </w:numPr>
        <w:autoSpaceDE w:val="0"/>
        <w:autoSpaceDN w:val="0"/>
        <w:adjustRightInd w:val="0"/>
        <w:spacing w:line="360" w:lineRule="auto"/>
        <w:ind w:left="425" w:hanging="425"/>
        <w:contextualSpacing/>
        <w:jc w:val="left"/>
        <w:rPr>
          <w:rFonts w:asciiTheme="minorEastAsia" w:hAnsiTheme="minorEastAsia"/>
          <w:szCs w:val="21"/>
        </w:rPr>
      </w:pPr>
      <w:r>
        <w:rPr>
          <w:rFonts w:cs="宋体" w:asciiTheme="minorEastAsia" w:hAnsiTheme="minorEastAsia"/>
          <w:color w:val="000000"/>
          <w:szCs w:val="21"/>
        </w:rPr>
        <w:t>从验收合格之日</w:t>
      </w:r>
      <w:r>
        <w:rPr>
          <w:rFonts w:hint="eastAsia" w:cs="宋体" w:asciiTheme="minorEastAsia" w:hAnsiTheme="minorEastAsia"/>
          <w:color w:val="000000"/>
          <w:szCs w:val="21"/>
        </w:rPr>
        <w:t>后</w:t>
      </w:r>
      <w:r>
        <w:rPr>
          <w:rFonts w:hint="eastAsia" w:cs="宋体" w:asciiTheme="minorEastAsia" w:hAnsiTheme="minorEastAsia"/>
          <w:color w:val="000000"/>
          <w:szCs w:val="21"/>
          <w:lang w:val="en-US" w:eastAsia="zh-CN"/>
        </w:rPr>
        <w:t>30</w:t>
      </w:r>
      <w:r>
        <w:rPr>
          <w:rFonts w:hint="eastAsia" w:cs="宋体" w:asciiTheme="minorEastAsia" w:hAnsiTheme="minorEastAsia"/>
          <w:color w:val="000000"/>
          <w:szCs w:val="21"/>
        </w:rPr>
        <w:t>日历天内支付合同金额100%。</w:t>
      </w:r>
    </w:p>
    <w:p>
      <w:pPr>
        <w:numPr>
          <w:ilvl w:val="0"/>
          <w:numId w:val="19"/>
        </w:numPr>
        <w:autoSpaceDE w:val="0"/>
        <w:autoSpaceDN w:val="0"/>
        <w:adjustRightInd w:val="0"/>
        <w:spacing w:line="360" w:lineRule="auto"/>
        <w:ind w:left="425" w:hanging="425"/>
        <w:contextualSpacing/>
        <w:jc w:val="left"/>
        <w:rPr>
          <w:rFonts w:cs="宋体" w:asciiTheme="minorEastAsia" w:hAnsiTheme="minorEastAsia"/>
          <w:color w:val="000000" w:themeColor="text1"/>
          <w:kern w:val="21"/>
          <w:szCs w:val="21"/>
          <w14:textFill>
            <w14:solidFill>
              <w14:schemeClr w14:val="tx1"/>
            </w14:solidFill>
          </w14:textFill>
        </w:rPr>
      </w:pPr>
      <w:r>
        <w:rPr>
          <w:rFonts w:hint="eastAsia" w:cs="宋体" w:asciiTheme="minorEastAsia" w:hAnsiTheme="minorEastAsia"/>
          <w:color w:val="000000" w:themeColor="text1"/>
          <w:kern w:val="21"/>
          <w:szCs w:val="21"/>
          <w14:textFill>
            <w14:solidFill>
              <w14:schemeClr w14:val="tx1"/>
            </w14:solidFill>
          </w14:textFill>
        </w:rPr>
        <w:t>成交人凭以下有效文件与采购人结算：</w:t>
      </w:r>
    </w:p>
    <w:p>
      <w:pPr>
        <w:spacing w:line="360" w:lineRule="auto"/>
        <w:ind w:firstLine="315" w:firstLineChars="150"/>
        <w:contextualSpacing/>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（1）合同；</w:t>
      </w:r>
    </w:p>
    <w:p>
      <w:pPr>
        <w:spacing w:line="360" w:lineRule="auto"/>
        <w:ind w:firstLine="315" w:firstLineChars="150"/>
        <w:contextualSpacing/>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（2）成交人开具的正式发票；</w:t>
      </w:r>
    </w:p>
    <w:p>
      <w:pPr>
        <w:spacing w:line="360" w:lineRule="auto"/>
        <w:ind w:firstLine="315" w:firstLineChars="150"/>
        <w:contextualSpacing/>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（3）验收调试报告（加盖采购人公章）；</w:t>
      </w:r>
    </w:p>
    <w:p>
      <w:pPr>
        <w:spacing w:line="360" w:lineRule="auto"/>
        <w:ind w:firstLine="315" w:firstLineChars="150"/>
        <w:contextualSpacing/>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（4）成交通知书。</w:t>
      </w:r>
      <w:r>
        <w:rPr>
          <w:rFonts w:hint="eastAsia" w:ascii="宋体" w:hAnsi="宋体" w:eastAsia="宋体" w:cs="宋体"/>
          <w:b/>
          <w:color w:val="000000" w:themeColor="text1"/>
          <w:szCs w:val="21"/>
          <w14:textFill>
            <w14:solidFill>
              <w14:schemeClr w14:val="tx1"/>
            </w14:solidFill>
          </w14:textFill>
        </w:rPr>
        <w:tab/>
      </w:r>
    </w:p>
    <w:p>
      <w:pPr>
        <w:snapToGrid w:val="0"/>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br w:type="page"/>
      </w:r>
    </w:p>
    <w:p>
      <w:pPr>
        <w:pStyle w:val="19"/>
        <w:spacing w:before="0" w:after="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第三章 报价附件</w:t>
      </w:r>
    </w:p>
    <w:p>
      <w:pPr>
        <w:pStyle w:val="3"/>
        <w:spacing w:before="0" w:after="0"/>
        <w:jc w:val="center"/>
        <w:rPr>
          <w:rFonts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报 价 表</w:t>
      </w:r>
    </w:p>
    <w:tbl>
      <w:tblPr>
        <w:tblStyle w:val="23"/>
        <w:tblW w:w="5000" w:type="pct"/>
        <w:jc w:val="center"/>
        <w:tblLayout w:type="fixed"/>
        <w:tblCellMar>
          <w:top w:w="0" w:type="dxa"/>
          <w:left w:w="108" w:type="dxa"/>
          <w:bottom w:w="0" w:type="dxa"/>
          <w:right w:w="108" w:type="dxa"/>
        </w:tblCellMar>
      </w:tblPr>
      <w:tblGrid>
        <w:gridCol w:w="489"/>
        <w:gridCol w:w="1399"/>
        <w:gridCol w:w="1589"/>
        <w:gridCol w:w="607"/>
        <w:gridCol w:w="687"/>
        <w:gridCol w:w="1249"/>
        <w:gridCol w:w="1251"/>
        <w:gridCol w:w="1251"/>
      </w:tblGrid>
      <w:tr>
        <w:tblPrEx>
          <w:tblCellMar>
            <w:top w:w="0" w:type="dxa"/>
            <w:left w:w="108" w:type="dxa"/>
            <w:bottom w:w="0" w:type="dxa"/>
            <w:right w:w="108" w:type="dxa"/>
          </w:tblCellMar>
        </w:tblPrEx>
        <w:trPr>
          <w:trHeight w:val="725" w:hRule="atLeast"/>
          <w:jc w:val="center"/>
        </w:trPr>
        <w:tc>
          <w:tcPr>
            <w:tcW w:w="287" w:type="pct"/>
            <w:tcBorders>
              <w:top w:val="single" w:color="000000" w:sz="12" w:space="0"/>
              <w:left w:val="single" w:color="000000" w:sz="12" w:space="0"/>
              <w:bottom w:val="single" w:color="000000" w:sz="4" w:space="0"/>
              <w:right w:val="single" w:color="auto" w:sz="4" w:space="0"/>
            </w:tcBorders>
            <w:shd w:val="clear" w:color="auto" w:fill="auto"/>
            <w:noWrap/>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序号</w:t>
            </w:r>
          </w:p>
        </w:tc>
        <w:tc>
          <w:tcPr>
            <w:tcW w:w="821" w:type="pct"/>
            <w:tcBorders>
              <w:top w:val="single" w:color="000000" w:sz="12" w:space="0"/>
              <w:left w:val="single" w:color="auto" w:sz="4" w:space="0"/>
              <w:bottom w:val="single" w:color="auto" w:sz="4" w:space="0"/>
              <w:right w:val="single" w:color="auto" w:sz="4" w:space="0"/>
            </w:tcBorders>
            <w:shd w:val="clear" w:color="auto" w:fill="auto"/>
            <w:noWrap/>
            <w:vAlign w:val="center"/>
          </w:tcPr>
          <w:p>
            <w:pPr>
              <w:pStyle w:val="10"/>
              <w:tabs>
                <w:tab w:val="left" w:pos="420"/>
                <w:tab w:val="left" w:pos="540"/>
              </w:tabs>
              <w:adjustRightInd w:val="0"/>
              <w:snapToGrid w:val="0"/>
              <w:jc w:val="center"/>
              <w:rPr>
                <w:rFonts w:cs="宋体" w:asciiTheme="minorEastAsia" w:hAnsiTheme="minorEastAsia" w:eastAsiaTheme="minorEastAsia"/>
                <w:b/>
                <w:color w:val="000000"/>
                <w:sz w:val="21"/>
              </w:rPr>
            </w:pPr>
            <w:r>
              <w:rPr>
                <w:rFonts w:hint="eastAsia" w:cs="宋体" w:asciiTheme="minorEastAsia" w:hAnsiTheme="minorEastAsia" w:eastAsiaTheme="minorEastAsia"/>
                <w:b/>
                <w:color w:val="000000"/>
                <w:sz w:val="21"/>
              </w:rPr>
              <w:t>采购内容</w:t>
            </w:r>
          </w:p>
        </w:tc>
        <w:tc>
          <w:tcPr>
            <w:tcW w:w="932" w:type="pct"/>
            <w:tcBorders>
              <w:top w:val="single" w:color="000000" w:sz="12" w:space="0"/>
              <w:left w:val="single" w:color="auto" w:sz="4" w:space="0"/>
              <w:bottom w:val="single" w:color="auto" w:sz="4" w:space="0"/>
              <w:right w:val="single" w:color="auto" w:sz="4" w:space="0"/>
            </w:tcBorders>
            <w:shd w:val="clear" w:color="auto" w:fill="auto"/>
            <w:noWrap/>
            <w:vAlign w:val="center"/>
          </w:tcPr>
          <w:p>
            <w:pPr>
              <w:pStyle w:val="10"/>
              <w:tabs>
                <w:tab w:val="left" w:pos="420"/>
                <w:tab w:val="left" w:pos="540"/>
              </w:tabs>
              <w:adjustRightInd w:val="0"/>
              <w:snapToGrid w:val="0"/>
              <w:jc w:val="center"/>
              <w:rPr>
                <w:rFonts w:cs="宋体" w:asciiTheme="minorEastAsia" w:hAnsiTheme="minorEastAsia" w:eastAsiaTheme="minorEastAsia"/>
                <w:b/>
                <w:color w:val="000000"/>
                <w:sz w:val="21"/>
              </w:rPr>
            </w:pPr>
            <w:r>
              <w:rPr>
                <w:rFonts w:hint="eastAsia" w:cs="宋体" w:asciiTheme="minorEastAsia" w:hAnsiTheme="minorEastAsia" w:eastAsiaTheme="minorEastAsia"/>
                <w:b/>
                <w:color w:val="000000"/>
                <w:sz w:val="21"/>
              </w:rPr>
              <w:t>规格型号</w:t>
            </w:r>
          </w:p>
        </w:tc>
        <w:tc>
          <w:tcPr>
            <w:tcW w:w="356" w:type="pct"/>
            <w:tcBorders>
              <w:top w:val="single" w:color="000000" w:sz="12" w:space="0"/>
              <w:left w:val="single" w:color="auto" w:sz="4" w:space="0"/>
              <w:bottom w:val="single" w:color="auto" w:sz="4" w:space="0"/>
              <w:right w:val="single" w:color="auto" w:sz="4" w:space="0"/>
            </w:tcBorders>
            <w:vAlign w:val="center"/>
          </w:tcPr>
          <w:p>
            <w:pPr>
              <w:pStyle w:val="10"/>
              <w:tabs>
                <w:tab w:val="left" w:pos="420"/>
                <w:tab w:val="left" w:pos="540"/>
              </w:tabs>
              <w:adjustRightInd w:val="0"/>
              <w:snapToGrid w:val="0"/>
              <w:jc w:val="center"/>
              <w:rPr>
                <w:rFonts w:cs="宋体" w:asciiTheme="minorEastAsia" w:hAnsiTheme="minorEastAsia" w:eastAsiaTheme="minorEastAsia"/>
                <w:b/>
                <w:color w:val="000000"/>
                <w:sz w:val="21"/>
              </w:rPr>
            </w:pPr>
            <w:r>
              <w:rPr>
                <w:rFonts w:hint="eastAsia" w:cs="宋体" w:asciiTheme="minorEastAsia" w:hAnsiTheme="minorEastAsia" w:eastAsiaTheme="minorEastAsia"/>
                <w:b/>
                <w:color w:val="000000"/>
                <w:sz w:val="21"/>
              </w:rPr>
              <w:t>单位</w:t>
            </w:r>
          </w:p>
        </w:tc>
        <w:tc>
          <w:tcPr>
            <w:tcW w:w="403" w:type="pct"/>
            <w:tcBorders>
              <w:top w:val="single" w:color="000000" w:sz="12" w:space="0"/>
              <w:left w:val="single" w:color="auto" w:sz="4" w:space="0"/>
              <w:bottom w:val="single" w:color="auto" w:sz="4" w:space="0"/>
              <w:right w:val="single" w:color="auto" w:sz="4" w:space="0"/>
            </w:tcBorders>
            <w:shd w:val="clear" w:color="auto" w:fill="auto"/>
            <w:noWrap/>
            <w:vAlign w:val="center"/>
          </w:tcPr>
          <w:p>
            <w:pPr>
              <w:pStyle w:val="10"/>
              <w:tabs>
                <w:tab w:val="left" w:pos="420"/>
                <w:tab w:val="left" w:pos="540"/>
              </w:tabs>
              <w:adjustRightInd w:val="0"/>
              <w:snapToGrid w:val="0"/>
              <w:jc w:val="center"/>
              <w:rPr>
                <w:rFonts w:cs="宋体" w:asciiTheme="minorEastAsia" w:hAnsiTheme="minorEastAsia" w:eastAsiaTheme="minorEastAsia"/>
                <w:b/>
                <w:color w:val="000000"/>
                <w:sz w:val="21"/>
              </w:rPr>
            </w:pPr>
            <w:r>
              <w:rPr>
                <w:rFonts w:hint="eastAsia" w:cs="宋体" w:asciiTheme="minorEastAsia" w:hAnsiTheme="minorEastAsia" w:eastAsiaTheme="minorEastAsia"/>
                <w:b/>
                <w:color w:val="000000"/>
                <w:sz w:val="21"/>
              </w:rPr>
              <w:t>数量</w:t>
            </w:r>
          </w:p>
        </w:tc>
        <w:tc>
          <w:tcPr>
            <w:tcW w:w="733" w:type="pct"/>
            <w:tcBorders>
              <w:top w:val="single" w:color="000000" w:sz="12" w:space="0"/>
              <w:left w:val="single" w:color="auto" w:sz="4" w:space="0"/>
              <w:bottom w:val="single" w:color="000000" w:sz="4" w:space="0"/>
              <w:right w:val="single" w:color="000000" w:sz="4" w:space="0"/>
            </w:tcBorders>
            <w:shd w:val="clear" w:color="auto" w:fill="auto"/>
            <w:noWrap/>
            <w:vAlign w:val="center"/>
          </w:tcPr>
          <w:p>
            <w:pPr>
              <w:pStyle w:val="10"/>
              <w:tabs>
                <w:tab w:val="left" w:pos="420"/>
                <w:tab w:val="left" w:pos="540"/>
              </w:tabs>
              <w:adjustRightInd w:val="0"/>
              <w:snapToGrid w:val="0"/>
              <w:jc w:val="center"/>
              <w:rPr>
                <w:rFonts w:hAnsi="宋体" w:cs="宋体"/>
                <w:b/>
                <w:color w:val="000000"/>
                <w:sz w:val="21"/>
              </w:rPr>
            </w:pPr>
            <w:r>
              <w:rPr>
                <w:rFonts w:hint="eastAsia" w:hAnsi="宋体" w:cs="宋体"/>
                <w:b/>
                <w:color w:val="000000"/>
                <w:sz w:val="21"/>
              </w:rPr>
              <w:t>单价报价（元）</w:t>
            </w:r>
          </w:p>
        </w:tc>
        <w:tc>
          <w:tcPr>
            <w:tcW w:w="734" w:type="pct"/>
            <w:tcBorders>
              <w:top w:val="single" w:color="000000" w:sz="12" w:space="0"/>
              <w:left w:val="nil"/>
              <w:bottom w:val="single" w:color="000000" w:sz="4" w:space="0"/>
              <w:right w:val="single" w:color="000000" w:sz="4" w:space="0"/>
            </w:tcBorders>
            <w:shd w:val="clear" w:color="auto" w:fill="auto"/>
            <w:noWrap/>
            <w:vAlign w:val="center"/>
          </w:tcPr>
          <w:p>
            <w:pPr>
              <w:pStyle w:val="10"/>
              <w:tabs>
                <w:tab w:val="left" w:pos="420"/>
                <w:tab w:val="left" w:pos="540"/>
              </w:tabs>
              <w:adjustRightInd w:val="0"/>
              <w:snapToGrid w:val="0"/>
              <w:jc w:val="center"/>
              <w:rPr>
                <w:rFonts w:hAnsi="宋体" w:cs="宋体"/>
                <w:b/>
                <w:color w:val="000000"/>
                <w:sz w:val="21"/>
              </w:rPr>
            </w:pPr>
            <w:r>
              <w:rPr>
                <w:rFonts w:hint="eastAsia" w:hAnsi="宋体" w:cs="宋体"/>
                <w:b/>
                <w:color w:val="000000"/>
                <w:sz w:val="21"/>
              </w:rPr>
              <w:t>小计报价（元）</w:t>
            </w:r>
          </w:p>
        </w:tc>
        <w:tc>
          <w:tcPr>
            <w:tcW w:w="734" w:type="pct"/>
            <w:tcBorders>
              <w:top w:val="single" w:color="000000" w:sz="12" w:space="0"/>
              <w:left w:val="nil"/>
              <w:bottom w:val="single" w:color="000000" w:sz="4" w:space="0"/>
              <w:right w:val="single" w:color="000000" w:sz="12" w:space="0"/>
            </w:tcBorders>
            <w:vAlign w:val="center"/>
          </w:tcPr>
          <w:p>
            <w:pPr>
              <w:pStyle w:val="10"/>
              <w:tabs>
                <w:tab w:val="left" w:pos="420"/>
                <w:tab w:val="left" w:pos="540"/>
              </w:tabs>
              <w:adjustRightInd w:val="0"/>
              <w:snapToGrid w:val="0"/>
              <w:jc w:val="center"/>
              <w:rPr>
                <w:rFonts w:hAnsi="宋体" w:cs="宋体"/>
                <w:b/>
                <w:color w:val="000000"/>
                <w:sz w:val="21"/>
              </w:rPr>
            </w:pPr>
            <w:r>
              <w:rPr>
                <w:rFonts w:hint="eastAsia" w:hAnsi="宋体" w:cs="宋体"/>
                <w:b/>
                <w:color w:val="000000"/>
                <w:sz w:val="21"/>
              </w:rPr>
              <w:t>备注</w:t>
            </w:r>
          </w:p>
        </w:tc>
      </w:tr>
      <w:tr>
        <w:tblPrEx>
          <w:tblCellMar>
            <w:top w:w="0" w:type="dxa"/>
            <w:left w:w="108" w:type="dxa"/>
            <w:bottom w:w="0" w:type="dxa"/>
            <w:right w:w="108" w:type="dxa"/>
          </w:tblCellMar>
        </w:tblPrEx>
        <w:trPr>
          <w:trHeight w:val="963" w:hRule="atLeast"/>
          <w:jc w:val="center"/>
        </w:trPr>
        <w:tc>
          <w:tcPr>
            <w:tcW w:w="287" w:type="pct"/>
            <w:tcBorders>
              <w:top w:val="single" w:color="000000" w:sz="4" w:space="0"/>
              <w:left w:val="single" w:color="000000" w:sz="12" w:space="0"/>
              <w:bottom w:val="single" w:color="000000"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tabs>
                <w:tab w:val="left" w:pos="420"/>
                <w:tab w:val="left" w:pos="540"/>
              </w:tabs>
              <w:adjustRightInd w:val="0"/>
              <w:snapToGrid w:val="0"/>
              <w:jc w:val="center"/>
              <w:rPr>
                <w:rFonts w:cs="宋体" w:asciiTheme="minorEastAsia" w:hAnsiTheme="minorEastAsia" w:eastAsiaTheme="minorEastAsia"/>
                <w:b/>
                <w:color w:val="000000"/>
                <w:sz w:val="21"/>
              </w:rPr>
            </w:pPr>
            <w:r>
              <w:rPr>
                <w:rFonts w:hint="eastAsia" w:asciiTheme="minorEastAsia" w:hAnsiTheme="minorEastAsia" w:eastAsiaTheme="minorEastAsia"/>
                <w:sz w:val="21"/>
                <w:lang w:val="en-US" w:eastAsia="zh-CN"/>
              </w:rPr>
              <w:t>毛巾</w:t>
            </w:r>
          </w:p>
        </w:tc>
        <w:tc>
          <w:tcPr>
            <w:tcW w:w="15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lang w:val="en-US" w:eastAsia="zh-CN"/>
              </w:rPr>
              <w:t>33*73CM</w:t>
            </w:r>
          </w:p>
        </w:tc>
        <w:tc>
          <w:tcPr>
            <w:tcW w:w="607" w:type="dxa"/>
            <w:tcBorders>
              <w:top w:val="single" w:color="auto" w:sz="4" w:space="0"/>
              <w:left w:val="single" w:color="auto" w:sz="4" w:space="0"/>
              <w:bottom w:val="single" w:color="auto" w:sz="4" w:space="0"/>
              <w:right w:val="single" w:color="auto" w:sz="4" w:space="0"/>
            </w:tcBorders>
            <w:vAlign w:val="center"/>
          </w:tcPr>
          <w:p>
            <w:pPr>
              <w:pStyle w:val="76"/>
              <w:spacing w:before="87"/>
              <w:jc w:val="center"/>
              <w:rPr>
                <w:rFonts w:hint="default" w:asciiTheme="minorEastAsia" w:hAnsiTheme="minorEastAsia" w:eastAsiaTheme="minorEastAsia"/>
                <w:szCs w:val="21"/>
              </w:rPr>
            </w:pPr>
            <w:r>
              <w:rPr>
                <w:rFonts w:hint="eastAsia" w:asciiTheme="minorEastAsia" w:hAnsiTheme="minorEastAsia" w:eastAsiaTheme="minorEastAsia"/>
                <w:szCs w:val="21"/>
                <w:lang w:val="en-US" w:eastAsia="zh-CN"/>
              </w:rPr>
              <w:t>条</w:t>
            </w:r>
          </w:p>
        </w:tc>
        <w:tc>
          <w:tcPr>
            <w:tcW w:w="68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76"/>
              <w:spacing w:before="87"/>
              <w:ind w:right="13" w:rightChars="0"/>
              <w:jc w:val="center"/>
              <w:rPr>
                <w:rFonts w:hint="default" w:asciiTheme="minorEastAsia" w:hAnsiTheme="minorEastAsia" w:eastAsiaTheme="minorEastAsia"/>
                <w:szCs w:val="21"/>
              </w:rPr>
            </w:pPr>
            <w:r>
              <w:rPr>
                <w:rFonts w:hint="eastAsia" w:asciiTheme="minorEastAsia" w:hAnsiTheme="minorEastAsia" w:eastAsiaTheme="minorEastAsia"/>
                <w:szCs w:val="21"/>
                <w:lang w:val="en-US" w:eastAsia="zh-CN"/>
              </w:rPr>
              <w:t>2000</w:t>
            </w:r>
          </w:p>
        </w:tc>
        <w:tc>
          <w:tcPr>
            <w:tcW w:w="733"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lang w:bidi="ar"/>
              </w:rPr>
            </w:pPr>
          </w:p>
        </w:tc>
        <w:tc>
          <w:tcPr>
            <w:tcW w:w="734"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lang w:bidi="ar"/>
              </w:rPr>
            </w:pPr>
          </w:p>
        </w:tc>
        <w:tc>
          <w:tcPr>
            <w:tcW w:w="734" w:type="pct"/>
            <w:tcBorders>
              <w:top w:val="single" w:color="000000" w:sz="4" w:space="0"/>
              <w:left w:val="nil"/>
              <w:bottom w:val="single" w:color="000000" w:sz="4" w:space="0"/>
              <w:right w:val="single" w:color="000000" w:sz="12" w:space="0"/>
            </w:tcBorders>
            <w:vAlign w:val="center"/>
          </w:tcPr>
          <w:p>
            <w:pPr>
              <w:widowControl/>
              <w:jc w:val="center"/>
              <w:textAlignment w:val="center"/>
              <w:rPr>
                <w:rFonts w:ascii="宋体" w:hAnsi="宋体" w:eastAsia="宋体" w:cs="宋体"/>
                <w:color w:val="000000"/>
                <w:kern w:val="0"/>
                <w:szCs w:val="21"/>
                <w:lang w:bidi="ar"/>
              </w:rPr>
            </w:pPr>
          </w:p>
        </w:tc>
      </w:tr>
      <w:tr>
        <w:tblPrEx>
          <w:tblCellMar>
            <w:top w:w="0" w:type="dxa"/>
            <w:left w:w="108" w:type="dxa"/>
            <w:bottom w:w="0" w:type="dxa"/>
            <w:right w:w="108" w:type="dxa"/>
          </w:tblCellMar>
        </w:tblPrEx>
        <w:trPr>
          <w:trHeight w:val="725" w:hRule="atLeast"/>
          <w:jc w:val="center"/>
        </w:trPr>
        <w:tc>
          <w:tcPr>
            <w:tcW w:w="5000" w:type="pct"/>
            <w:gridSpan w:val="8"/>
            <w:tcBorders>
              <w:top w:val="single" w:color="000000" w:sz="4" w:space="0"/>
              <w:left w:val="single" w:color="000000" w:sz="12" w:space="0"/>
              <w:bottom w:val="single" w:color="000000" w:sz="12" w:space="0"/>
              <w:right w:val="single" w:color="000000" w:sz="12" w:space="0"/>
            </w:tcBorders>
            <w:vAlign w:val="center"/>
          </w:tcPr>
          <w:p>
            <w:pPr>
              <w:widowControl/>
              <w:jc w:val="center"/>
              <w:textAlignment w:val="center"/>
              <w:rPr>
                <w:rFonts w:hAnsi="宋体" w:cs="宋体"/>
                <w:b/>
                <w:color w:val="000000"/>
              </w:rPr>
            </w:pPr>
            <w:r>
              <w:rPr>
                <w:rFonts w:hint="eastAsia" w:hAnsi="宋体" w:cs="宋体"/>
                <w:b/>
                <w:color w:val="000000"/>
              </w:rPr>
              <w:t>合计（各项小计报价之和）：人民币___元</w:t>
            </w:r>
          </w:p>
        </w:tc>
      </w:tr>
    </w:tbl>
    <w:p>
      <w:pPr>
        <w:tabs>
          <w:tab w:val="left" w:pos="7740"/>
        </w:tabs>
        <w:adjustRightInd w:val="0"/>
        <w:snapToGrid w:val="0"/>
        <w:spacing w:line="360" w:lineRule="auto"/>
        <w:rPr>
          <w:rFonts w:ascii="宋体" w:hAnsi="宋体" w:eastAsia="宋体" w:cs="宋体"/>
          <w:color w:val="000000" w:themeColor="text1"/>
          <w:szCs w:val="21"/>
          <w14:textFill>
            <w14:solidFill>
              <w14:schemeClr w14:val="tx1"/>
            </w14:solidFill>
          </w14:textFill>
        </w:rPr>
      </w:pPr>
    </w:p>
    <w:p>
      <w:pPr>
        <w:tabs>
          <w:tab w:val="left" w:pos="7740"/>
        </w:tabs>
        <w:adjustRightInd w:val="0"/>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w:t>
      </w:r>
    </w:p>
    <w:p>
      <w:pPr>
        <w:spacing w:line="500" w:lineRule="exact"/>
        <w:rPr>
          <w:rFonts w:ascii="宋体" w:hAnsi="宋体" w:eastAsia="宋体" w:cs="宋体"/>
          <w:b/>
          <w:color w:val="000000" w:themeColor="text1"/>
          <w:spacing w:val="4"/>
          <w:szCs w:val="21"/>
          <w14:textFill>
            <w14:solidFill>
              <w14:schemeClr w14:val="tx1"/>
            </w14:solidFill>
          </w14:textFill>
        </w:rPr>
      </w:pPr>
      <w:r>
        <w:rPr>
          <w:rFonts w:hint="eastAsia" w:ascii="宋体" w:hAnsi="宋体" w:eastAsia="宋体" w:cs="宋体"/>
          <w:b/>
          <w:color w:val="000000" w:themeColor="text1"/>
          <w:spacing w:val="4"/>
          <w:szCs w:val="21"/>
          <w14:textFill>
            <w14:solidFill>
              <w14:schemeClr w14:val="tx1"/>
            </w14:solidFill>
          </w14:textFill>
        </w:rPr>
        <w:t>注：</w:t>
      </w:r>
    </w:p>
    <w:p>
      <w:pPr>
        <w:pStyle w:val="18"/>
        <w:numPr>
          <w:ilvl w:val="0"/>
          <w:numId w:val="20"/>
        </w:numPr>
        <w:shd w:val="clear" w:color="auto" w:fill="FFFFFF"/>
        <w:spacing w:before="0" w:beforeAutospacing="0" w:after="0" w:afterAutospacing="0" w:line="360" w:lineRule="auto"/>
        <w:rPr>
          <w:b/>
          <w:bCs/>
          <w:color w:val="FF0000"/>
          <w:sz w:val="21"/>
          <w:szCs w:val="21"/>
          <w:u w:val="single"/>
        </w:rPr>
      </w:pPr>
      <w:r>
        <w:rPr>
          <w:rFonts w:hint="eastAsia"/>
          <w:b/>
          <w:bCs/>
          <w:color w:val="FF0000"/>
          <w:sz w:val="21"/>
          <w:szCs w:val="21"/>
          <w:u w:val="single"/>
          <w:lang w:val="en-US" w:eastAsia="zh-CN"/>
        </w:rPr>
        <w:t>供应商须提供产品图片，与报价表一并上传；</w:t>
      </w:r>
    </w:p>
    <w:p>
      <w:pPr>
        <w:pStyle w:val="18"/>
        <w:numPr>
          <w:ilvl w:val="0"/>
          <w:numId w:val="20"/>
        </w:numPr>
        <w:shd w:val="clear" w:color="auto" w:fill="FFFFFF"/>
        <w:spacing w:before="0" w:beforeAutospacing="0" w:after="0" w:afterAutospacing="0" w:line="360" w:lineRule="auto"/>
        <w:rPr>
          <w:b/>
          <w:bCs/>
          <w:color w:val="000000" w:themeColor="text1"/>
          <w:sz w:val="21"/>
          <w:szCs w:val="21"/>
          <w:u w:val="single"/>
          <w14:textFill>
            <w14:solidFill>
              <w14:schemeClr w14:val="tx1"/>
            </w14:solidFill>
          </w14:textFill>
        </w:rPr>
      </w:pPr>
      <w:r>
        <w:rPr>
          <w:rFonts w:hint="eastAsia"/>
          <w:b/>
          <w:bCs/>
          <w:color w:val="000000" w:themeColor="text1"/>
          <w:sz w:val="21"/>
          <w:szCs w:val="21"/>
          <w:u w:val="single"/>
          <w14:textFill>
            <w14:solidFill>
              <w14:schemeClr w14:val="tx1"/>
            </w14:solidFill>
          </w14:textFill>
        </w:rPr>
        <w:t>供应商必须按报价表的格式填写，不得增加或删除表格内容。除单价、金额或项目要求填写的内容外，不得擅自改动报价表内容，</w:t>
      </w:r>
      <w:r>
        <w:rPr>
          <w:rFonts w:hint="eastAsia"/>
          <w:b/>
          <w:bCs/>
          <w:color w:val="000000" w:themeColor="text1"/>
          <w:sz w:val="21"/>
          <w:szCs w:val="21"/>
          <w14:textFill>
            <w14:solidFill>
              <w14:schemeClr w14:val="tx1"/>
            </w14:solidFill>
          </w14:textFill>
        </w:rPr>
        <w:t>否则将有可能影响成交结果，不推荐为成交候选人</w:t>
      </w:r>
      <w:r>
        <w:rPr>
          <w:rFonts w:hint="eastAsia"/>
          <w:b/>
          <w:bCs/>
          <w:color w:val="000000" w:themeColor="text1"/>
          <w:sz w:val="21"/>
          <w:szCs w:val="21"/>
          <w:u w:val="single"/>
          <w14:textFill>
            <w14:solidFill>
              <w14:schemeClr w14:val="tx1"/>
            </w14:solidFill>
          </w14:textFill>
        </w:rPr>
        <w:t>；</w:t>
      </w:r>
    </w:p>
    <w:p>
      <w:pPr>
        <w:pStyle w:val="18"/>
        <w:numPr>
          <w:ilvl w:val="0"/>
          <w:numId w:val="20"/>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所有价格均系用人民币表示，单位为元，</w:t>
      </w:r>
      <w:r>
        <w:rPr>
          <w:rFonts w:hint="eastAsia"/>
          <w:b/>
          <w:bCs/>
          <w:color w:val="000000" w:themeColor="text1"/>
          <w:sz w:val="21"/>
          <w:szCs w:val="21"/>
          <w14:textFill>
            <w14:solidFill>
              <w14:schemeClr w14:val="tx1"/>
            </w14:solidFill>
          </w14:textFill>
        </w:rPr>
        <w:t>均为含税价</w:t>
      </w:r>
      <w:r>
        <w:rPr>
          <w:rFonts w:hint="eastAsia"/>
          <w:b/>
          <w:color w:val="000000" w:themeColor="text1"/>
          <w:sz w:val="21"/>
          <w:szCs w:val="21"/>
          <w14:textFill>
            <w14:solidFill>
              <w14:schemeClr w14:val="tx1"/>
            </w14:solidFill>
          </w14:textFill>
        </w:rPr>
        <w:t>；</w:t>
      </w:r>
    </w:p>
    <w:p>
      <w:pPr>
        <w:pStyle w:val="18"/>
        <w:numPr>
          <w:ilvl w:val="0"/>
          <w:numId w:val="20"/>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bCs/>
          <w:color w:val="000000"/>
          <w:sz w:val="21"/>
          <w:szCs w:val="21"/>
          <w:u w:val="single"/>
          <w:shd w:val="clear" w:color="auto" w:fill="FFFFFF"/>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8"/>
        <w:numPr>
          <w:ilvl w:val="0"/>
          <w:numId w:val="20"/>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平台上报价与报价表合计不一致的，以报价表合计（经价格核准后的价格）为准。</w:t>
      </w:r>
    </w:p>
    <w:p>
      <w:pPr>
        <w:pStyle w:val="18"/>
        <w:numPr>
          <w:ilvl w:val="0"/>
          <w:numId w:val="20"/>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bCs/>
          <w:color w:val="000000"/>
          <w:sz w:val="21"/>
          <w:szCs w:val="21"/>
          <w:u w:val="single"/>
          <w:shd w:val="clear" w:color="auto" w:fill="FFFFFF"/>
        </w:rPr>
        <w:t>供应商报价表必须加盖公章，否则视作无效报价。</w:t>
      </w:r>
    </w:p>
    <w:p>
      <w:pPr>
        <w:wordWrap w:val="0"/>
        <w:spacing w:line="360" w:lineRule="auto"/>
        <w:ind w:right="218"/>
        <w:jc w:val="right"/>
        <w:rPr>
          <w:rFonts w:ascii="宋体" w:hAnsi="宋体" w:eastAsia="宋体" w:cs="宋体"/>
          <w:color w:val="000000" w:themeColor="text1"/>
          <w:spacing w:val="4"/>
          <w:szCs w:val="21"/>
          <w14:textFill>
            <w14:solidFill>
              <w14:schemeClr w14:val="tx1"/>
            </w14:solidFill>
          </w14:textFill>
        </w:rPr>
      </w:pPr>
    </w:p>
    <w:p>
      <w:pPr>
        <w:wordWrap w:val="0"/>
        <w:spacing w:line="360" w:lineRule="auto"/>
        <w:ind w:right="218"/>
        <w:jc w:val="right"/>
        <w:rPr>
          <w:rFonts w:ascii="宋体" w:hAnsi="宋体" w:eastAsia="宋体" w:cs="宋体"/>
          <w:color w:val="000000" w:themeColor="text1"/>
          <w:spacing w:val="4"/>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ind w:right="218"/>
        <w:jc w:val="right"/>
        <w:rPr>
          <w:rFonts w:ascii="宋体" w:hAnsi="宋体" w:eastAsia="宋体" w:cs="宋体"/>
          <w:color w:val="000000" w:themeColor="text1"/>
          <w:spacing w:val="4"/>
          <w:szCs w:val="21"/>
          <w:u w:val="single"/>
          <w14:textFill>
            <w14:solidFill>
              <w14:schemeClr w14:val="tx1"/>
            </w14:solidFill>
          </w14:textFill>
        </w:rPr>
      </w:pPr>
    </w:p>
    <w:p>
      <w:pPr>
        <w:wordWrap w:val="0"/>
        <w:spacing w:line="360" w:lineRule="auto"/>
        <w:ind w:right="218"/>
        <w:jc w:val="right"/>
        <w:rPr>
          <w:rFonts w:ascii="宋体" w:hAnsi="宋体" w:eastAsia="宋体" w:cs="宋体"/>
          <w:color w:val="000000" w:themeColor="text1"/>
          <w:spacing w:val="4"/>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jc w:val="center"/>
        <w:rPr>
          <w:rFonts w:ascii="宋体" w:hAnsi="宋体" w:eastAsia="宋体" w:cs="宋体"/>
          <w:color w:val="000000" w:themeColor="text1"/>
          <w:spacing w:val="4"/>
          <w:szCs w:val="21"/>
          <w:u w:val="single"/>
          <w14:textFill>
            <w14:solidFill>
              <w14:schemeClr w14:val="tx1"/>
            </w14:solidFill>
          </w14:textFill>
        </w:rPr>
      </w:pPr>
    </w:p>
    <w:p>
      <w:r>
        <w:br w:type="page"/>
      </w:r>
    </w:p>
    <w:p>
      <w:pPr>
        <w:pStyle w:val="3"/>
        <w:spacing w:before="0"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用户需求书响应声明函</w:t>
      </w:r>
    </w:p>
    <w:p>
      <w:p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致：肇庆市鼎湖区桂城街道社区卫生服务中心、</w:t>
      </w:r>
      <w:r>
        <w:rPr>
          <w:rFonts w:hint="eastAsia" w:ascii="宋体" w:hAnsi="宋体" w:eastAsia="宋体" w:cs="宋体"/>
          <w:b/>
          <w:color w:val="000000" w:themeColor="text1"/>
          <w14:textFill>
            <w14:solidFill>
              <w14:schemeClr w14:val="tx1"/>
            </w14:solidFill>
          </w14:textFill>
        </w:rPr>
        <w:t>云采链（广州）信息科技有限公司</w:t>
      </w:r>
    </w:p>
    <w:p>
      <w:pPr>
        <w:spacing w:line="360" w:lineRule="auto"/>
        <w:rPr>
          <w:rFonts w:ascii="宋体" w:hAnsi="宋体" w:eastAsia="宋体" w:cs="宋体"/>
          <w:color w:val="000000" w:themeColor="text1"/>
          <w:lang w:val="zh-CN"/>
          <w14:textFill>
            <w14:solidFill>
              <w14:schemeClr w14:val="tx1"/>
            </w14:solidFill>
          </w14:textFill>
        </w:rPr>
      </w:pPr>
    </w:p>
    <w:p>
      <w:pPr>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关于贵单位、贵司发布</w:t>
      </w:r>
      <w:r>
        <w:rPr>
          <w:rFonts w:hint="eastAsia" w:ascii="宋体" w:hAnsi="宋体" w:eastAsia="宋体" w:cs="宋体"/>
          <w:b/>
          <w:bCs/>
          <w:color w:val="000000" w:themeColor="text1"/>
          <w:szCs w:val="32"/>
          <w:u w:val="single"/>
          <w:lang w:eastAsia="zh-CN"/>
          <w14:textFill>
            <w14:solidFill>
              <w14:schemeClr w14:val="tx1"/>
            </w14:solidFill>
          </w14:textFill>
        </w:rPr>
        <w:t>肇庆市鼎湖区桂城街道社区卫生服务中心毛巾采购项目</w:t>
      </w:r>
      <w:r>
        <w:rPr>
          <w:rFonts w:hint="eastAsia" w:ascii="宋体" w:hAnsi="宋体" w:eastAsia="宋体" w:cs="宋体"/>
          <w:color w:val="000000" w:themeColor="text1"/>
          <w:szCs w:val="21"/>
          <w14:textFill>
            <w14:solidFill>
              <w14:schemeClr w14:val="tx1"/>
            </w14:solidFill>
          </w14:textFill>
        </w:rPr>
        <w:t>的竞价公告，本公司（企业）愿意参加竞价活动，并作出如下声明：</w:t>
      </w:r>
    </w:p>
    <w:p>
      <w:pPr>
        <w:pStyle w:val="40"/>
        <w:tabs>
          <w:tab w:val="left" w:pos="426"/>
        </w:tabs>
        <w:snapToGrid w:val="0"/>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40"/>
        <w:tabs>
          <w:tab w:val="left" w:pos="426"/>
        </w:tabs>
        <w:snapToGrid w:val="0"/>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备注：</w:t>
      </w:r>
    </w:p>
    <w:p>
      <w:pPr>
        <w:pStyle w:val="30"/>
        <w:numPr>
          <w:ilvl w:val="0"/>
          <w:numId w:val="21"/>
        </w:numPr>
        <w:autoSpaceDE w:val="0"/>
        <w:autoSpaceDN w:val="0"/>
        <w:adjustRightInd w:val="0"/>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本声明函必须提供且内容不得擅自删改，否则视为响应无效。</w:t>
      </w:r>
    </w:p>
    <w:p>
      <w:pPr>
        <w:pStyle w:val="30"/>
        <w:numPr>
          <w:ilvl w:val="0"/>
          <w:numId w:val="21"/>
        </w:numPr>
        <w:snapToGrid w:val="0"/>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本声明函如有虚假或与事实不符的，作无效报价处理。</w:t>
      </w:r>
    </w:p>
    <w:p>
      <w:pPr>
        <w:widowControl/>
        <w:spacing w:line="360" w:lineRule="auto"/>
        <w:jc w:val="left"/>
        <w:rPr>
          <w:rFonts w:ascii="宋体" w:hAnsi="宋体" w:eastAsia="宋体" w:cs="宋体"/>
          <w:b/>
          <w:bCs/>
          <w:color w:val="000000" w:themeColor="text1"/>
          <w:kern w:val="0"/>
          <w:sz w:val="32"/>
          <w:szCs w:val="32"/>
          <w14:textFill>
            <w14:solidFill>
              <w14:schemeClr w14:val="tx1"/>
            </w14:solidFill>
          </w14:textFill>
        </w:rPr>
      </w:pPr>
    </w:p>
    <w:p>
      <w:pPr>
        <w:wordWrap w:val="0"/>
        <w:spacing w:line="360" w:lineRule="auto"/>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ind w:firstLine="105" w:firstLineChars="50"/>
        <w:jc w:val="right"/>
        <w:rPr>
          <w:rFonts w:ascii="宋体" w:hAnsi="宋体" w:eastAsia="宋体" w:cs="宋体"/>
          <w:color w:val="000000" w:themeColor="text1"/>
          <w:szCs w:val="21"/>
          <w:u w:val="single"/>
          <w14:textFill>
            <w14:solidFill>
              <w14:schemeClr w14:val="tx1"/>
            </w14:solidFill>
          </w14:textFill>
        </w:rPr>
      </w:pPr>
    </w:p>
    <w:p>
      <w:pPr>
        <w:wordWrap w:val="0"/>
        <w:spacing w:line="360" w:lineRule="auto"/>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widowControl/>
        <w:spacing w:line="360" w:lineRule="auto"/>
        <w:jc w:val="right"/>
        <w:rPr>
          <w:rFonts w:ascii="宋体" w:hAnsi="宋体" w:eastAsia="宋体" w:cs="宋体"/>
          <w:b/>
          <w:bCs/>
          <w:color w:val="000000" w:themeColor="text1"/>
          <w:kern w:val="0"/>
          <w:sz w:val="32"/>
          <w:szCs w:val="32"/>
          <w:lang w:val="zh-CN"/>
          <w14:textFill>
            <w14:solidFill>
              <w14:schemeClr w14:val="tx1"/>
            </w14:solidFill>
          </w14:textFill>
        </w:rPr>
      </w:pPr>
    </w:p>
    <w:p>
      <w:pPr>
        <w:spacing w:line="360" w:lineRule="auto"/>
        <w:rPr>
          <w:rFonts w:ascii="宋体" w:hAnsi="宋体" w:eastAsia="宋体" w:cs="宋体"/>
          <w:color w:val="000000" w:themeColor="text1"/>
          <w14:textFill>
            <w14:solidFill>
              <w14:schemeClr w14:val="tx1"/>
            </w14:solidFill>
          </w14:textFill>
        </w:rPr>
      </w:pPr>
    </w:p>
    <w:p>
      <w:pPr>
        <w:widowControl/>
        <w:spacing w:line="360" w:lineRule="auto"/>
        <w:jc w:val="left"/>
        <w:rPr>
          <w:rFonts w:ascii="宋体" w:hAnsi="宋体" w:eastAsia="宋体" w:cs="宋体"/>
          <w:b/>
          <w:bCs/>
          <w:color w:val="000000" w:themeColor="text1"/>
          <w:kern w:val="0"/>
          <w:sz w:val="32"/>
          <w:szCs w:val="32"/>
          <w:lang w:val="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3"/>
        <w:spacing w:before="0"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供应商资格声明函</w:t>
      </w:r>
    </w:p>
    <w:p>
      <w:pPr>
        <w:rPr>
          <w:rFonts w:ascii="宋体" w:hAnsi="宋体" w:eastAsia="宋体" w:cs="宋体"/>
          <w:b/>
          <w:color w:val="000000" w:themeColor="text1"/>
          <w:szCs w:val="24"/>
          <w14:textFill>
            <w14:solidFill>
              <w14:schemeClr w14:val="tx1"/>
            </w14:solidFill>
          </w14:textFill>
        </w:rPr>
      </w:pPr>
    </w:p>
    <w:p>
      <w:pPr>
        <w:rPr>
          <w:rFonts w:ascii="宋体" w:hAnsi="宋体" w:eastAsia="宋体" w:cs="宋体"/>
          <w:b/>
          <w:color w:val="000000" w:themeColor="text1"/>
          <w:szCs w:val="24"/>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b/>
          <w:color w:val="000000" w:themeColor="text1"/>
          <w:szCs w:val="24"/>
          <w14:textFill>
            <w14:solidFill>
              <w14:schemeClr w14:val="tx1"/>
            </w14:solidFill>
          </w14:textFill>
        </w:rPr>
        <w:t>肇庆市鼎湖区桂城街道社区卫生服务中心、</w:t>
      </w:r>
      <w:r>
        <w:rPr>
          <w:rFonts w:hint="eastAsia" w:ascii="宋体" w:hAnsi="宋体" w:eastAsia="宋体" w:cs="宋体"/>
          <w:b/>
          <w:color w:val="000000" w:themeColor="text1"/>
          <w14:textFill>
            <w14:solidFill>
              <w14:schemeClr w14:val="tx1"/>
            </w14:solidFill>
          </w14:textFill>
        </w:rPr>
        <w:t>云采链（广州）信息科技有限公司</w:t>
      </w:r>
      <w:r>
        <w:rPr>
          <w:rFonts w:hint="eastAsia" w:ascii="宋体" w:hAnsi="宋体" w:eastAsia="宋体" w:cs="宋体"/>
          <w:b/>
          <w:color w:val="000000" w:themeColor="text1"/>
          <w:szCs w:val="24"/>
          <w14:textFill>
            <w14:solidFill>
              <w14:schemeClr w14:val="tx1"/>
            </w14:solidFill>
          </w14:textFill>
        </w:rPr>
        <w:t>：</w:t>
      </w:r>
    </w:p>
    <w:p>
      <w:pPr>
        <w:rPr>
          <w:rFonts w:ascii="宋体" w:hAnsi="宋体" w:eastAsia="宋体" w:cs="宋体"/>
          <w:b/>
          <w:color w:val="000000" w:themeColor="text1"/>
          <w:szCs w:val="24"/>
          <w14:textFill>
            <w14:solidFill>
              <w14:schemeClr w14:val="tx1"/>
            </w14:solidFill>
          </w14:textFill>
        </w:rPr>
      </w:pPr>
    </w:p>
    <w:p>
      <w:pPr>
        <w:snapToGrid w:val="0"/>
        <w:spacing w:line="360" w:lineRule="auto"/>
        <w:ind w:firstLine="424" w:firstLineChars="202"/>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关于贵单位、贵司发布</w:t>
      </w:r>
      <w:r>
        <w:rPr>
          <w:rFonts w:hint="eastAsia" w:ascii="宋体" w:hAnsi="宋体" w:eastAsia="宋体" w:cs="宋体"/>
          <w:b/>
          <w:bCs/>
          <w:color w:val="000000" w:themeColor="text1"/>
          <w:szCs w:val="32"/>
          <w:u w:val="single"/>
          <w:lang w:eastAsia="zh-CN"/>
          <w14:textFill>
            <w14:solidFill>
              <w14:schemeClr w14:val="tx1"/>
            </w14:solidFill>
          </w14:textFill>
        </w:rPr>
        <w:t>肇庆市鼎湖区桂城街道社区卫生服务中心毛巾采购项目</w:t>
      </w:r>
      <w:r>
        <w:rPr>
          <w:rFonts w:hint="eastAsia" w:ascii="宋体" w:hAnsi="宋体" w:eastAsia="宋体" w:cs="宋体"/>
          <w:color w:val="000000" w:themeColor="text1"/>
          <w:szCs w:val="24"/>
          <w14:textFill>
            <w14:solidFill>
              <w14:schemeClr w14:val="tx1"/>
            </w14:solidFill>
          </w14:textFill>
        </w:rPr>
        <w:t>的竞价公告，本公司（企业）愿意参加竞价活动，并作出如下声明：</w:t>
      </w:r>
    </w:p>
    <w:p>
      <w:pPr>
        <w:numPr>
          <w:ilvl w:val="0"/>
          <w:numId w:val="22"/>
        </w:numPr>
        <w:snapToGrid w:val="0"/>
        <w:spacing w:line="360" w:lineRule="auto"/>
        <w:rPr>
          <w:rFonts w:ascii="宋体" w:hAnsi="宋体" w:eastAsia="宋体" w:cs="宋体"/>
          <w:bCs/>
          <w:color w:val="000000" w:themeColor="text1"/>
          <w:szCs w:val="20"/>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w:t>
      </w:r>
      <w:r>
        <w:rPr>
          <w:rFonts w:hint="eastAsia" w:ascii="宋体" w:hAnsi="宋体" w:eastAsia="宋体" w:cs="宋体"/>
          <w:bCs/>
          <w:color w:val="000000" w:themeColor="text1"/>
          <w:szCs w:val="20"/>
          <w14:textFill>
            <w14:solidFill>
              <w14:schemeClr w14:val="tx1"/>
            </w14:solidFill>
          </w14:textFill>
        </w:rPr>
        <w:t>具备《中华人民共和国政府采购法》第二十二条规定的条件：</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（一）具有独立承担民事责任的能力；</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（二）具有良好的商业信誉和健全的财务会计制度； </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（三）具有履行合同所必需的设备和专业技术能力；</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（四）有依法缴纳税收和社会保障资金的良好记录；</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（五）参加政府采购活动前三年内，在经营活动中没有重大违法记录；</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（六）法律、行政法规规定的其他条件。</w:t>
      </w:r>
    </w:p>
    <w:p>
      <w:pPr>
        <w:numPr>
          <w:ilvl w:val="0"/>
          <w:numId w:val="22"/>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本公司（企业）具有本次采购项目供货及服务能力。</w:t>
      </w:r>
    </w:p>
    <w:p>
      <w:pPr>
        <w:numPr>
          <w:ilvl w:val="0"/>
          <w:numId w:val="22"/>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本公司（企业）有固定的经营场所，信誉良好、售后维护服务好，并且在经营活动中无严重违法记录。</w:t>
      </w:r>
    </w:p>
    <w:p>
      <w:pPr>
        <w:numPr>
          <w:ilvl w:val="0"/>
          <w:numId w:val="22"/>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本公司（企业）没有为采购项目同一合同项下提供整体设计、规范编制或者项目管理、监理、检测等服务。</w:t>
      </w:r>
    </w:p>
    <w:p>
      <w:pPr>
        <w:numPr>
          <w:ilvl w:val="0"/>
          <w:numId w:val="22"/>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本公司（企业）的法定代表人或单位负责人与所参投的本项目其他供应商的法定代表人或单位负责人不为同一人且与其他供应商之间不存在直接控股、管理关系。</w:t>
      </w:r>
    </w:p>
    <w:p>
      <w:pPr>
        <w:numPr>
          <w:ilvl w:val="0"/>
          <w:numId w:val="22"/>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本公司（企业）在本项目中不分包、转包且不联合参与竞价。</w:t>
      </w:r>
    </w:p>
    <w:p>
      <w:pPr>
        <w:snapToGrid w:val="0"/>
        <w:spacing w:line="360" w:lineRule="auto"/>
        <w:ind w:firstLine="424" w:firstLineChars="202"/>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本公司（企业）承诺在本次采购活动中，如有违法、违规</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4"/>
          <w14:textFill>
            <w14:solidFill>
              <w14:schemeClr w14:val="tx1"/>
            </w14:solidFill>
          </w14:textFill>
        </w:rPr>
        <w:t>弄虚作假行为，所造成的损失、不良后果及法律责任，一律由我公司（企业）承担。</w:t>
      </w:r>
    </w:p>
    <w:p>
      <w:pPr>
        <w:spacing w:line="360" w:lineRule="auto"/>
        <w:ind w:firstLine="42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特此声明！</w:t>
      </w:r>
    </w:p>
    <w:p>
      <w:pPr>
        <w:autoSpaceDE w:val="0"/>
        <w:autoSpaceDN w:val="0"/>
        <w:adjustRightInd w:val="0"/>
        <w:spacing w:line="360" w:lineRule="auto"/>
        <w:ind w:firstLine="413" w:firstLineChars="196"/>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备注：</w:t>
      </w:r>
    </w:p>
    <w:p>
      <w:pPr>
        <w:pStyle w:val="30"/>
        <w:numPr>
          <w:ilvl w:val="0"/>
          <w:numId w:val="23"/>
        </w:numPr>
        <w:autoSpaceDE w:val="0"/>
        <w:autoSpaceDN w:val="0"/>
        <w:adjustRightInd w:val="0"/>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本声明函必须提供且内容不得擅自删改，否则视为响应无效。</w:t>
      </w:r>
    </w:p>
    <w:p>
      <w:pPr>
        <w:pStyle w:val="30"/>
        <w:numPr>
          <w:ilvl w:val="0"/>
          <w:numId w:val="23"/>
        </w:numPr>
        <w:snapToGrid w:val="0"/>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本声明函如有虚假或与事实不符的，作无效报价处理。</w:t>
      </w:r>
    </w:p>
    <w:p>
      <w:pPr>
        <w:pStyle w:val="30"/>
        <w:wordWrap w:val="0"/>
        <w:spacing w:line="360" w:lineRule="auto"/>
        <w:ind w:left="1200" w:right="218" w:firstLine="0" w:firstLineChars="0"/>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pStyle w:val="30"/>
        <w:wordWrap w:val="0"/>
        <w:spacing w:line="360" w:lineRule="auto"/>
        <w:ind w:left="1200" w:right="218" w:firstLine="0" w:firstLineChars="0"/>
        <w:jc w:val="right"/>
        <w:rPr>
          <w:rFonts w:hint="eastAsia" w:ascii="宋体" w:hAnsi="宋体" w:eastAsia="宋体" w:cs="宋体"/>
          <w:color w:val="000000" w:themeColor="text1"/>
          <w:spacing w:val="4"/>
          <w:szCs w:val="21"/>
          <w:u w:val="single"/>
          <w14:textFill>
            <w14:solidFill>
              <w14:schemeClr w14:val="tx1"/>
            </w14:solidFill>
          </w14:textFill>
        </w:rPr>
        <w:sectPr>
          <w:headerReference r:id="rId4" w:type="first"/>
          <w:headerReference r:id="rId3" w:type="default"/>
          <w:type w:val="continuous"/>
          <w:pgSz w:w="11906" w:h="16838"/>
          <w:pgMar w:top="1417" w:right="1800" w:bottom="1417" w:left="1800" w:header="720" w:footer="720" w:gutter="0"/>
          <w:cols w:space="425" w:num="1"/>
          <w:titlePg/>
          <w:docGrid w:type="lines" w:linePitch="312" w:charSpace="0"/>
        </w:sect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pStyle w:val="3"/>
        <w:pageBreakBefore/>
        <w:adjustRightInd w:val="0"/>
        <w:snapToGrid w:val="0"/>
        <w:spacing w:before="0" w:after="0" w:line="360" w:lineRule="auto"/>
        <w:ind w:firstLine="646"/>
        <w:jc w:val="center"/>
        <w:rPr>
          <w:rFonts w:ascii="宋体" w:hAnsi="宋体" w:eastAsia="宋体" w:cs="宋体"/>
          <w:bCs w:val="0"/>
        </w:rPr>
      </w:pPr>
      <w:r>
        <w:rPr>
          <w:rFonts w:hint="eastAsia" w:ascii="宋体" w:hAnsi="宋体" w:eastAsia="宋体" w:cs="宋体"/>
          <w:bCs w:val="0"/>
        </w:rPr>
        <w:t>法定代表人授权委托书</w:t>
      </w:r>
    </w:p>
    <w:p>
      <w:pPr>
        <w:pStyle w:val="10"/>
        <w:spacing w:line="360" w:lineRule="auto"/>
        <w:ind w:firstLine="400" w:firstLineChars="200"/>
        <w:rPr>
          <w:b/>
          <w:bCs/>
        </w:rPr>
      </w:pPr>
      <w:r>
        <w:rPr>
          <w:rFonts w:hint="eastAsia"/>
        </w:rPr>
        <w:t>本授权委托书声明：注册于</w:t>
      </w:r>
      <w:r>
        <w:rPr>
          <w:rFonts w:hint="eastAsia"/>
          <w:u w:val="single"/>
        </w:rPr>
        <w:t xml:space="preserve"> （供应商地址）  </w:t>
      </w:r>
      <w:r>
        <w:rPr>
          <w:rFonts w:hint="eastAsia"/>
        </w:rPr>
        <w:t>的</w:t>
      </w:r>
      <w:r>
        <w:rPr>
          <w:rFonts w:hint="eastAsia"/>
          <w:u w:val="single"/>
        </w:rPr>
        <w:t xml:space="preserve">  （供应商名称）    </w:t>
      </w:r>
      <w:r>
        <w:rPr>
          <w:rFonts w:hint="eastAsia"/>
        </w:rPr>
        <w:t>在下面签名的</w:t>
      </w:r>
      <w:r>
        <w:rPr>
          <w:rFonts w:hint="eastAsia"/>
          <w:u w:val="single"/>
        </w:rPr>
        <w:t>（法定代表人姓名、职务）</w:t>
      </w:r>
      <w:r>
        <w:rPr>
          <w:rFonts w:hint="eastAsia"/>
        </w:rPr>
        <w:t>在此授权本公司</w:t>
      </w:r>
      <w:r>
        <w:rPr>
          <w:rFonts w:hint="eastAsia"/>
          <w:u w:val="single"/>
        </w:rPr>
        <w:t>（被授权人姓名、职务）</w:t>
      </w:r>
      <w:r>
        <w:rPr>
          <w:rFonts w:hint="eastAsia"/>
        </w:rPr>
        <w:t>作为我公司的合法代理人，就</w:t>
      </w:r>
      <w:r>
        <w:rPr>
          <w:rFonts w:hint="eastAsia" w:ascii="宋体" w:hAnsi="宋体" w:eastAsia="宋体" w:cs="宋体"/>
          <w:b/>
          <w:bCs/>
          <w:color w:val="000000" w:themeColor="text1"/>
          <w:szCs w:val="32"/>
          <w:u w:val="single"/>
          <w:lang w:eastAsia="zh-CN"/>
          <w14:textFill>
            <w14:solidFill>
              <w14:schemeClr w14:val="tx1"/>
            </w14:solidFill>
          </w14:textFill>
        </w:rPr>
        <w:t>肇庆市鼎湖区桂城街道社区卫生服务中心毛巾采购项目</w:t>
      </w:r>
      <w:r>
        <w:rPr>
          <w:rFonts w:hint="eastAsia"/>
        </w:rPr>
        <w:t>的竞价采购活动，采购合同的签订、执行、完成和售后服务，作为供应商代表以我方的名义处理一切与之有关的事务。</w:t>
      </w:r>
    </w:p>
    <w:p>
      <w:pPr>
        <w:pStyle w:val="10"/>
        <w:spacing w:line="360" w:lineRule="auto"/>
        <w:ind w:firstLine="400" w:firstLineChars="200"/>
        <w:rPr>
          <w:b/>
          <w:bCs/>
        </w:rPr>
      </w:pPr>
      <w:r>
        <w:rPr>
          <w:rFonts w:hint="eastAsia"/>
        </w:rPr>
        <w:t>被授权人（供应商授权代表）无转委托权限。</w:t>
      </w:r>
    </w:p>
    <w:p>
      <w:pPr>
        <w:spacing w:line="360" w:lineRule="auto"/>
        <w:ind w:firstLine="420" w:firstLineChars="200"/>
        <w:rPr>
          <w:rFonts w:ascii="宋体" w:hAnsi="宋体" w:cs="宋体"/>
          <w:szCs w:val="21"/>
        </w:rPr>
      </w:pPr>
      <w:r>
        <w:rPr>
          <w:rFonts w:hint="eastAsia" w:ascii="宋体" w:hAnsi="宋体" w:cs="宋体"/>
          <w:szCs w:val="21"/>
        </w:rPr>
        <w:t>本授权书自法定代表人签字之日起生效，特此声明。</w:t>
      </w:r>
    </w:p>
    <w:p>
      <w:pPr>
        <w:spacing w:line="360" w:lineRule="auto"/>
        <w:ind w:firstLine="428"/>
        <w:rPr>
          <w:rFonts w:ascii="宋体" w:hAnsi="宋体" w:cs="宋体"/>
          <w:b/>
          <w:szCs w:val="21"/>
        </w:rPr>
      </w:pPr>
      <w:r>
        <w:rPr>
          <w:rFonts w:hint="eastAsia" w:ascii="宋体" w:hAnsi="宋体" w:cs="宋体"/>
          <w:b/>
          <w:szCs w:val="21"/>
        </w:rPr>
        <w:t>随附1、《法定代表人证明书》；</w:t>
      </w:r>
    </w:p>
    <w:p>
      <w:pPr>
        <w:spacing w:line="360" w:lineRule="auto"/>
        <w:ind w:firstLine="428"/>
        <w:rPr>
          <w:rFonts w:ascii="宋体" w:hAnsi="宋体" w:cs="宋体"/>
          <w:szCs w:val="21"/>
        </w:rPr>
      </w:pPr>
    </w:p>
    <w:p>
      <w:pPr>
        <w:spacing w:line="360" w:lineRule="auto"/>
        <w:ind w:firstLine="428"/>
        <w:rPr>
          <w:rFonts w:ascii="宋体" w:hAnsi="宋体" w:cs="宋体"/>
          <w:szCs w:val="21"/>
        </w:rPr>
      </w:pPr>
      <w:r>
        <w:rPr>
          <w:rFonts w:hint="eastAsia" w:ascii="宋体" w:hAnsi="宋体" w:cs="宋体"/>
          <w:szCs w:val="21"/>
        </w:rPr>
        <w:t>供应商名称（盖公章）：</w:t>
      </w:r>
    </w:p>
    <w:p>
      <w:pPr>
        <w:spacing w:line="360" w:lineRule="auto"/>
        <w:ind w:firstLine="428"/>
        <w:rPr>
          <w:rFonts w:ascii="宋体" w:hAnsi="宋体" w:cs="宋体"/>
          <w:szCs w:val="21"/>
        </w:rPr>
      </w:pPr>
      <w:r>
        <w:rPr>
          <w:rFonts w:hint="eastAsia" w:ascii="宋体" w:hAnsi="宋体" w:cs="宋体"/>
          <w:szCs w:val="21"/>
        </w:rPr>
        <w:t>地      址：</w:t>
      </w:r>
    </w:p>
    <w:p>
      <w:pPr>
        <w:tabs>
          <w:tab w:val="left" w:pos="3780"/>
        </w:tabs>
        <w:spacing w:line="360" w:lineRule="auto"/>
        <w:ind w:firstLine="428"/>
        <w:rPr>
          <w:rFonts w:ascii="宋体" w:hAnsi="宋体" w:cs="宋体"/>
          <w:szCs w:val="21"/>
        </w:rPr>
      </w:pPr>
      <w:r>
        <w:rPr>
          <w:rFonts w:hint="eastAsia" w:ascii="宋体" w:hAnsi="宋体" w:cs="宋体"/>
          <w:szCs w:val="21"/>
        </w:rPr>
        <w:t>法定代表人（签字或盖章）：                         签字日期：  年   月    日</w:t>
      </w:r>
    </w:p>
    <w:p>
      <w:pPr>
        <w:spacing w:line="360" w:lineRule="auto"/>
        <w:ind w:firstLine="428"/>
        <w:rPr>
          <w:rFonts w:ascii="宋体" w:hAnsi="宋体" w:cs="宋体"/>
          <w:szCs w:val="21"/>
        </w:rPr>
      </w:pPr>
      <w:r>
        <w:rPr>
          <w:rFonts w:ascii="宋体" w:hAnsi="宋体" w:cs="宋体"/>
        </w:rPr>
        <mc:AlternateContent>
          <mc:Choice Requires="wpg">
            <w:drawing>
              <wp:anchor distT="0" distB="0" distL="114300" distR="114300" simplePos="0" relativeHeight="251659264" behindDoc="0" locked="0" layoutInCell="1" allowOverlap="1">
                <wp:simplePos x="0" y="0"/>
                <wp:positionH relativeFrom="column">
                  <wp:posOffset>-393700</wp:posOffset>
                </wp:positionH>
                <wp:positionV relativeFrom="paragraph">
                  <wp:posOffset>152400</wp:posOffset>
                </wp:positionV>
                <wp:extent cx="5651500" cy="1593215"/>
                <wp:effectExtent l="4445" t="4445" r="11430" b="12065"/>
                <wp:wrapNone/>
                <wp:docPr id="4" name="组合 4"/>
                <wp:cNvGraphicFramePr/>
                <a:graphic xmlns:a="http://schemas.openxmlformats.org/drawingml/2006/main">
                  <a:graphicData uri="http://schemas.microsoft.com/office/word/2010/wordprocessingGroup">
                    <wpg:wgp>
                      <wpg:cNvGrpSpPr/>
                      <wpg:grpSpPr>
                        <a:xfrm>
                          <a:off x="0" y="0"/>
                          <a:ext cx="5651500" cy="1593215"/>
                          <a:chOff x="1080" y="8670"/>
                          <a:chExt cx="8900" cy="2509"/>
                        </a:xfrm>
                      </wpg:grpSpPr>
                      <wps:wsp>
                        <wps:cNvPr id="5" name="矩形 3"/>
                        <wps:cNvSpPr>
                          <a:spLocks noChangeArrowheads="1"/>
                        </wps:cNvSpPr>
                        <wps:spPr bwMode="auto">
                          <a:xfrm>
                            <a:off x="1080" y="8670"/>
                            <a:ext cx="4218" cy="2509"/>
                          </a:xfrm>
                          <a:prstGeom prst="rect">
                            <a:avLst/>
                          </a:prstGeom>
                          <a:solidFill>
                            <a:srgbClr val="FFFFFF"/>
                          </a:solidFill>
                          <a:ln w="9525">
                            <a:solidFill>
                              <a:srgbClr val="000000"/>
                            </a:solidFill>
                            <a:miter lim="800000"/>
                          </a:ln>
                        </wps:spPr>
                        <wps:txbx>
                          <w:txbxContent>
                            <w:p>
                              <w:pPr>
                                <w:jc w:val="center"/>
                              </w:pPr>
                              <w:r>
                                <w:rPr>
                                  <w:rFonts w:hint="eastAsia"/>
                                </w:rPr>
                                <w:t>身份证（正面）</w:t>
                              </w:r>
                            </w:p>
                          </w:txbxContent>
                        </wps:txbx>
                        <wps:bodyPr rot="0" vert="horz" wrap="square" lIns="91440" tIns="45720" rIns="91440" bIns="45720" anchor="t" anchorCtr="0" upright="1">
                          <a:noAutofit/>
                        </wps:bodyPr>
                      </wps:wsp>
                      <wps:wsp>
                        <wps:cNvPr id="6" name="矩形 4"/>
                        <wps:cNvSpPr>
                          <a:spLocks noChangeArrowheads="1"/>
                        </wps:cNvSpPr>
                        <wps:spPr bwMode="auto">
                          <a:xfrm>
                            <a:off x="5761" y="8670"/>
                            <a:ext cx="4219" cy="2509"/>
                          </a:xfrm>
                          <a:prstGeom prst="rect">
                            <a:avLst/>
                          </a:prstGeom>
                          <a:solidFill>
                            <a:srgbClr val="FFFFFF"/>
                          </a:solidFill>
                          <a:ln w="9525">
                            <a:solidFill>
                              <a:srgbClr val="000000"/>
                            </a:solidFill>
                            <a:miter lim="800000"/>
                          </a:ln>
                        </wps:spPr>
                        <wps:txbx>
                          <w:txbxContent>
                            <w:p>
                              <w:pPr>
                                <w:jc w:val="center"/>
                              </w:pPr>
                              <w:r>
                                <w:rPr>
                                  <w:rFonts w:hint="eastAsia"/>
                                </w:rPr>
                                <w:t>身份证（反面）</w:t>
                              </w:r>
                            </w:p>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31pt;margin-top:12pt;height:125.45pt;width:445pt;z-index:251659264;mso-width-relative:page;mso-height-relative:page;" coordorigin="1080,8670" coordsize="8900,2509" o:gfxdata="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Tn9qXdoAAAAKAQAADwAAAAAAAAABACAAAAAiAAAAZHJzL2Rvd25yZXYueG1sUEsBAhQA&#10;FAAAAAgAh07iQAQnNNDUAgAASQgAAA4AAAAAAAAAAQAgAAAAKQEAAGRycy9lMm9Eb2MueG1sUEsF&#10;BgAAAAAGAAYAWQEAAG8GAAAAAA==&#10;">
                <o:lock v:ext="edit" aspectratio="f"/>
                <v:rect id="矩形 3" o:spid="_x0000_s1026" o:spt="1" style="position:absolute;left:1080;top:8670;height:2509;width:4218;"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pPr>
                        <w:r>
                          <w:rPr>
                            <w:rFonts w:hint="eastAsia"/>
                          </w:rPr>
                          <w:t>身份证（正面）</w:t>
                        </w:r>
                      </w:p>
                    </w:txbxContent>
                  </v:textbox>
                </v:rect>
                <v:rect id="矩形 4" o:spid="_x0000_s1026" o:spt="1" style="position:absolute;left:5761;top:8670;height:2509;width:4219;"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r>
                          <w:rPr>
                            <w:rFonts w:hint="eastAsia"/>
                          </w:rPr>
                          <w:t>身份证（反面）</w:t>
                        </w:r>
                      </w:p>
                      <w:p/>
                    </w:txbxContent>
                  </v:textbox>
                </v:rect>
              </v:group>
            </w:pict>
          </mc:Fallback>
        </mc:AlternateContent>
      </w:r>
    </w:p>
    <w:p>
      <w:pPr>
        <w:spacing w:line="360" w:lineRule="auto"/>
        <w:ind w:firstLine="428"/>
        <w:rPr>
          <w:rFonts w:ascii="宋体" w:hAnsi="宋体" w:cs="宋体"/>
          <w:szCs w:val="21"/>
        </w:rPr>
      </w:pPr>
    </w:p>
    <w:p>
      <w:pPr>
        <w:spacing w:line="360" w:lineRule="auto"/>
        <w:ind w:firstLine="428"/>
        <w:rPr>
          <w:rFonts w:ascii="宋体" w:hAnsi="宋体" w:cs="宋体"/>
          <w:szCs w:val="21"/>
        </w:rPr>
      </w:pPr>
    </w:p>
    <w:p>
      <w:pPr>
        <w:spacing w:line="360" w:lineRule="auto"/>
        <w:ind w:firstLine="428"/>
        <w:rPr>
          <w:rFonts w:ascii="宋体" w:hAnsi="宋体" w:cs="宋体"/>
          <w:szCs w:val="21"/>
        </w:rPr>
      </w:pPr>
    </w:p>
    <w:p>
      <w:pPr>
        <w:spacing w:line="360" w:lineRule="auto"/>
        <w:ind w:firstLine="428"/>
        <w:rPr>
          <w:rFonts w:ascii="宋体" w:hAnsi="宋体" w:cs="宋体"/>
          <w:szCs w:val="21"/>
        </w:rPr>
      </w:pPr>
    </w:p>
    <w:p>
      <w:pPr>
        <w:spacing w:line="360" w:lineRule="auto"/>
        <w:ind w:firstLine="428"/>
        <w:rPr>
          <w:rFonts w:ascii="宋体" w:hAnsi="宋体" w:cs="宋体"/>
          <w:szCs w:val="21"/>
        </w:rPr>
      </w:pPr>
    </w:p>
    <w:p>
      <w:pPr>
        <w:spacing w:line="360" w:lineRule="auto"/>
        <w:ind w:firstLine="428"/>
        <w:rPr>
          <w:rFonts w:ascii="宋体" w:hAnsi="宋体" w:cs="宋体"/>
          <w:szCs w:val="21"/>
        </w:rPr>
      </w:pPr>
    </w:p>
    <w:p>
      <w:pPr>
        <w:pStyle w:val="22"/>
        <w:rPr>
          <w:rFonts w:ascii="宋体" w:hAnsi="宋体" w:cs="宋体"/>
          <w:szCs w:val="21"/>
        </w:rPr>
      </w:pPr>
    </w:p>
    <w:p>
      <w:pPr>
        <w:pStyle w:val="22"/>
        <w:rPr>
          <w:rFonts w:ascii="宋体" w:hAnsi="宋体" w:cs="宋体"/>
          <w:szCs w:val="21"/>
        </w:rPr>
      </w:pPr>
    </w:p>
    <w:p>
      <w:pPr>
        <w:pStyle w:val="22"/>
        <w:rPr>
          <w:rFonts w:ascii="宋体" w:hAnsi="宋体" w:cs="宋体"/>
          <w:szCs w:val="21"/>
        </w:rPr>
      </w:pPr>
    </w:p>
    <w:p>
      <w:pPr>
        <w:pStyle w:val="22"/>
        <w:rPr>
          <w:rFonts w:ascii="宋体" w:hAnsi="宋体" w:cs="宋体"/>
          <w:szCs w:val="21"/>
        </w:rPr>
      </w:pPr>
    </w:p>
    <w:p>
      <w:pPr>
        <w:pStyle w:val="22"/>
        <w:rPr>
          <w:rFonts w:ascii="宋体" w:hAnsi="宋体" w:cs="宋体"/>
          <w:szCs w:val="21"/>
        </w:rPr>
      </w:pPr>
    </w:p>
    <w:p>
      <w:pPr>
        <w:pStyle w:val="22"/>
        <w:rPr>
          <w:rFonts w:ascii="宋体" w:hAnsi="宋体" w:cs="宋体"/>
          <w:szCs w:val="21"/>
        </w:rPr>
      </w:pPr>
    </w:p>
    <w:p>
      <w:pPr>
        <w:pStyle w:val="22"/>
        <w:rPr>
          <w:rFonts w:ascii="宋体" w:hAnsi="宋体" w:cs="宋体"/>
          <w:szCs w:val="21"/>
        </w:rPr>
      </w:pPr>
    </w:p>
    <w:p>
      <w:pPr>
        <w:pStyle w:val="22"/>
        <w:rPr>
          <w:rFonts w:ascii="宋体" w:hAnsi="宋体" w:cs="宋体"/>
          <w:szCs w:val="21"/>
        </w:rPr>
      </w:pPr>
    </w:p>
    <w:p>
      <w:pPr>
        <w:pStyle w:val="22"/>
        <w:rPr>
          <w:rFonts w:ascii="宋体" w:hAnsi="宋体" w:cs="宋体"/>
          <w:szCs w:val="21"/>
        </w:rPr>
      </w:pPr>
    </w:p>
    <w:p>
      <w:pPr>
        <w:spacing w:line="360" w:lineRule="auto"/>
        <w:ind w:firstLine="428"/>
        <w:rPr>
          <w:rFonts w:ascii="宋体" w:hAnsi="宋体" w:cs="宋体"/>
        </w:rPr>
      </w:pPr>
    </w:p>
    <w:p>
      <w:pPr>
        <w:widowControl/>
        <w:jc w:val="left"/>
        <w:rPr>
          <w:rFonts w:ascii="宋体" w:hAnsi="宋体" w:eastAsia="宋体" w:cs="宋体"/>
          <w:b/>
          <w:sz w:val="32"/>
          <w:szCs w:val="32"/>
        </w:rPr>
      </w:pPr>
      <w:r>
        <w:rPr>
          <w:rFonts w:ascii="宋体" w:hAnsi="宋体" w:eastAsia="宋体" w:cs="宋体"/>
          <w:bCs/>
        </w:rPr>
        <w:br w:type="page"/>
      </w:r>
    </w:p>
    <w:p>
      <w:pPr>
        <w:pStyle w:val="3"/>
        <w:adjustRightInd w:val="0"/>
        <w:snapToGrid w:val="0"/>
        <w:spacing w:before="0" w:after="0" w:line="360" w:lineRule="auto"/>
        <w:ind w:firstLine="646"/>
        <w:jc w:val="center"/>
        <w:rPr>
          <w:rFonts w:ascii="宋体" w:hAnsi="宋体" w:eastAsia="宋体" w:cs="宋体"/>
          <w:bCs w:val="0"/>
        </w:rPr>
      </w:pPr>
      <w:r>
        <w:rPr>
          <w:rFonts w:hint="eastAsia" w:ascii="宋体" w:hAnsi="宋体" w:eastAsia="宋体" w:cs="宋体"/>
          <w:bCs w:val="0"/>
        </w:rPr>
        <w:t>法定代表人证明书</w:t>
      </w:r>
    </w:p>
    <w:p>
      <w:pPr>
        <w:tabs>
          <w:tab w:val="left" w:pos="900"/>
        </w:tabs>
        <w:spacing w:line="480" w:lineRule="auto"/>
        <w:ind w:firstLine="1050" w:firstLineChars="500"/>
        <w:rPr>
          <w:rFonts w:ascii="宋体" w:hAnsi="宋体" w:cs="宋体"/>
          <w:szCs w:val="21"/>
        </w:rPr>
      </w:pPr>
      <w:r>
        <w:rPr>
          <w:rFonts w:hint="eastAsia" w:ascii="宋体" w:hAnsi="宋体" w:cs="宋体"/>
          <w:szCs w:val="21"/>
        </w:rPr>
        <w:t>______同志，现任我单位____职务，为法定代表人，特此证明。</w:t>
      </w:r>
    </w:p>
    <w:p>
      <w:pPr>
        <w:spacing w:line="480" w:lineRule="auto"/>
        <w:ind w:firstLine="420" w:firstLineChars="200"/>
        <w:rPr>
          <w:rFonts w:ascii="宋体" w:hAnsi="宋体" w:cs="宋体"/>
          <w:szCs w:val="21"/>
        </w:rPr>
      </w:pPr>
      <w:r>
        <w:rPr>
          <w:rFonts w:hint="eastAsia" w:ascii="宋体" w:hAnsi="宋体" w:cs="宋体"/>
          <w:szCs w:val="21"/>
        </w:rPr>
        <w:t>本证明书自签发之日起生效，有效期与本公司参与竞价的文件中标注的有效期相同。</w:t>
      </w:r>
    </w:p>
    <w:p>
      <w:pPr>
        <w:spacing w:line="480" w:lineRule="auto"/>
        <w:ind w:firstLine="420" w:firstLineChars="200"/>
        <w:rPr>
          <w:rFonts w:ascii="宋体" w:hAnsi="宋体" w:cs="宋体"/>
          <w:szCs w:val="21"/>
        </w:rPr>
      </w:pPr>
      <w:r>
        <w:rPr>
          <w:rFonts w:hint="eastAsia" w:ascii="宋体" w:hAnsi="宋体" w:cs="宋体"/>
          <w:szCs w:val="21"/>
        </w:rPr>
        <w:t>附：</w:t>
      </w:r>
    </w:p>
    <w:p>
      <w:pPr>
        <w:spacing w:line="480" w:lineRule="auto"/>
        <w:ind w:firstLine="840" w:firstLineChars="400"/>
        <w:rPr>
          <w:rFonts w:ascii="宋体" w:hAnsi="宋体" w:cs="宋体"/>
          <w:szCs w:val="21"/>
        </w:rPr>
      </w:pPr>
      <w:r>
        <w:rPr>
          <w:rFonts w:hint="eastAsia" w:ascii="宋体" w:hAnsi="宋体" w:cs="宋体"/>
          <w:szCs w:val="21"/>
        </w:rPr>
        <w:t xml:space="preserve">营业执照（注册号）： </w:t>
      </w:r>
    </w:p>
    <w:p>
      <w:pPr>
        <w:spacing w:line="480" w:lineRule="auto"/>
        <w:ind w:firstLine="840" w:firstLineChars="400"/>
        <w:rPr>
          <w:rFonts w:ascii="宋体" w:hAnsi="宋体" w:cs="宋体"/>
          <w:szCs w:val="21"/>
        </w:rPr>
      </w:pPr>
      <w:r>
        <w:rPr>
          <w:rFonts w:hint="eastAsia" w:ascii="宋体" w:hAnsi="宋体" w:cs="宋体"/>
          <w:szCs w:val="21"/>
        </w:rPr>
        <w:t>经济性质：</w:t>
      </w:r>
    </w:p>
    <w:p>
      <w:pPr>
        <w:spacing w:line="480" w:lineRule="auto"/>
        <w:ind w:firstLine="840" w:firstLineChars="400"/>
        <w:rPr>
          <w:rFonts w:ascii="宋体" w:hAnsi="宋体" w:cs="宋体"/>
          <w:szCs w:val="21"/>
        </w:rPr>
      </w:pPr>
      <w:r>
        <w:rPr>
          <w:rFonts w:hint="eastAsia" w:ascii="宋体" w:hAnsi="宋体" w:cs="宋体"/>
          <w:szCs w:val="21"/>
        </w:rPr>
        <w:t>主营（产）：</w:t>
      </w:r>
    </w:p>
    <w:p>
      <w:pPr>
        <w:spacing w:line="480" w:lineRule="auto"/>
        <w:ind w:firstLine="840" w:firstLineChars="400"/>
        <w:rPr>
          <w:rFonts w:ascii="宋体" w:hAnsi="宋体" w:cs="宋体"/>
          <w:szCs w:val="21"/>
        </w:rPr>
      </w:pPr>
      <w:r>
        <w:rPr>
          <w:rFonts w:hint="eastAsia" w:ascii="宋体" w:hAnsi="宋体" w:cs="宋体"/>
          <w:szCs w:val="21"/>
        </w:rPr>
        <w:t>兼营（产）：</w:t>
      </w:r>
    </w:p>
    <w:p>
      <w:pPr>
        <w:spacing w:line="480" w:lineRule="auto"/>
        <w:ind w:firstLine="840" w:firstLineChars="400"/>
        <w:rPr>
          <w:rFonts w:ascii="宋体" w:hAnsi="宋体" w:cs="宋体"/>
          <w:szCs w:val="21"/>
        </w:rPr>
      </w:pPr>
      <w:r>
        <w:rPr>
          <w:rFonts w:ascii="宋体" w:hAnsi="宋体" w:cs="宋体"/>
        </w:rPr>
        <mc:AlternateContent>
          <mc:Choice Requires="wpg">
            <w:drawing>
              <wp:anchor distT="0" distB="0" distL="114300" distR="114300" simplePos="0" relativeHeight="251660288" behindDoc="0" locked="0" layoutInCell="1" allowOverlap="1">
                <wp:simplePos x="0" y="0"/>
                <wp:positionH relativeFrom="column">
                  <wp:posOffset>-191135</wp:posOffset>
                </wp:positionH>
                <wp:positionV relativeFrom="paragraph">
                  <wp:posOffset>243840</wp:posOffset>
                </wp:positionV>
                <wp:extent cx="5535295" cy="1656715"/>
                <wp:effectExtent l="4445" t="4445" r="13335" b="5715"/>
                <wp:wrapNone/>
                <wp:docPr id="1" name="组合 1"/>
                <wp:cNvGraphicFramePr/>
                <a:graphic xmlns:a="http://schemas.openxmlformats.org/drawingml/2006/main">
                  <a:graphicData uri="http://schemas.microsoft.com/office/word/2010/wordprocessingGroup">
                    <wpg:wgp>
                      <wpg:cNvGrpSpPr/>
                      <wpg:grpSpPr>
                        <a:xfrm>
                          <a:off x="0" y="0"/>
                          <a:ext cx="5535295" cy="1656715"/>
                          <a:chOff x="1146" y="7566"/>
                          <a:chExt cx="8717" cy="2609"/>
                        </a:xfrm>
                      </wpg:grpSpPr>
                      <wps:wsp>
                        <wps:cNvPr id="2" name="矩形 6"/>
                        <wps:cNvSpPr>
                          <a:spLocks noChangeArrowheads="1"/>
                        </wps:cNvSpPr>
                        <wps:spPr bwMode="auto">
                          <a:xfrm>
                            <a:off x="1146" y="7566"/>
                            <a:ext cx="4166" cy="2609"/>
                          </a:xfrm>
                          <a:prstGeom prst="rect">
                            <a:avLst/>
                          </a:prstGeom>
                          <a:solidFill>
                            <a:srgbClr val="FFFFFF"/>
                          </a:solidFill>
                          <a:ln w="9525">
                            <a:solidFill>
                              <a:srgbClr val="000000"/>
                            </a:solidFill>
                            <a:miter lim="800000"/>
                          </a:ln>
                        </wps:spPr>
                        <wps:txbx>
                          <w:txbxContent>
                            <w:p>
                              <w:pPr>
                                <w:jc w:val="center"/>
                              </w:pPr>
                              <w:r>
                                <w:rPr>
                                  <w:rFonts w:hint="eastAsia"/>
                                </w:rPr>
                                <w:t>身份证（正面）</w:t>
                              </w:r>
                            </w:p>
                            <w:p>
                              <w:pPr>
                                <w:ind w:firstLine="1050" w:firstLineChars="500"/>
                              </w:pPr>
                            </w:p>
                          </w:txbxContent>
                        </wps:txbx>
                        <wps:bodyPr rot="0" vert="horz" wrap="square" lIns="91440" tIns="45720" rIns="91440" bIns="45720" anchor="t" anchorCtr="0" upright="1">
                          <a:noAutofit/>
                        </wps:bodyPr>
                      </wps:wsp>
                      <wps:wsp>
                        <wps:cNvPr id="3" name="矩形 7"/>
                        <wps:cNvSpPr>
                          <a:spLocks noChangeArrowheads="1"/>
                        </wps:cNvSpPr>
                        <wps:spPr bwMode="auto">
                          <a:xfrm>
                            <a:off x="5719" y="7566"/>
                            <a:ext cx="4144" cy="2609"/>
                          </a:xfrm>
                          <a:prstGeom prst="rect">
                            <a:avLst/>
                          </a:prstGeom>
                          <a:solidFill>
                            <a:srgbClr val="FFFFFF"/>
                          </a:solidFill>
                          <a:ln w="9525">
                            <a:solidFill>
                              <a:srgbClr val="000000"/>
                            </a:solidFill>
                            <a:miter lim="800000"/>
                          </a:ln>
                        </wps:spPr>
                        <wps:txbx>
                          <w:txbxContent>
                            <w:p>
                              <w:pPr>
                                <w:jc w:val="center"/>
                              </w:pPr>
                              <w:r>
                                <w:rPr>
                                  <w:rFonts w:hint="eastAsia"/>
                                </w:rPr>
                                <w:t>身份证（反面）</w:t>
                              </w:r>
                            </w:p>
                            <w:p>
                              <w:pPr>
                                <w:ind w:firstLine="1050" w:firstLineChars="500"/>
                              </w:pP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5.05pt;margin-top:19.2pt;height:130.45pt;width:435.85pt;z-index:251660288;mso-width-relative:page;mso-height-relative:page;" coordorigin="1146,7566" coordsize="8717,2609" o:gfxdata="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zlMmg9sAAAAKAQAADwAAAAAAAAABACAAAAAiAAAAZHJzL2Rvd25yZXYueG1sUEsBAhQA&#10;FAAAAAgAh07iQN6fMbDTAgAASQgAAA4AAAAAAAAAAQAgAAAAKgEAAGRycy9lMm9Eb2MueG1sUEsF&#10;BgAAAAAGAAYAWQEAAG8GAAAAAA==&#10;">
                <o:lock v:ext="edit" aspectratio="f"/>
                <v:rect id="矩形 6" o:spid="_x0000_s1026" o:spt="1" style="position:absolute;left:1146;top:7566;height:2609;width:4166;"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pPr>
                        <w:r>
                          <w:rPr>
                            <w:rFonts w:hint="eastAsia"/>
                          </w:rPr>
                          <w:t>身份证（正面）</w:t>
                        </w:r>
                      </w:p>
                      <w:p>
                        <w:pPr>
                          <w:ind w:firstLine="1050" w:firstLineChars="500"/>
                        </w:pPr>
                      </w:p>
                    </w:txbxContent>
                  </v:textbox>
                </v:rect>
                <v:rect id="矩形 7" o:spid="_x0000_s1026" o:spt="1" style="position:absolute;left:5719;top:7566;height:2609;width:4144;"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r>
                          <w:rPr>
                            <w:rFonts w:hint="eastAsia"/>
                          </w:rPr>
                          <w:t>身份证（反面）</w:t>
                        </w:r>
                      </w:p>
                      <w:p>
                        <w:pPr>
                          <w:ind w:firstLine="1050" w:firstLineChars="500"/>
                        </w:pPr>
                      </w:p>
                    </w:txbxContent>
                  </v:textbox>
                </v:rect>
              </v:group>
            </w:pict>
          </mc:Fallback>
        </mc:AlternateContent>
      </w:r>
    </w:p>
    <w:p>
      <w:pPr>
        <w:spacing w:line="500" w:lineRule="exact"/>
        <w:ind w:firstLine="426"/>
        <w:rPr>
          <w:rFonts w:ascii="宋体" w:hAnsi="宋体" w:cs="宋体"/>
          <w:b/>
          <w:bCs/>
          <w:szCs w:val="21"/>
        </w:rPr>
      </w:pPr>
    </w:p>
    <w:p>
      <w:pPr>
        <w:spacing w:line="500" w:lineRule="exact"/>
        <w:ind w:firstLine="426"/>
        <w:rPr>
          <w:rFonts w:ascii="宋体" w:hAnsi="宋体" w:cs="宋体"/>
          <w:b/>
          <w:bCs/>
          <w:szCs w:val="21"/>
        </w:rPr>
      </w:pPr>
    </w:p>
    <w:p>
      <w:pPr>
        <w:spacing w:line="500" w:lineRule="exact"/>
        <w:ind w:firstLine="426"/>
        <w:rPr>
          <w:rFonts w:ascii="宋体" w:hAnsi="宋体" w:cs="宋体"/>
          <w:b/>
          <w:bCs/>
        </w:rPr>
      </w:pPr>
    </w:p>
    <w:p>
      <w:pPr>
        <w:spacing w:line="500" w:lineRule="exact"/>
        <w:ind w:firstLine="426"/>
        <w:rPr>
          <w:rFonts w:ascii="宋体" w:hAnsi="宋体" w:cs="宋体"/>
          <w:b/>
          <w:bCs/>
        </w:rPr>
      </w:pPr>
    </w:p>
    <w:p>
      <w:pPr>
        <w:spacing w:line="500" w:lineRule="exact"/>
        <w:ind w:firstLine="426"/>
        <w:rPr>
          <w:rFonts w:ascii="宋体" w:hAnsi="宋体" w:cs="宋体"/>
          <w:b/>
          <w:bCs/>
        </w:rPr>
      </w:pPr>
    </w:p>
    <w:p>
      <w:pPr>
        <w:spacing w:line="500" w:lineRule="exact"/>
        <w:ind w:firstLine="426"/>
        <w:rPr>
          <w:rFonts w:ascii="宋体" w:hAnsi="宋体" w:cs="宋体"/>
          <w:b/>
          <w:bCs/>
        </w:rPr>
      </w:pPr>
    </w:p>
    <w:p>
      <w:pPr>
        <w:spacing w:line="500" w:lineRule="exact"/>
        <w:ind w:firstLine="426"/>
        <w:rPr>
          <w:rFonts w:ascii="宋体" w:hAnsi="宋体" w:cs="宋体"/>
          <w:b/>
          <w:bCs/>
        </w:rPr>
      </w:pPr>
    </w:p>
    <w:p>
      <w:pPr>
        <w:spacing w:line="500" w:lineRule="exact"/>
        <w:ind w:firstLine="428"/>
        <w:rPr>
          <w:rFonts w:ascii="宋体" w:hAnsi="宋体" w:cs="宋体"/>
          <w:szCs w:val="21"/>
        </w:rPr>
      </w:pPr>
      <w:r>
        <w:rPr>
          <w:rFonts w:hint="eastAsia" w:ascii="宋体" w:hAnsi="宋体" w:cs="宋体"/>
          <w:szCs w:val="21"/>
        </w:rPr>
        <w:t>供应商名称：（盖公章）：</w:t>
      </w:r>
    </w:p>
    <w:p>
      <w:pPr>
        <w:spacing w:line="500" w:lineRule="exact"/>
        <w:ind w:firstLine="428"/>
        <w:rPr>
          <w:rFonts w:ascii="宋体" w:hAnsi="宋体" w:cs="宋体"/>
          <w:szCs w:val="21"/>
        </w:rPr>
      </w:pPr>
      <w:r>
        <w:rPr>
          <w:rFonts w:hint="eastAsia" w:ascii="宋体" w:hAnsi="宋体" w:cs="宋体"/>
          <w:szCs w:val="21"/>
        </w:rPr>
        <w:t>地址：</w:t>
      </w:r>
    </w:p>
    <w:p>
      <w:pPr>
        <w:spacing w:line="500" w:lineRule="exact"/>
        <w:ind w:firstLine="428"/>
        <w:rPr>
          <w:rFonts w:ascii="宋体" w:hAnsi="宋体" w:cs="宋体"/>
          <w:szCs w:val="21"/>
        </w:rPr>
      </w:pPr>
      <w:r>
        <w:rPr>
          <w:rFonts w:hint="eastAsia" w:ascii="宋体" w:hAnsi="宋体" w:cs="宋体"/>
          <w:szCs w:val="21"/>
        </w:rPr>
        <w:t>日期：</w:t>
      </w:r>
    </w:p>
    <w:p>
      <w:pPr>
        <w:widowControl/>
        <w:jc w:val="left"/>
        <w:rPr>
          <w:rFonts w:ascii="宋体" w:hAnsi="宋体" w:eastAsia="宋体" w:cs="宋体"/>
          <w:color w:val="000000" w:themeColor="text1"/>
          <w14:textFill>
            <w14:solidFill>
              <w14:schemeClr w14:val="tx1"/>
            </w14:solidFill>
          </w14:textFill>
        </w:rPr>
      </w:pPr>
    </w:p>
    <w:sectPr>
      <w:pgSz w:w="11906" w:h="16838"/>
      <w:pgMar w:top="1417" w:right="1800" w:bottom="1417" w:left="1800" w:header="720" w:footer="72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CB6F6"/>
    <w:multiLevelType w:val="singleLevel"/>
    <w:tmpl w:val="9BECB6F6"/>
    <w:lvl w:ilvl="0" w:tentative="0">
      <w:start w:val="1"/>
      <w:numFmt w:val="decimal"/>
      <w:suff w:val="nothing"/>
      <w:lvlText w:val="%1．"/>
      <w:lvlJc w:val="left"/>
      <w:pPr>
        <w:ind w:left="-400" w:firstLine="400"/>
      </w:pPr>
      <w:rPr>
        <w:rFonts w:hint="default"/>
        <w:sz w:val="21"/>
        <w:szCs w:val="21"/>
      </w:rPr>
    </w:lvl>
  </w:abstractNum>
  <w:abstractNum w:abstractNumId="1">
    <w:nsid w:val="A1C97576"/>
    <w:multiLevelType w:val="multilevel"/>
    <w:tmpl w:val="A1C97576"/>
    <w:lvl w:ilvl="0" w:tentative="0">
      <w:start w:val="1"/>
      <w:numFmt w:val="decimal"/>
      <w:lvlText w:val="%1."/>
      <w:lvlJc w:val="left"/>
      <w:pPr>
        <w:tabs>
          <w:tab w:val="left" w:pos="360"/>
        </w:tabs>
        <w:ind w:left="360"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A63CE0D2"/>
    <w:multiLevelType w:val="singleLevel"/>
    <w:tmpl w:val="A63CE0D2"/>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3">
    <w:nsid w:val="C21AE412"/>
    <w:multiLevelType w:val="singleLevel"/>
    <w:tmpl w:val="C21AE412"/>
    <w:lvl w:ilvl="0" w:tentative="0">
      <w:start w:val="1"/>
      <w:numFmt w:val="chineseCounting"/>
      <w:suff w:val="nothing"/>
      <w:lvlText w:val="%1、"/>
      <w:lvlJc w:val="left"/>
      <w:pPr>
        <w:ind w:left="0" w:firstLine="420"/>
      </w:pPr>
      <w:rPr>
        <w:rFonts w:hint="eastAsia"/>
      </w:rPr>
    </w:lvl>
  </w:abstractNum>
  <w:abstractNum w:abstractNumId="4">
    <w:nsid w:val="D7010DB7"/>
    <w:multiLevelType w:val="singleLevel"/>
    <w:tmpl w:val="D7010DB7"/>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5">
    <w:nsid w:val="E91EF292"/>
    <w:multiLevelType w:val="multilevel"/>
    <w:tmpl w:val="E91EF292"/>
    <w:lvl w:ilvl="0" w:tentative="0">
      <w:start w:val="1"/>
      <w:numFmt w:val="chineseCountingThousand"/>
      <w:lvlText w:val="(%1)"/>
      <w:lvlJc w:val="left"/>
      <w:pPr>
        <w:ind w:left="286" w:hanging="420"/>
      </w:pPr>
    </w:lvl>
    <w:lvl w:ilvl="1" w:tentative="0">
      <w:start w:val="1"/>
      <w:numFmt w:val="lowerLetter"/>
      <w:lvlText w:val="%2)"/>
      <w:lvlJc w:val="left"/>
      <w:pPr>
        <w:ind w:left="706" w:hanging="420"/>
      </w:pPr>
    </w:lvl>
    <w:lvl w:ilvl="2" w:tentative="0">
      <w:start w:val="1"/>
      <w:numFmt w:val="lowerRoman"/>
      <w:lvlText w:val="%3."/>
      <w:lvlJc w:val="right"/>
      <w:pPr>
        <w:ind w:left="1126" w:hanging="420"/>
      </w:pPr>
    </w:lvl>
    <w:lvl w:ilvl="3" w:tentative="0">
      <w:start w:val="1"/>
      <w:numFmt w:val="decimal"/>
      <w:lvlText w:val="%4."/>
      <w:lvlJc w:val="left"/>
      <w:pPr>
        <w:ind w:left="1546" w:hanging="420"/>
      </w:pPr>
    </w:lvl>
    <w:lvl w:ilvl="4" w:tentative="0">
      <w:start w:val="1"/>
      <w:numFmt w:val="lowerLetter"/>
      <w:lvlText w:val="%5)"/>
      <w:lvlJc w:val="left"/>
      <w:pPr>
        <w:ind w:left="1966" w:hanging="420"/>
      </w:pPr>
    </w:lvl>
    <w:lvl w:ilvl="5" w:tentative="0">
      <w:start w:val="1"/>
      <w:numFmt w:val="lowerRoman"/>
      <w:lvlText w:val="%6."/>
      <w:lvlJc w:val="right"/>
      <w:pPr>
        <w:ind w:left="2386" w:hanging="420"/>
      </w:pPr>
    </w:lvl>
    <w:lvl w:ilvl="6" w:tentative="0">
      <w:start w:val="1"/>
      <w:numFmt w:val="decimal"/>
      <w:lvlText w:val="%7."/>
      <w:lvlJc w:val="left"/>
      <w:pPr>
        <w:ind w:left="2806" w:hanging="420"/>
      </w:pPr>
    </w:lvl>
    <w:lvl w:ilvl="7" w:tentative="0">
      <w:start w:val="1"/>
      <w:numFmt w:val="lowerLetter"/>
      <w:lvlText w:val="%8)"/>
      <w:lvlJc w:val="left"/>
      <w:pPr>
        <w:ind w:left="3226" w:hanging="420"/>
      </w:pPr>
    </w:lvl>
    <w:lvl w:ilvl="8" w:tentative="0">
      <w:start w:val="1"/>
      <w:numFmt w:val="lowerRoman"/>
      <w:lvlText w:val="%9."/>
      <w:lvlJc w:val="right"/>
      <w:pPr>
        <w:ind w:left="3646" w:hanging="420"/>
      </w:pPr>
    </w:lvl>
  </w:abstractNum>
  <w:abstractNum w:abstractNumId="6">
    <w:nsid w:val="F09CFC33"/>
    <w:multiLevelType w:val="singleLevel"/>
    <w:tmpl w:val="F09CFC33"/>
    <w:lvl w:ilvl="0" w:tentative="0">
      <w:start w:val="1"/>
      <w:numFmt w:val="decimal"/>
      <w:lvlText w:val="(%1)"/>
      <w:lvlJc w:val="left"/>
      <w:pPr>
        <w:ind w:left="425" w:hanging="425"/>
      </w:pPr>
      <w:rPr>
        <w:rFonts w:hint="default" w:ascii="宋体" w:hAnsi="宋体" w:eastAsia="宋体" w:cs="宋体"/>
        <w:sz w:val="21"/>
        <w:szCs w:val="21"/>
      </w:rPr>
    </w:lvl>
  </w:abstractNum>
  <w:abstractNum w:abstractNumId="7">
    <w:nsid w:val="F36E8F27"/>
    <w:multiLevelType w:val="singleLevel"/>
    <w:tmpl w:val="F36E8F27"/>
    <w:lvl w:ilvl="0" w:tentative="0">
      <w:start w:val="1"/>
      <w:numFmt w:val="decimal"/>
      <w:suff w:val="nothing"/>
      <w:lvlText w:val="%1．"/>
      <w:lvlJc w:val="left"/>
      <w:pPr>
        <w:ind w:left="0" w:firstLine="400"/>
      </w:pPr>
      <w:rPr>
        <w:rFonts w:hint="default"/>
      </w:rPr>
    </w:lvl>
  </w:abstractNum>
  <w:abstractNum w:abstractNumId="8">
    <w:nsid w:val="F47A0796"/>
    <w:multiLevelType w:val="singleLevel"/>
    <w:tmpl w:val="F47A0796"/>
    <w:lvl w:ilvl="0" w:tentative="0">
      <w:start w:val="1"/>
      <w:numFmt w:val="chineseCounting"/>
      <w:suff w:val="nothing"/>
      <w:lvlText w:val="（%1）"/>
      <w:lvlJc w:val="left"/>
      <w:pPr>
        <w:ind w:left="0" w:firstLine="420"/>
      </w:pPr>
      <w:rPr>
        <w:rFonts w:hint="eastAsia"/>
        <w:b/>
        <w:bCs/>
      </w:rPr>
    </w:lvl>
  </w:abstractNum>
  <w:abstractNum w:abstractNumId="9">
    <w:nsid w:val="F4E25012"/>
    <w:multiLevelType w:val="multilevel"/>
    <w:tmpl w:val="F4E25012"/>
    <w:lvl w:ilvl="0" w:tentative="0">
      <w:start w:val="1"/>
      <w:numFmt w:val="chineseCountingThousand"/>
      <w:lvlText w:val="%1、"/>
      <w:lvlJc w:val="left"/>
      <w:pPr>
        <w:tabs>
          <w:tab w:val="left" w:pos="420"/>
        </w:tabs>
        <w:ind w:left="420" w:hanging="420"/>
      </w:pPr>
      <w:rPr>
        <w:rFonts w:hint="eastAsia" w:ascii="宋体" w:hAnsi="宋体" w:eastAsia="宋体" w:cs="宋体"/>
        <w:b/>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cs="Times New Roman"/>
        <w:b w:val="0"/>
        <w:dstrike w:val="0"/>
      </w:rPr>
    </w:lvl>
    <w:lvl w:ilvl="2" w:tentative="0">
      <w:start w:val="1"/>
      <w:numFmt w:val="decimal"/>
      <w:lvlText w:val="%1.%2.%3"/>
      <w:lvlJc w:val="left"/>
      <w:pPr>
        <w:tabs>
          <w:tab w:val="left" w:pos="1703"/>
        </w:tabs>
        <w:ind w:left="1703" w:hanging="851"/>
      </w:pPr>
      <w:rPr>
        <w:rFonts w:hint="default" w:ascii="宋体" w:hAnsi="宋体" w:eastAsia="宋体" w:cs="Times New Roman"/>
        <w:b w:val="0"/>
        <w:color w:val="auto"/>
        <w:sz w:val="21"/>
        <w:szCs w:val="21"/>
      </w:rPr>
    </w:lvl>
    <w:lvl w:ilvl="3" w:tentative="0">
      <w:start w:val="1"/>
      <w:numFmt w:val="decimal"/>
      <w:pStyle w:val="39"/>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0304B097"/>
    <w:multiLevelType w:val="singleLevel"/>
    <w:tmpl w:val="0304B097"/>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2">
    <w:nsid w:val="04AD10DA"/>
    <w:multiLevelType w:val="multilevel"/>
    <w:tmpl w:val="04AD10DA"/>
    <w:lvl w:ilvl="0" w:tentative="0">
      <w:start w:val="1"/>
      <w:numFmt w:val="lowerLetter"/>
      <w:suff w:val="nothing"/>
      <w:lvlText w:val="%1)"/>
      <w:lvlJc w:val="left"/>
      <w:pPr>
        <w:ind w:left="2121" w:hanging="420"/>
      </w:pPr>
      <w:rPr>
        <w:rFonts w:hint="eastAsia"/>
      </w:rPr>
    </w:lvl>
    <w:lvl w:ilvl="1" w:tentative="0">
      <w:start w:val="1"/>
      <w:numFmt w:val="lowerLetter"/>
      <w:lvlText w:val="%2)"/>
      <w:lvlJc w:val="left"/>
      <w:pPr>
        <w:ind w:left="2541" w:hanging="420"/>
      </w:pPr>
    </w:lvl>
    <w:lvl w:ilvl="2" w:tentative="0">
      <w:start w:val="1"/>
      <w:numFmt w:val="lowerRoman"/>
      <w:lvlText w:val="%3."/>
      <w:lvlJc w:val="right"/>
      <w:pPr>
        <w:ind w:left="2961" w:hanging="420"/>
      </w:pPr>
    </w:lvl>
    <w:lvl w:ilvl="3" w:tentative="0">
      <w:start w:val="1"/>
      <w:numFmt w:val="decimal"/>
      <w:lvlText w:val="%4."/>
      <w:lvlJc w:val="left"/>
      <w:pPr>
        <w:ind w:left="3381" w:hanging="420"/>
      </w:pPr>
    </w:lvl>
    <w:lvl w:ilvl="4" w:tentative="0">
      <w:start w:val="1"/>
      <w:numFmt w:val="lowerLetter"/>
      <w:lvlText w:val="%5)"/>
      <w:lvlJc w:val="left"/>
      <w:pPr>
        <w:ind w:left="3801" w:hanging="420"/>
      </w:pPr>
    </w:lvl>
    <w:lvl w:ilvl="5" w:tentative="0">
      <w:start w:val="1"/>
      <w:numFmt w:val="lowerRoman"/>
      <w:lvlText w:val="%6."/>
      <w:lvlJc w:val="right"/>
      <w:pPr>
        <w:ind w:left="4221" w:hanging="420"/>
      </w:pPr>
    </w:lvl>
    <w:lvl w:ilvl="6" w:tentative="0">
      <w:start w:val="1"/>
      <w:numFmt w:val="decimal"/>
      <w:lvlText w:val="%7."/>
      <w:lvlJc w:val="left"/>
      <w:pPr>
        <w:ind w:left="4641" w:hanging="420"/>
      </w:pPr>
    </w:lvl>
    <w:lvl w:ilvl="7" w:tentative="0">
      <w:start w:val="1"/>
      <w:numFmt w:val="lowerLetter"/>
      <w:lvlText w:val="%8)"/>
      <w:lvlJc w:val="left"/>
      <w:pPr>
        <w:ind w:left="5061" w:hanging="420"/>
      </w:pPr>
    </w:lvl>
    <w:lvl w:ilvl="8" w:tentative="0">
      <w:start w:val="1"/>
      <w:numFmt w:val="lowerRoman"/>
      <w:lvlText w:val="%9."/>
      <w:lvlJc w:val="right"/>
      <w:pPr>
        <w:ind w:left="5481" w:hanging="420"/>
      </w:pPr>
    </w:lvl>
  </w:abstractNum>
  <w:abstractNum w:abstractNumId="13">
    <w:nsid w:val="1579B33C"/>
    <w:multiLevelType w:val="singleLevel"/>
    <w:tmpl w:val="1579B33C"/>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4">
    <w:nsid w:val="1C0F739A"/>
    <w:multiLevelType w:val="singleLevel"/>
    <w:tmpl w:val="1C0F739A"/>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15">
    <w:nsid w:val="288C32E4"/>
    <w:multiLevelType w:val="multilevel"/>
    <w:tmpl w:val="288C32E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28DFED06"/>
    <w:multiLevelType w:val="singleLevel"/>
    <w:tmpl w:val="28DFED06"/>
    <w:lvl w:ilvl="0" w:tentative="0">
      <w:start w:val="1"/>
      <w:numFmt w:val="decimal"/>
      <w:suff w:val="nothing"/>
      <w:lvlText w:val="%1．"/>
      <w:lvlJc w:val="left"/>
      <w:pPr>
        <w:ind w:left="0" w:firstLine="400"/>
      </w:pPr>
      <w:rPr>
        <w:rFonts w:hint="default"/>
      </w:rPr>
    </w:lvl>
  </w:abstractNum>
  <w:abstractNum w:abstractNumId="17">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8">
    <w:nsid w:val="4CCCCDC4"/>
    <w:multiLevelType w:val="singleLevel"/>
    <w:tmpl w:val="4CCCCDC4"/>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19">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20">
    <w:nsid w:val="590DFEAE"/>
    <w:multiLevelType w:val="singleLevel"/>
    <w:tmpl w:val="590DFEAE"/>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21">
    <w:nsid w:val="63784A10"/>
    <w:multiLevelType w:val="multilevel"/>
    <w:tmpl w:val="63784A10"/>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E19083E"/>
    <w:multiLevelType w:val="multilevel"/>
    <w:tmpl w:val="6E19083E"/>
    <w:lvl w:ilvl="0" w:tentative="0">
      <w:start w:val="1"/>
      <w:numFmt w:val="decimal"/>
      <w:lvlText w:val="%1."/>
      <w:lvlJc w:val="left"/>
      <w:pPr>
        <w:ind w:left="420" w:hanging="420"/>
      </w:pPr>
      <w:rPr>
        <w:rFonts w:hint="default"/>
        <w:sz w:val="21"/>
        <w:szCs w:val="21"/>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21"/>
  </w:num>
  <w:num w:numId="3">
    <w:abstractNumId w:val="8"/>
  </w:num>
  <w:num w:numId="4">
    <w:abstractNumId w:val="18"/>
  </w:num>
  <w:num w:numId="5">
    <w:abstractNumId w:val="4"/>
  </w:num>
  <w:num w:numId="6">
    <w:abstractNumId w:val="11"/>
  </w:num>
  <w:num w:numId="7">
    <w:abstractNumId w:val="13"/>
  </w:num>
  <w:num w:numId="8">
    <w:abstractNumId w:val="20"/>
  </w:num>
  <w:num w:numId="9">
    <w:abstractNumId w:val="14"/>
  </w:num>
  <w:num w:numId="10">
    <w:abstractNumId w:val="6"/>
  </w:num>
  <w:num w:numId="11">
    <w:abstractNumId w:val="2"/>
  </w:num>
  <w:num w:numId="12">
    <w:abstractNumId w:val="12"/>
  </w:num>
  <w:num w:numId="13">
    <w:abstractNumId w:val="15"/>
  </w:num>
  <w:num w:numId="14">
    <w:abstractNumId w:val="9"/>
  </w:num>
  <w:num w:numId="15">
    <w:abstractNumId w:val="5"/>
  </w:num>
  <w:num w:numId="16">
    <w:abstractNumId w:val="7"/>
  </w:num>
  <w:num w:numId="17">
    <w:abstractNumId w:val="1"/>
  </w:num>
  <w:num w:numId="18">
    <w:abstractNumId w:val="16"/>
  </w:num>
  <w:num w:numId="19">
    <w:abstractNumId w:val="0"/>
  </w:num>
  <w:num w:numId="20">
    <w:abstractNumId w:val="22"/>
  </w:num>
  <w:num w:numId="21">
    <w:abstractNumId w:val="17"/>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hNDg0OThlNzc0M2I3OTUyMjllZDExOWNkY2U5OGQifQ=="/>
  </w:docVars>
  <w:rsids>
    <w:rsidRoot w:val="00603670"/>
    <w:rsid w:val="0000298A"/>
    <w:rsid w:val="00011A82"/>
    <w:rsid w:val="000163AB"/>
    <w:rsid w:val="00027036"/>
    <w:rsid w:val="00042B6B"/>
    <w:rsid w:val="000431C9"/>
    <w:rsid w:val="00045E6F"/>
    <w:rsid w:val="00050534"/>
    <w:rsid w:val="00053978"/>
    <w:rsid w:val="000565F1"/>
    <w:rsid w:val="0006472A"/>
    <w:rsid w:val="00072D57"/>
    <w:rsid w:val="000749D9"/>
    <w:rsid w:val="00075391"/>
    <w:rsid w:val="00082CDE"/>
    <w:rsid w:val="00083BE6"/>
    <w:rsid w:val="00086BDC"/>
    <w:rsid w:val="000B040C"/>
    <w:rsid w:val="000B3F59"/>
    <w:rsid w:val="000C5ABD"/>
    <w:rsid w:val="000E1199"/>
    <w:rsid w:val="000E2971"/>
    <w:rsid w:val="000E4C42"/>
    <w:rsid w:val="000F1249"/>
    <w:rsid w:val="000F423D"/>
    <w:rsid w:val="00107E2D"/>
    <w:rsid w:val="0011556A"/>
    <w:rsid w:val="00116EDF"/>
    <w:rsid w:val="00123BEA"/>
    <w:rsid w:val="001304CF"/>
    <w:rsid w:val="00140AD2"/>
    <w:rsid w:val="00143DFC"/>
    <w:rsid w:val="00145AE8"/>
    <w:rsid w:val="0016171E"/>
    <w:rsid w:val="00175ECB"/>
    <w:rsid w:val="001775AE"/>
    <w:rsid w:val="00182BE9"/>
    <w:rsid w:val="001863E0"/>
    <w:rsid w:val="00193210"/>
    <w:rsid w:val="001A0DDF"/>
    <w:rsid w:val="001A769F"/>
    <w:rsid w:val="001B0A70"/>
    <w:rsid w:val="001B74DB"/>
    <w:rsid w:val="001C071E"/>
    <w:rsid w:val="001C3D61"/>
    <w:rsid w:val="001C43C7"/>
    <w:rsid w:val="001C6BE3"/>
    <w:rsid w:val="001D1026"/>
    <w:rsid w:val="001D33E6"/>
    <w:rsid w:val="001D3E3B"/>
    <w:rsid w:val="001E48AC"/>
    <w:rsid w:val="001E5C33"/>
    <w:rsid w:val="001F3F8C"/>
    <w:rsid w:val="002056C6"/>
    <w:rsid w:val="00220312"/>
    <w:rsid w:val="002379C7"/>
    <w:rsid w:val="0024390D"/>
    <w:rsid w:val="00251790"/>
    <w:rsid w:val="00253352"/>
    <w:rsid w:val="00262DAA"/>
    <w:rsid w:val="0026399A"/>
    <w:rsid w:val="002674A4"/>
    <w:rsid w:val="00270E13"/>
    <w:rsid w:val="00274FF8"/>
    <w:rsid w:val="00283853"/>
    <w:rsid w:val="00283A1B"/>
    <w:rsid w:val="002920CA"/>
    <w:rsid w:val="002A1D82"/>
    <w:rsid w:val="002A1FE5"/>
    <w:rsid w:val="002A50F6"/>
    <w:rsid w:val="002B2992"/>
    <w:rsid w:val="002B4DF8"/>
    <w:rsid w:val="002B6EEB"/>
    <w:rsid w:val="002C7CC8"/>
    <w:rsid w:val="002D4EBD"/>
    <w:rsid w:val="002D5B83"/>
    <w:rsid w:val="002E0263"/>
    <w:rsid w:val="002E5F86"/>
    <w:rsid w:val="002E61D3"/>
    <w:rsid w:val="002E66A9"/>
    <w:rsid w:val="002F352E"/>
    <w:rsid w:val="002F4A33"/>
    <w:rsid w:val="002F5E67"/>
    <w:rsid w:val="0031356B"/>
    <w:rsid w:val="00321C1D"/>
    <w:rsid w:val="00327C22"/>
    <w:rsid w:val="00332AF3"/>
    <w:rsid w:val="00336F07"/>
    <w:rsid w:val="00342E19"/>
    <w:rsid w:val="00355F34"/>
    <w:rsid w:val="00361074"/>
    <w:rsid w:val="00366797"/>
    <w:rsid w:val="003818F2"/>
    <w:rsid w:val="00383905"/>
    <w:rsid w:val="00384761"/>
    <w:rsid w:val="00392847"/>
    <w:rsid w:val="00393D24"/>
    <w:rsid w:val="00394537"/>
    <w:rsid w:val="00395A64"/>
    <w:rsid w:val="00395C9C"/>
    <w:rsid w:val="00396F62"/>
    <w:rsid w:val="003B0A20"/>
    <w:rsid w:val="003B48C0"/>
    <w:rsid w:val="003B5D20"/>
    <w:rsid w:val="003C419C"/>
    <w:rsid w:val="003D2DE8"/>
    <w:rsid w:val="003D3C42"/>
    <w:rsid w:val="003E273C"/>
    <w:rsid w:val="003F38D5"/>
    <w:rsid w:val="00403AB2"/>
    <w:rsid w:val="0041253F"/>
    <w:rsid w:val="00412749"/>
    <w:rsid w:val="004211A3"/>
    <w:rsid w:val="00425F66"/>
    <w:rsid w:val="00431BF0"/>
    <w:rsid w:val="00431DBE"/>
    <w:rsid w:val="00433B9F"/>
    <w:rsid w:val="00456ED5"/>
    <w:rsid w:val="0045760A"/>
    <w:rsid w:val="004610D7"/>
    <w:rsid w:val="004613B9"/>
    <w:rsid w:val="0047081D"/>
    <w:rsid w:val="004765F8"/>
    <w:rsid w:val="00476745"/>
    <w:rsid w:val="00476899"/>
    <w:rsid w:val="00491492"/>
    <w:rsid w:val="00492B35"/>
    <w:rsid w:val="00493336"/>
    <w:rsid w:val="00494623"/>
    <w:rsid w:val="00496883"/>
    <w:rsid w:val="004A36A8"/>
    <w:rsid w:val="004B4136"/>
    <w:rsid w:val="004B57DA"/>
    <w:rsid w:val="004B7182"/>
    <w:rsid w:val="004D2165"/>
    <w:rsid w:val="004D2A3E"/>
    <w:rsid w:val="004D491B"/>
    <w:rsid w:val="004D6D34"/>
    <w:rsid w:val="004E3790"/>
    <w:rsid w:val="004F1479"/>
    <w:rsid w:val="00501334"/>
    <w:rsid w:val="00501F2E"/>
    <w:rsid w:val="00521996"/>
    <w:rsid w:val="00522280"/>
    <w:rsid w:val="005316BD"/>
    <w:rsid w:val="00533B92"/>
    <w:rsid w:val="00534F6E"/>
    <w:rsid w:val="00535EEC"/>
    <w:rsid w:val="005456E9"/>
    <w:rsid w:val="005462F7"/>
    <w:rsid w:val="005521A5"/>
    <w:rsid w:val="00555B34"/>
    <w:rsid w:val="00565168"/>
    <w:rsid w:val="005656FE"/>
    <w:rsid w:val="005678E8"/>
    <w:rsid w:val="005732E9"/>
    <w:rsid w:val="00577172"/>
    <w:rsid w:val="00585A83"/>
    <w:rsid w:val="00591BC0"/>
    <w:rsid w:val="00593C7A"/>
    <w:rsid w:val="005B1D70"/>
    <w:rsid w:val="005B3711"/>
    <w:rsid w:val="005C064C"/>
    <w:rsid w:val="005C3A40"/>
    <w:rsid w:val="005D0B0F"/>
    <w:rsid w:val="005D4A57"/>
    <w:rsid w:val="005D72B7"/>
    <w:rsid w:val="005D796C"/>
    <w:rsid w:val="005E4015"/>
    <w:rsid w:val="005E748F"/>
    <w:rsid w:val="005F00ED"/>
    <w:rsid w:val="005F4F7A"/>
    <w:rsid w:val="005F6D53"/>
    <w:rsid w:val="00603670"/>
    <w:rsid w:val="006037D5"/>
    <w:rsid w:val="0060727B"/>
    <w:rsid w:val="00611B84"/>
    <w:rsid w:val="00616532"/>
    <w:rsid w:val="00616AE3"/>
    <w:rsid w:val="00620F2C"/>
    <w:rsid w:val="00627F1C"/>
    <w:rsid w:val="006346CA"/>
    <w:rsid w:val="0064715C"/>
    <w:rsid w:val="00653613"/>
    <w:rsid w:val="00655177"/>
    <w:rsid w:val="0066018A"/>
    <w:rsid w:val="00662408"/>
    <w:rsid w:val="00673379"/>
    <w:rsid w:val="006779F7"/>
    <w:rsid w:val="00680244"/>
    <w:rsid w:val="006817FD"/>
    <w:rsid w:val="006923B3"/>
    <w:rsid w:val="006948F2"/>
    <w:rsid w:val="006A61C8"/>
    <w:rsid w:val="006B07B5"/>
    <w:rsid w:val="006B1BFB"/>
    <w:rsid w:val="006B764E"/>
    <w:rsid w:val="006D213E"/>
    <w:rsid w:val="006D5FC6"/>
    <w:rsid w:val="006D7E04"/>
    <w:rsid w:val="00700C51"/>
    <w:rsid w:val="00704006"/>
    <w:rsid w:val="00704031"/>
    <w:rsid w:val="00704C21"/>
    <w:rsid w:val="007056A1"/>
    <w:rsid w:val="007059E9"/>
    <w:rsid w:val="0071097B"/>
    <w:rsid w:val="007128C2"/>
    <w:rsid w:val="00713BF5"/>
    <w:rsid w:val="00715D44"/>
    <w:rsid w:val="00717FA5"/>
    <w:rsid w:val="007214B0"/>
    <w:rsid w:val="00721994"/>
    <w:rsid w:val="00724E13"/>
    <w:rsid w:val="00726EDF"/>
    <w:rsid w:val="007342B9"/>
    <w:rsid w:val="00741354"/>
    <w:rsid w:val="007440B0"/>
    <w:rsid w:val="007470DA"/>
    <w:rsid w:val="00761C9A"/>
    <w:rsid w:val="00762179"/>
    <w:rsid w:val="00766BD6"/>
    <w:rsid w:val="00772ED2"/>
    <w:rsid w:val="00781170"/>
    <w:rsid w:val="00781957"/>
    <w:rsid w:val="00783B9B"/>
    <w:rsid w:val="00786D28"/>
    <w:rsid w:val="00793437"/>
    <w:rsid w:val="0079465B"/>
    <w:rsid w:val="007B645B"/>
    <w:rsid w:val="007C5792"/>
    <w:rsid w:val="007E26FA"/>
    <w:rsid w:val="007E3EDE"/>
    <w:rsid w:val="007F26F4"/>
    <w:rsid w:val="007F6B25"/>
    <w:rsid w:val="0080065E"/>
    <w:rsid w:val="008034FC"/>
    <w:rsid w:val="00803518"/>
    <w:rsid w:val="0080516A"/>
    <w:rsid w:val="00811E08"/>
    <w:rsid w:val="00812470"/>
    <w:rsid w:val="008124C1"/>
    <w:rsid w:val="00814743"/>
    <w:rsid w:val="0082229E"/>
    <w:rsid w:val="00825FF0"/>
    <w:rsid w:val="00830919"/>
    <w:rsid w:val="00845CCE"/>
    <w:rsid w:val="00847407"/>
    <w:rsid w:val="008537C7"/>
    <w:rsid w:val="008556E4"/>
    <w:rsid w:val="00856F2F"/>
    <w:rsid w:val="00875023"/>
    <w:rsid w:val="00881257"/>
    <w:rsid w:val="00882269"/>
    <w:rsid w:val="008A5110"/>
    <w:rsid w:val="008A7093"/>
    <w:rsid w:val="008A75A4"/>
    <w:rsid w:val="008B7BAC"/>
    <w:rsid w:val="008B7C71"/>
    <w:rsid w:val="008C2AB1"/>
    <w:rsid w:val="008C3917"/>
    <w:rsid w:val="008C7245"/>
    <w:rsid w:val="008D0A5A"/>
    <w:rsid w:val="008D1A5C"/>
    <w:rsid w:val="008D522B"/>
    <w:rsid w:val="008E3CD8"/>
    <w:rsid w:val="008E49E5"/>
    <w:rsid w:val="008E6EDC"/>
    <w:rsid w:val="008F3BD8"/>
    <w:rsid w:val="008F3E0F"/>
    <w:rsid w:val="008F3F79"/>
    <w:rsid w:val="008F480D"/>
    <w:rsid w:val="00904D13"/>
    <w:rsid w:val="009227C3"/>
    <w:rsid w:val="0092421F"/>
    <w:rsid w:val="00932E40"/>
    <w:rsid w:val="00937F4D"/>
    <w:rsid w:val="00940CEB"/>
    <w:rsid w:val="00945388"/>
    <w:rsid w:val="00945FC8"/>
    <w:rsid w:val="0094675A"/>
    <w:rsid w:val="009500CB"/>
    <w:rsid w:val="00950D89"/>
    <w:rsid w:val="00966193"/>
    <w:rsid w:val="009666D4"/>
    <w:rsid w:val="00966E16"/>
    <w:rsid w:val="00977403"/>
    <w:rsid w:val="00981FCF"/>
    <w:rsid w:val="009877F1"/>
    <w:rsid w:val="00990253"/>
    <w:rsid w:val="00991F41"/>
    <w:rsid w:val="009A21C0"/>
    <w:rsid w:val="009A4BF3"/>
    <w:rsid w:val="009B4D41"/>
    <w:rsid w:val="009C2904"/>
    <w:rsid w:val="009C2D78"/>
    <w:rsid w:val="009C51EA"/>
    <w:rsid w:val="009D0859"/>
    <w:rsid w:val="009D4FC9"/>
    <w:rsid w:val="009E5075"/>
    <w:rsid w:val="009E5F7B"/>
    <w:rsid w:val="009F22AA"/>
    <w:rsid w:val="00A042E3"/>
    <w:rsid w:val="00A0472A"/>
    <w:rsid w:val="00A13934"/>
    <w:rsid w:val="00A16824"/>
    <w:rsid w:val="00A16C1A"/>
    <w:rsid w:val="00A202CE"/>
    <w:rsid w:val="00A258AD"/>
    <w:rsid w:val="00A30C64"/>
    <w:rsid w:val="00A35A63"/>
    <w:rsid w:val="00A444BF"/>
    <w:rsid w:val="00A45A6D"/>
    <w:rsid w:val="00A82740"/>
    <w:rsid w:val="00AA2719"/>
    <w:rsid w:val="00AA4A01"/>
    <w:rsid w:val="00AB6105"/>
    <w:rsid w:val="00AC2AF9"/>
    <w:rsid w:val="00AD08E8"/>
    <w:rsid w:val="00AD3C05"/>
    <w:rsid w:val="00AD6219"/>
    <w:rsid w:val="00AE270A"/>
    <w:rsid w:val="00AE2F48"/>
    <w:rsid w:val="00AF1D6C"/>
    <w:rsid w:val="00AF4372"/>
    <w:rsid w:val="00B0099A"/>
    <w:rsid w:val="00B06AE0"/>
    <w:rsid w:val="00B141DC"/>
    <w:rsid w:val="00B16927"/>
    <w:rsid w:val="00B4687C"/>
    <w:rsid w:val="00B5406D"/>
    <w:rsid w:val="00B617FE"/>
    <w:rsid w:val="00B85FC9"/>
    <w:rsid w:val="00B9732A"/>
    <w:rsid w:val="00BA1245"/>
    <w:rsid w:val="00BA578C"/>
    <w:rsid w:val="00BB45E3"/>
    <w:rsid w:val="00BB566D"/>
    <w:rsid w:val="00BB5881"/>
    <w:rsid w:val="00BB67EB"/>
    <w:rsid w:val="00BC4505"/>
    <w:rsid w:val="00BC697C"/>
    <w:rsid w:val="00BD3301"/>
    <w:rsid w:val="00BD4CD9"/>
    <w:rsid w:val="00BF04FE"/>
    <w:rsid w:val="00BF568B"/>
    <w:rsid w:val="00C00098"/>
    <w:rsid w:val="00C02598"/>
    <w:rsid w:val="00C2026A"/>
    <w:rsid w:val="00C21B82"/>
    <w:rsid w:val="00C31252"/>
    <w:rsid w:val="00C368FE"/>
    <w:rsid w:val="00C40805"/>
    <w:rsid w:val="00C455DD"/>
    <w:rsid w:val="00C476C2"/>
    <w:rsid w:val="00C541C5"/>
    <w:rsid w:val="00C56A1C"/>
    <w:rsid w:val="00C65789"/>
    <w:rsid w:val="00C776A4"/>
    <w:rsid w:val="00C83E6E"/>
    <w:rsid w:val="00C90DA1"/>
    <w:rsid w:val="00CA090A"/>
    <w:rsid w:val="00CA0CCB"/>
    <w:rsid w:val="00CA0FD7"/>
    <w:rsid w:val="00CC17D4"/>
    <w:rsid w:val="00CD143C"/>
    <w:rsid w:val="00CD57F2"/>
    <w:rsid w:val="00CE71FC"/>
    <w:rsid w:val="00CF2666"/>
    <w:rsid w:val="00CF59AA"/>
    <w:rsid w:val="00D002F2"/>
    <w:rsid w:val="00D015A2"/>
    <w:rsid w:val="00D10E67"/>
    <w:rsid w:val="00D2020D"/>
    <w:rsid w:val="00D221F4"/>
    <w:rsid w:val="00D24487"/>
    <w:rsid w:val="00D30F45"/>
    <w:rsid w:val="00D32910"/>
    <w:rsid w:val="00D4308A"/>
    <w:rsid w:val="00D467C0"/>
    <w:rsid w:val="00D533FC"/>
    <w:rsid w:val="00D61271"/>
    <w:rsid w:val="00D62DA9"/>
    <w:rsid w:val="00D638E3"/>
    <w:rsid w:val="00D7179D"/>
    <w:rsid w:val="00D71805"/>
    <w:rsid w:val="00D72607"/>
    <w:rsid w:val="00D8277B"/>
    <w:rsid w:val="00D82EF0"/>
    <w:rsid w:val="00D834B2"/>
    <w:rsid w:val="00D9501D"/>
    <w:rsid w:val="00D953AB"/>
    <w:rsid w:val="00D95437"/>
    <w:rsid w:val="00D95FC8"/>
    <w:rsid w:val="00D96CBE"/>
    <w:rsid w:val="00DA5447"/>
    <w:rsid w:val="00DA677A"/>
    <w:rsid w:val="00DD1F0C"/>
    <w:rsid w:val="00DD2C2A"/>
    <w:rsid w:val="00DD3557"/>
    <w:rsid w:val="00DD4221"/>
    <w:rsid w:val="00E01F9F"/>
    <w:rsid w:val="00E06F98"/>
    <w:rsid w:val="00E07AB9"/>
    <w:rsid w:val="00E127FA"/>
    <w:rsid w:val="00E255DD"/>
    <w:rsid w:val="00E300EB"/>
    <w:rsid w:val="00E33E2A"/>
    <w:rsid w:val="00E3421A"/>
    <w:rsid w:val="00E34EB3"/>
    <w:rsid w:val="00E4552F"/>
    <w:rsid w:val="00E456ED"/>
    <w:rsid w:val="00E52B0C"/>
    <w:rsid w:val="00E63355"/>
    <w:rsid w:val="00E70313"/>
    <w:rsid w:val="00E81F84"/>
    <w:rsid w:val="00E84F37"/>
    <w:rsid w:val="00E94445"/>
    <w:rsid w:val="00E96562"/>
    <w:rsid w:val="00EA08B8"/>
    <w:rsid w:val="00EA1D68"/>
    <w:rsid w:val="00EA6C46"/>
    <w:rsid w:val="00EB3E5D"/>
    <w:rsid w:val="00EC6A4D"/>
    <w:rsid w:val="00EC6B71"/>
    <w:rsid w:val="00ED5181"/>
    <w:rsid w:val="00EE154B"/>
    <w:rsid w:val="00EE203B"/>
    <w:rsid w:val="00EE22B8"/>
    <w:rsid w:val="00EE6332"/>
    <w:rsid w:val="00EE7439"/>
    <w:rsid w:val="00EF1B95"/>
    <w:rsid w:val="00EF3265"/>
    <w:rsid w:val="00EF5F21"/>
    <w:rsid w:val="00F124EF"/>
    <w:rsid w:val="00F14A8B"/>
    <w:rsid w:val="00F15985"/>
    <w:rsid w:val="00F1651A"/>
    <w:rsid w:val="00F16A55"/>
    <w:rsid w:val="00F20BBF"/>
    <w:rsid w:val="00F21DD8"/>
    <w:rsid w:val="00F2484C"/>
    <w:rsid w:val="00F264F6"/>
    <w:rsid w:val="00F31DBA"/>
    <w:rsid w:val="00F31E19"/>
    <w:rsid w:val="00F4747C"/>
    <w:rsid w:val="00F5165D"/>
    <w:rsid w:val="00F523A2"/>
    <w:rsid w:val="00F61DA9"/>
    <w:rsid w:val="00F67ABD"/>
    <w:rsid w:val="00F705B7"/>
    <w:rsid w:val="00F71BEE"/>
    <w:rsid w:val="00F74919"/>
    <w:rsid w:val="00F8759A"/>
    <w:rsid w:val="00FA5D03"/>
    <w:rsid w:val="00FC353C"/>
    <w:rsid w:val="00FD12C6"/>
    <w:rsid w:val="00FD56B9"/>
    <w:rsid w:val="00FE1170"/>
    <w:rsid w:val="00FE3A2F"/>
    <w:rsid w:val="00FF04E2"/>
    <w:rsid w:val="00FF0ED7"/>
    <w:rsid w:val="00FF424F"/>
    <w:rsid w:val="016A6C79"/>
    <w:rsid w:val="01702465"/>
    <w:rsid w:val="02181129"/>
    <w:rsid w:val="02CE4282"/>
    <w:rsid w:val="02E42FCA"/>
    <w:rsid w:val="033112BB"/>
    <w:rsid w:val="03316E9F"/>
    <w:rsid w:val="03F3121B"/>
    <w:rsid w:val="04375C44"/>
    <w:rsid w:val="052B2EF5"/>
    <w:rsid w:val="05ED15B8"/>
    <w:rsid w:val="05FB2573"/>
    <w:rsid w:val="062251E4"/>
    <w:rsid w:val="06327957"/>
    <w:rsid w:val="067C1BC2"/>
    <w:rsid w:val="06A03941"/>
    <w:rsid w:val="06B56F6B"/>
    <w:rsid w:val="06BA455D"/>
    <w:rsid w:val="06FD3346"/>
    <w:rsid w:val="07560F7E"/>
    <w:rsid w:val="08210B4F"/>
    <w:rsid w:val="08380D9F"/>
    <w:rsid w:val="08C136B6"/>
    <w:rsid w:val="08E32A0F"/>
    <w:rsid w:val="090D12BC"/>
    <w:rsid w:val="0936476E"/>
    <w:rsid w:val="09476ADF"/>
    <w:rsid w:val="096B28E1"/>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18536E"/>
    <w:rsid w:val="0D5D1325"/>
    <w:rsid w:val="0D8A1656"/>
    <w:rsid w:val="0DC1448E"/>
    <w:rsid w:val="0DE83E06"/>
    <w:rsid w:val="0E317E14"/>
    <w:rsid w:val="0E46090A"/>
    <w:rsid w:val="0E6D18B9"/>
    <w:rsid w:val="0EB2188B"/>
    <w:rsid w:val="0ED75C3A"/>
    <w:rsid w:val="0EDD0C64"/>
    <w:rsid w:val="10864BAF"/>
    <w:rsid w:val="10923864"/>
    <w:rsid w:val="10CA7EC9"/>
    <w:rsid w:val="10DD7355"/>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D0019E"/>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2D6BB6"/>
    <w:rsid w:val="175956CC"/>
    <w:rsid w:val="18017181"/>
    <w:rsid w:val="181A5423"/>
    <w:rsid w:val="1834418E"/>
    <w:rsid w:val="183C1E47"/>
    <w:rsid w:val="188B647F"/>
    <w:rsid w:val="18A13EA5"/>
    <w:rsid w:val="19074C20"/>
    <w:rsid w:val="192C29EE"/>
    <w:rsid w:val="19812CF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6FF2829"/>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E67895"/>
    <w:rsid w:val="2E13683F"/>
    <w:rsid w:val="2E4F7ABC"/>
    <w:rsid w:val="2E7C2EEB"/>
    <w:rsid w:val="2F8B41C5"/>
    <w:rsid w:val="2FAF1ED5"/>
    <w:rsid w:val="2FB8401E"/>
    <w:rsid w:val="2FD110DF"/>
    <w:rsid w:val="2FD95850"/>
    <w:rsid w:val="3009348A"/>
    <w:rsid w:val="30B41068"/>
    <w:rsid w:val="31496CA7"/>
    <w:rsid w:val="316E6392"/>
    <w:rsid w:val="32696F31"/>
    <w:rsid w:val="32A565BD"/>
    <w:rsid w:val="32A91D1A"/>
    <w:rsid w:val="32D37A29"/>
    <w:rsid w:val="336F2764"/>
    <w:rsid w:val="344C3B08"/>
    <w:rsid w:val="34E70363"/>
    <w:rsid w:val="35B41300"/>
    <w:rsid w:val="3609309B"/>
    <w:rsid w:val="372E75BF"/>
    <w:rsid w:val="379F77B6"/>
    <w:rsid w:val="390458AE"/>
    <w:rsid w:val="392803B0"/>
    <w:rsid w:val="39425EA4"/>
    <w:rsid w:val="39A45FA5"/>
    <w:rsid w:val="39FA04A7"/>
    <w:rsid w:val="3A23021F"/>
    <w:rsid w:val="3B490A10"/>
    <w:rsid w:val="3B864C9E"/>
    <w:rsid w:val="3B9260FC"/>
    <w:rsid w:val="3C4A1D69"/>
    <w:rsid w:val="3C964B49"/>
    <w:rsid w:val="3DB54D85"/>
    <w:rsid w:val="3E7616F0"/>
    <w:rsid w:val="3EE37DED"/>
    <w:rsid w:val="3F025588"/>
    <w:rsid w:val="3F5B3E28"/>
    <w:rsid w:val="40552625"/>
    <w:rsid w:val="40AB0D42"/>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1A02D1"/>
    <w:rsid w:val="554E6FE3"/>
    <w:rsid w:val="556F72BE"/>
    <w:rsid w:val="558B26A7"/>
    <w:rsid w:val="55A84294"/>
    <w:rsid w:val="55C8387E"/>
    <w:rsid w:val="55CB2018"/>
    <w:rsid w:val="55D71631"/>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94331"/>
    <w:rsid w:val="5ADE53AE"/>
    <w:rsid w:val="5AED3F95"/>
    <w:rsid w:val="5B0B5FE1"/>
    <w:rsid w:val="5B3577D0"/>
    <w:rsid w:val="5B5222F3"/>
    <w:rsid w:val="5C386DDC"/>
    <w:rsid w:val="5C390560"/>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502FA5"/>
    <w:rsid w:val="637C4BF3"/>
    <w:rsid w:val="638330D1"/>
    <w:rsid w:val="649164CF"/>
    <w:rsid w:val="64AF79E0"/>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15C1C63"/>
    <w:rsid w:val="72CE3338"/>
    <w:rsid w:val="72EE3A33"/>
    <w:rsid w:val="73C53042"/>
    <w:rsid w:val="73FF22EE"/>
    <w:rsid w:val="745D7266"/>
    <w:rsid w:val="752224A4"/>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097E38"/>
    <w:rsid w:val="7C491C89"/>
    <w:rsid w:val="7C9469C9"/>
    <w:rsid w:val="7CCA1B72"/>
    <w:rsid w:val="7CED21F4"/>
    <w:rsid w:val="7CEF62FD"/>
    <w:rsid w:val="7D0761B8"/>
    <w:rsid w:val="7D31799A"/>
    <w:rsid w:val="7D420FD0"/>
    <w:rsid w:val="7D78565E"/>
    <w:rsid w:val="7DBF3442"/>
    <w:rsid w:val="7DC23320"/>
    <w:rsid w:val="7DFD6003"/>
    <w:rsid w:val="7EAB113D"/>
    <w:rsid w:val="7F6000C3"/>
    <w:rsid w:val="7FCC2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qFormat="1"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5"/>
    <w:qFormat/>
    <w:uiPriority w:val="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85"/>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61"/>
    <w:semiHidden/>
    <w:unhideWhenUsed/>
    <w:qFormat/>
    <w:uiPriority w:val="9"/>
    <w:pPr>
      <w:keepNext/>
      <w:keepLines/>
      <w:spacing w:before="260" w:after="260" w:line="413" w:lineRule="auto"/>
      <w:outlineLvl w:val="2"/>
    </w:pPr>
    <w:rPr>
      <w:b/>
      <w:sz w:val="32"/>
    </w:rPr>
  </w:style>
  <w:style w:type="character" w:default="1" w:styleId="25">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semiHidden/>
    <w:unhideWhenUsed/>
    <w:qFormat/>
    <w:uiPriority w:val="99"/>
    <w:pPr>
      <w:spacing w:line="60" w:lineRule="auto"/>
      <w:ind w:firstLine="420" w:firstLineChars="200"/>
    </w:pPr>
    <w:rPr>
      <w:rFonts w:ascii="Times New Roman" w:hAnsi="Times New Roman" w:eastAsia="宋体" w:cs="Times New Roman"/>
      <w:szCs w:val="24"/>
    </w:rPr>
  </w:style>
  <w:style w:type="paragraph" w:styleId="6">
    <w:name w:val="annotation text"/>
    <w:basedOn w:val="1"/>
    <w:link w:val="86"/>
    <w:unhideWhenUsed/>
    <w:qFormat/>
    <w:uiPriority w:val="0"/>
    <w:pPr>
      <w:jc w:val="left"/>
    </w:pPr>
    <w:rPr>
      <w:rFonts w:ascii="Times New Roman" w:hAnsi="Times New Roman" w:eastAsia="宋体" w:cs="Times New Roman"/>
      <w:szCs w:val="24"/>
    </w:rPr>
  </w:style>
  <w:style w:type="paragraph" w:styleId="7">
    <w:name w:val="Body Text"/>
    <w:basedOn w:val="1"/>
    <w:link w:val="91"/>
    <w:semiHidden/>
    <w:unhideWhenUsed/>
    <w:qFormat/>
    <w:uiPriority w:val="99"/>
    <w:pPr>
      <w:spacing w:after="120"/>
    </w:pPr>
  </w:style>
  <w:style w:type="paragraph" w:styleId="8">
    <w:name w:val="Body Text Indent"/>
    <w:basedOn w:val="1"/>
    <w:next w:val="9"/>
    <w:link w:val="88"/>
    <w:semiHidden/>
    <w:unhideWhenUsed/>
    <w:qFormat/>
    <w:uiPriority w:val="99"/>
    <w:pPr>
      <w:spacing w:after="120"/>
      <w:ind w:left="420" w:leftChars="200"/>
    </w:pPr>
  </w:style>
  <w:style w:type="paragraph" w:styleId="9">
    <w:name w:val="envelope return"/>
    <w:basedOn w:val="1"/>
    <w:qFormat/>
    <w:uiPriority w:val="0"/>
    <w:pPr>
      <w:snapToGrid w:val="0"/>
    </w:pPr>
    <w:rPr>
      <w:rFonts w:ascii="Arial" w:hAnsi="Arial"/>
    </w:rPr>
  </w:style>
  <w:style w:type="paragraph" w:styleId="10">
    <w:name w:val="Plain Text"/>
    <w:basedOn w:val="1"/>
    <w:link w:val="60"/>
    <w:qFormat/>
    <w:uiPriority w:val="0"/>
    <w:rPr>
      <w:rFonts w:ascii="宋体" w:hAnsi="Courier New" w:eastAsia="宋体" w:cs="Times New Roman"/>
      <w:kern w:val="0"/>
      <w:sz w:val="20"/>
      <w:szCs w:val="21"/>
    </w:rPr>
  </w:style>
  <w:style w:type="paragraph" w:styleId="11">
    <w:name w:val="Balloon Text"/>
    <w:basedOn w:val="1"/>
    <w:link w:val="32"/>
    <w:semiHidden/>
    <w:unhideWhenUsed/>
    <w:qFormat/>
    <w:uiPriority w:val="99"/>
    <w:rPr>
      <w:sz w:val="18"/>
      <w:szCs w:val="18"/>
    </w:rPr>
  </w:style>
  <w:style w:type="paragraph" w:styleId="12">
    <w:name w:val="footer"/>
    <w:basedOn w:val="1"/>
    <w:link w:val="56"/>
    <w:unhideWhenUsed/>
    <w:qFormat/>
    <w:uiPriority w:val="99"/>
    <w:pPr>
      <w:tabs>
        <w:tab w:val="center" w:pos="4153"/>
        <w:tab w:val="right" w:pos="8306"/>
      </w:tabs>
      <w:snapToGrid w:val="0"/>
      <w:jc w:val="left"/>
    </w:pPr>
    <w:rPr>
      <w:sz w:val="18"/>
      <w:szCs w:val="18"/>
    </w:rPr>
  </w:style>
  <w:style w:type="paragraph" w:styleId="13">
    <w:name w:val="header"/>
    <w:basedOn w:val="1"/>
    <w:link w:val="10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semiHidden/>
    <w:unhideWhenUsed/>
    <w:qFormat/>
    <w:uiPriority w:val="39"/>
    <w:pPr>
      <w:spacing w:line="400" w:lineRule="exact"/>
      <w:jc w:val="center"/>
    </w:pPr>
    <w:rPr>
      <w:rFonts w:hint="eastAsia" w:ascii="宋体" w:hAnsi="宋体" w:eastAsia="宋体" w:cs="Times New Roman"/>
      <w:b/>
      <w:bCs/>
    </w:rPr>
  </w:style>
  <w:style w:type="paragraph" w:styleId="15">
    <w:name w:val="footnote text"/>
    <w:basedOn w:val="1"/>
    <w:link w:val="73"/>
    <w:semiHidden/>
    <w:unhideWhenUsed/>
    <w:qFormat/>
    <w:uiPriority w:val="99"/>
    <w:pPr>
      <w:snapToGrid w:val="0"/>
      <w:jc w:val="left"/>
    </w:pPr>
    <w:rPr>
      <w:sz w:val="18"/>
    </w:rPr>
  </w:style>
  <w:style w:type="paragraph" w:styleId="16">
    <w:name w:val="Body Text Indent 3"/>
    <w:basedOn w:val="1"/>
    <w:link w:val="93"/>
    <w:semiHidden/>
    <w:unhideWhenUsed/>
    <w:qFormat/>
    <w:uiPriority w:val="99"/>
    <w:pPr>
      <w:spacing w:after="120"/>
      <w:ind w:left="420" w:leftChars="200"/>
    </w:pPr>
    <w:rPr>
      <w:rFonts w:hint="eastAsia" w:ascii="等线" w:hAnsi="等线" w:eastAsia="等线" w:cs="Times New Roman"/>
      <w:sz w:val="16"/>
      <w:szCs w:val="16"/>
    </w:rPr>
  </w:style>
  <w:style w:type="paragraph" w:styleId="17">
    <w:name w:val="toc 2"/>
    <w:basedOn w:val="1"/>
    <w:next w:val="1"/>
    <w:semiHidden/>
    <w:unhideWhenUsed/>
    <w:qFormat/>
    <w:uiPriority w:val="39"/>
    <w:pPr>
      <w:tabs>
        <w:tab w:val="left" w:pos="1080"/>
        <w:tab w:val="right" w:leader="dot" w:pos="9540"/>
        <w:tab w:val="right" w:leader="dot" w:pos="9628"/>
      </w:tabs>
      <w:ind w:left="150" w:leftChars="150" w:right="-34" w:rightChars="-34"/>
      <w:jc w:val="left"/>
    </w:pPr>
    <w:rPr>
      <w:rFonts w:ascii="Times New Roman" w:hAnsi="Times New Roman" w:eastAsia="宋体" w:cs="Times New Roman"/>
      <w:smallCaps/>
      <w:sz w:val="20"/>
    </w:rPr>
  </w:style>
  <w:style w:type="paragraph" w:styleId="18">
    <w:name w:val="Normal (Web)"/>
    <w:basedOn w:val="1"/>
    <w:link w:val="87"/>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9">
    <w:name w:val="Title"/>
    <w:basedOn w:val="1"/>
    <w:next w:val="1"/>
    <w:link w:val="72"/>
    <w:qFormat/>
    <w:uiPriority w:val="0"/>
    <w:pPr>
      <w:spacing w:before="240" w:after="60"/>
      <w:jc w:val="center"/>
      <w:outlineLvl w:val="0"/>
    </w:pPr>
    <w:rPr>
      <w:rFonts w:eastAsia="宋体" w:asciiTheme="majorHAnsi" w:hAnsiTheme="majorHAnsi" w:cstheme="majorBidi"/>
      <w:b/>
      <w:bCs/>
      <w:sz w:val="32"/>
      <w:szCs w:val="32"/>
    </w:rPr>
  </w:style>
  <w:style w:type="paragraph" w:styleId="20">
    <w:name w:val="annotation subject"/>
    <w:basedOn w:val="6"/>
    <w:next w:val="6"/>
    <w:link w:val="33"/>
    <w:semiHidden/>
    <w:unhideWhenUsed/>
    <w:qFormat/>
    <w:uiPriority w:val="99"/>
    <w:rPr>
      <w:b/>
      <w:bCs/>
    </w:rPr>
  </w:style>
  <w:style w:type="paragraph" w:styleId="21">
    <w:name w:val="Body Text First Indent"/>
    <w:basedOn w:val="7"/>
    <w:link w:val="94"/>
    <w:semiHidden/>
    <w:unhideWhenUsed/>
    <w:qFormat/>
    <w:uiPriority w:val="99"/>
    <w:pPr>
      <w:ind w:firstLine="420" w:firstLineChars="100"/>
    </w:pPr>
    <w:rPr>
      <w:rFonts w:ascii="Calibri" w:hAnsi="Calibri" w:eastAsia="宋体" w:cs="Times New Roman"/>
    </w:rPr>
  </w:style>
  <w:style w:type="paragraph" w:styleId="22">
    <w:name w:val="Body Text First Indent 2"/>
    <w:basedOn w:val="8"/>
    <w:next w:val="1"/>
    <w:link w:val="47"/>
    <w:semiHidden/>
    <w:unhideWhenUsed/>
    <w:qFormat/>
    <w:uiPriority w:val="99"/>
    <w:pPr>
      <w:ind w:firstLine="420" w:firstLineChars="200"/>
    </w:p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6">
    <w:name w:val="Strong"/>
    <w:basedOn w:val="25"/>
    <w:qFormat/>
    <w:uiPriority w:val="22"/>
    <w:rPr>
      <w:b/>
      <w:bCs/>
    </w:rPr>
  </w:style>
  <w:style w:type="character" w:styleId="27">
    <w:name w:val="annotation reference"/>
    <w:basedOn w:val="25"/>
    <w:unhideWhenUsed/>
    <w:qFormat/>
    <w:uiPriority w:val="0"/>
    <w:rPr>
      <w:sz w:val="21"/>
      <w:szCs w:val="21"/>
    </w:rPr>
  </w:style>
  <w:style w:type="character" w:customStyle="1" w:styleId="28">
    <w:name w:val="页眉 字符"/>
    <w:basedOn w:val="25"/>
    <w:qFormat/>
    <w:uiPriority w:val="99"/>
    <w:rPr>
      <w:sz w:val="18"/>
      <w:szCs w:val="18"/>
    </w:rPr>
  </w:style>
  <w:style w:type="character" w:customStyle="1" w:styleId="29">
    <w:name w:val="页脚 字符"/>
    <w:basedOn w:val="25"/>
    <w:qFormat/>
    <w:uiPriority w:val="99"/>
    <w:rPr>
      <w:sz w:val="18"/>
      <w:szCs w:val="18"/>
    </w:rPr>
  </w:style>
  <w:style w:type="paragraph" w:styleId="30">
    <w:name w:val="List Paragraph"/>
    <w:basedOn w:val="1"/>
    <w:link w:val="38"/>
    <w:qFormat/>
    <w:uiPriority w:val="34"/>
    <w:pPr>
      <w:ind w:firstLine="420" w:firstLineChars="200"/>
    </w:pPr>
  </w:style>
  <w:style w:type="character" w:customStyle="1" w:styleId="31">
    <w:name w:val="批注文字 字符"/>
    <w:basedOn w:val="25"/>
    <w:qFormat/>
    <w:uiPriority w:val="0"/>
  </w:style>
  <w:style w:type="character" w:customStyle="1" w:styleId="32">
    <w:name w:val="批注框文本 Char"/>
    <w:basedOn w:val="25"/>
    <w:link w:val="11"/>
    <w:semiHidden/>
    <w:qFormat/>
    <w:uiPriority w:val="99"/>
    <w:rPr>
      <w:sz w:val="18"/>
      <w:szCs w:val="18"/>
    </w:rPr>
  </w:style>
  <w:style w:type="character" w:customStyle="1" w:styleId="33">
    <w:name w:val="批注主题 Char"/>
    <w:basedOn w:val="31"/>
    <w:link w:val="20"/>
    <w:semiHidden/>
    <w:qFormat/>
    <w:uiPriority w:val="99"/>
    <w:rPr>
      <w:b/>
      <w:bCs/>
    </w:rPr>
  </w:style>
  <w:style w:type="character" w:customStyle="1" w:styleId="34">
    <w:name w:val="标题 Char"/>
    <w:basedOn w:val="25"/>
    <w:qFormat/>
    <w:uiPriority w:val="0"/>
    <w:rPr>
      <w:rFonts w:eastAsia="宋体" w:asciiTheme="majorHAnsi" w:hAnsiTheme="majorHAnsi" w:cstheme="majorBidi"/>
      <w:b/>
      <w:bCs/>
      <w:sz w:val="32"/>
      <w:szCs w:val="32"/>
    </w:rPr>
  </w:style>
  <w:style w:type="character" w:customStyle="1" w:styleId="35">
    <w:name w:val="标题 2 字符"/>
    <w:basedOn w:val="25"/>
    <w:qFormat/>
    <w:uiPriority w:val="0"/>
    <w:rPr>
      <w:rFonts w:ascii="Arial" w:hAnsi="Arial" w:eastAsia="黑体" w:cs="Times New Roman"/>
      <w:b/>
      <w:bCs/>
      <w:sz w:val="32"/>
      <w:szCs w:val="32"/>
    </w:rPr>
  </w:style>
  <w:style w:type="character" w:customStyle="1" w:styleId="36">
    <w:name w:val="纯文本 字符"/>
    <w:basedOn w:val="25"/>
    <w:qFormat/>
    <w:uiPriority w:val="0"/>
    <w:rPr>
      <w:rFonts w:ascii="宋体" w:hAnsi="Courier New" w:eastAsia="宋体" w:cs="Times New Roman"/>
      <w:kern w:val="0"/>
      <w:sz w:val="20"/>
      <w:szCs w:val="21"/>
    </w:rPr>
  </w:style>
  <w:style w:type="paragraph" w:customStyle="1" w:styleId="3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character" w:customStyle="1" w:styleId="38">
    <w:name w:val="列出段落 Char4"/>
    <w:link w:val="30"/>
    <w:qFormat/>
    <w:uiPriority w:val="99"/>
  </w:style>
  <w:style w:type="paragraph" w:customStyle="1" w:styleId="39">
    <w:name w:val="样式4"/>
    <w:basedOn w:val="1"/>
    <w:qFormat/>
    <w:uiPriority w:val="0"/>
    <w:pPr>
      <w:numPr>
        <w:ilvl w:val="3"/>
        <w:numId w:val="1"/>
      </w:numPr>
      <w:tabs>
        <w:tab w:val="left" w:pos="425"/>
        <w:tab w:val="left" w:pos="1984"/>
        <w:tab w:val="clear" w:pos="851"/>
      </w:tabs>
    </w:pPr>
    <w:rPr>
      <w:rFonts w:ascii="Times New Roman" w:hAnsi="Times New Roman" w:eastAsia="宋体" w:cs="Times New Roman"/>
      <w:szCs w:val="24"/>
    </w:rPr>
  </w:style>
  <w:style w:type="paragraph" w:customStyle="1" w:styleId="40">
    <w:name w:val="列出段落1"/>
    <w:basedOn w:val="1"/>
    <w:link w:val="41"/>
    <w:qFormat/>
    <w:uiPriority w:val="99"/>
    <w:pPr>
      <w:ind w:firstLine="420" w:firstLineChars="200"/>
    </w:pPr>
    <w:rPr>
      <w:rFonts w:ascii="Times New Roman" w:hAnsi="Times New Roman" w:eastAsia="宋体" w:cs="Times New Roman"/>
      <w:szCs w:val="21"/>
    </w:rPr>
  </w:style>
  <w:style w:type="character" w:customStyle="1" w:styleId="41">
    <w:name w:val="List Paragraph Char"/>
    <w:link w:val="40"/>
    <w:qFormat/>
    <w:locked/>
    <w:uiPriority w:val="99"/>
    <w:rPr>
      <w:rFonts w:ascii="Times New Roman" w:hAnsi="Times New Roman" w:eastAsia="宋体" w:cs="Times New Roman"/>
      <w:szCs w:val="21"/>
    </w:rPr>
  </w:style>
  <w:style w:type="paragraph" w:customStyle="1" w:styleId="42">
    <w:name w:val="_Style 121"/>
    <w:basedOn w:val="1"/>
    <w:next w:val="30"/>
    <w:qFormat/>
    <w:uiPriority w:val="34"/>
    <w:pPr>
      <w:ind w:firstLine="420" w:firstLineChars="200"/>
    </w:pPr>
    <w:rPr>
      <w:rFonts w:ascii="Calibri" w:hAnsi="Calibri" w:eastAsia="宋体" w:cs="Times New Roman"/>
    </w:rPr>
  </w:style>
  <w:style w:type="paragraph" w:customStyle="1" w:styleId="43">
    <w:name w:val="start-fon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
    <w:name w:val="start-font-3"/>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5">
    <w:name w:val="纯文本 Char1"/>
    <w:qFormat/>
    <w:uiPriority w:val="0"/>
    <w:rPr>
      <w:rFonts w:ascii="宋体" w:hAnsi="Courier New" w:eastAsia="宋体" w:cs="Times New Roman"/>
      <w:kern w:val="0"/>
      <w:sz w:val="20"/>
      <w:szCs w:val="21"/>
    </w:rPr>
  </w:style>
  <w:style w:type="character" w:customStyle="1" w:styleId="46">
    <w:name w:val="正文文本缩进 字符"/>
    <w:basedOn w:val="25"/>
    <w:qFormat/>
    <w:uiPriority w:val="0"/>
    <w:rPr>
      <w:kern w:val="2"/>
      <w:sz w:val="21"/>
      <w:szCs w:val="24"/>
    </w:rPr>
  </w:style>
  <w:style w:type="character" w:customStyle="1" w:styleId="47">
    <w:name w:val="正文首行缩进 2 Char"/>
    <w:basedOn w:val="46"/>
    <w:link w:val="22"/>
    <w:qFormat/>
    <w:uiPriority w:val="0"/>
    <w:rPr>
      <w:kern w:val="2"/>
      <w:sz w:val="21"/>
      <w:szCs w:val="24"/>
    </w:rPr>
  </w:style>
  <w:style w:type="paragraph" w:customStyle="1" w:styleId="48">
    <w:name w:val="msolistparagraph"/>
    <w:basedOn w:val="1"/>
    <w:qFormat/>
    <w:uiPriority w:val="0"/>
    <w:pPr>
      <w:ind w:firstLine="420" w:firstLineChars="200"/>
    </w:pPr>
    <w:rPr>
      <w:rFonts w:ascii="Times New Roman" w:hAnsi="Times New Roman" w:eastAsia="宋体" w:cs="Times New Roman"/>
    </w:rPr>
  </w:style>
  <w:style w:type="character" w:customStyle="1" w:styleId="49">
    <w:name w:val="列出段落 Char"/>
    <w:basedOn w:val="25"/>
    <w:qFormat/>
    <w:uiPriority w:val="0"/>
    <w:rPr>
      <w:kern w:val="2"/>
      <w:sz w:val="21"/>
      <w:szCs w:val="22"/>
    </w:rPr>
  </w:style>
  <w:style w:type="character" w:customStyle="1" w:styleId="50">
    <w:name w:val="正文文本 字符"/>
    <w:basedOn w:val="25"/>
    <w:qFormat/>
    <w:uiPriority w:val="0"/>
    <w:rPr>
      <w:rFonts w:hint="default" w:ascii="Calibri" w:hAnsi="Calibri" w:eastAsia="宋体" w:cs="Times New Roman"/>
      <w:kern w:val="2"/>
      <w:sz w:val="21"/>
      <w:szCs w:val="22"/>
    </w:rPr>
  </w:style>
  <w:style w:type="character" w:customStyle="1" w:styleId="51">
    <w:name w:val="纯文本 Char"/>
    <w:basedOn w:val="25"/>
    <w:qFormat/>
    <w:uiPriority w:val="0"/>
    <w:rPr>
      <w:rFonts w:hint="eastAsia" w:ascii="宋体" w:hAnsi="Courier New" w:eastAsia="宋体" w:cs="宋体"/>
      <w:szCs w:val="21"/>
    </w:rPr>
  </w:style>
  <w:style w:type="paragraph" w:customStyle="1" w:styleId="52">
    <w:name w:val="_Style 116"/>
    <w:basedOn w:val="1"/>
    <w:next w:val="30"/>
    <w:qFormat/>
    <w:uiPriority w:val="99"/>
    <w:pPr>
      <w:ind w:firstLine="420" w:firstLineChars="200"/>
    </w:pPr>
    <w:rPr>
      <w:kern w:val="0"/>
      <w:sz w:val="20"/>
      <w:szCs w:val="20"/>
    </w:rPr>
  </w:style>
  <w:style w:type="character" w:customStyle="1" w:styleId="53">
    <w:name w:val="普通(网站) 字符"/>
    <w:basedOn w:val="25"/>
    <w:qFormat/>
    <w:uiPriority w:val="0"/>
    <w:rPr>
      <w:rFonts w:hint="eastAsia" w:ascii="宋体" w:hAnsi="宋体" w:eastAsia="宋体" w:cs="宋体"/>
      <w:sz w:val="24"/>
      <w:szCs w:val="24"/>
    </w:rPr>
  </w:style>
  <w:style w:type="character" w:customStyle="1" w:styleId="54">
    <w:name w:val="批注文字 Char"/>
    <w:basedOn w:val="25"/>
    <w:qFormat/>
    <w:uiPriority w:val="0"/>
    <w:rPr>
      <w:kern w:val="2"/>
      <w:sz w:val="21"/>
      <w:szCs w:val="24"/>
    </w:rPr>
  </w:style>
  <w:style w:type="character" w:customStyle="1" w:styleId="55">
    <w:name w:val="标题 1 Char"/>
    <w:basedOn w:val="25"/>
    <w:link w:val="2"/>
    <w:qFormat/>
    <w:uiPriority w:val="0"/>
    <w:rPr>
      <w:b/>
      <w:bCs/>
      <w:kern w:val="44"/>
      <w:sz w:val="44"/>
      <w:szCs w:val="44"/>
    </w:rPr>
  </w:style>
  <w:style w:type="character" w:customStyle="1" w:styleId="56">
    <w:name w:val="页脚 Char"/>
    <w:basedOn w:val="25"/>
    <w:link w:val="12"/>
    <w:qFormat/>
    <w:uiPriority w:val="0"/>
    <w:rPr>
      <w:kern w:val="2"/>
      <w:sz w:val="18"/>
      <w:szCs w:val="18"/>
    </w:rPr>
  </w:style>
  <w:style w:type="character" w:customStyle="1" w:styleId="57">
    <w:name w:val="页眉 字符1"/>
    <w:basedOn w:val="25"/>
    <w:qFormat/>
    <w:uiPriority w:val="0"/>
    <w:rPr>
      <w:kern w:val="2"/>
      <w:sz w:val="18"/>
      <w:szCs w:val="18"/>
    </w:rPr>
  </w:style>
  <w:style w:type="character" w:customStyle="1" w:styleId="58">
    <w:name w:val="标题 2 字符1"/>
    <w:basedOn w:val="25"/>
    <w:qFormat/>
    <w:uiPriority w:val="0"/>
    <w:rPr>
      <w:rFonts w:hint="default" w:ascii="Cambria" w:hAnsi="Cambria" w:eastAsia="Cambria" w:cs="Cambria"/>
      <w:b/>
      <w:bCs/>
      <w:kern w:val="2"/>
      <w:sz w:val="32"/>
      <w:szCs w:val="32"/>
    </w:rPr>
  </w:style>
  <w:style w:type="character" w:customStyle="1" w:styleId="59">
    <w:name w:val="列出段落 Char1"/>
    <w:basedOn w:val="25"/>
    <w:qFormat/>
    <w:uiPriority w:val="0"/>
    <w:rPr>
      <w:rFonts w:hint="default" w:ascii="Calibri" w:hAnsi="Calibri" w:cs="Calibri"/>
      <w:kern w:val="2"/>
      <w:sz w:val="21"/>
      <w:szCs w:val="22"/>
    </w:rPr>
  </w:style>
  <w:style w:type="character" w:customStyle="1" w:styleId="60">
    <w:name w:val="纯文本 Char2"/>
    <w:basedOn w:val="25"/>
    <w:link w:val="10"/>
    <w:qFormat/>
    <w:uiPriority w:val="0"/>
    <w:rPr>
      <w:rFonts w:hint="eastAsia" w:ascii="宋体" w:hAnsi="Courier New" w:eastAsia="宋体" w:cs="宋体"/>
      <w:szCs w:val="21"/>
      <w:lang w:val="zh-CN"/>
    </w:rPr>
  </w:style>
  <w:style w:type="character" w:customStyle="1" w:styleId="61">
    <w:name w:val="标题 3 Char"/>
    <w:basedOn w:val="25"/>
    <w:link w:val="4"/>
    <w:qFormat/>
    <w:uiPriority w:val="0"/>
    <w:rPr>
      <w:b/>
      <w:bCs/>
      <w:kern w:val="2"/>
      <w:sz w:val="32"/>
      <w:szCs w:val="32"/>
    </w:rPr>
  </w:style>
  <w:style w:type="paragraph" w:customStyle="1" w:styleId="62">
    <w:name w:val="列表段落2"/>
    <w:basedOn w:val="1"/>
    <w:qFormat/>
    <w:uiPriority w:val="0"/>
    <w:pPr>
      <w:ind w:firstLine="420" w:firstLineChars="200"/>
    </w:pPr>
    <w:rPr>
      <w:rFonts w:ascii="Times New Roman" w:hAnsi="Times New Roman" w:eastAsia="宋体" w:cs="Times New Roman"/>
      <w:szCs w:val="24"/>
    </w:rPr>
  </w:style>
  <w:style w:type="character" w:customStyle="1" w:styleId="63">
    <w:name w:val="正文文本首行缩进 字符"/>
    <w:qFormat/>
    <w:uiPriority w:val="0"/>
    <w:rPr>
      <w:rFonts w:hint="default" w:ascii="Calibri" w:hAnsi="Calibri" w:eastAsia="宋体" w:cs="Times New Roman"/>
      <w:kern w:val="2"/>
      <w:sz w:val="21"/>
      <w:szCs w:val="22"/>
    </w:rPr>
  </w:style>
  <w:style w:type="paragraph" w:customStyle="1" w:styleId="64">
    <w:name w:val="p0"/>
    <w:basedOn w:val="1"/>
    <w:qFormat/>
    <w:uiPriority w:val="0"/>
    <w:pPr>
      <w:widowControl/>
    </w:pPr>
    <w:rPr>
      <w:rFonts w:ascii="Calibri" w:hAnsi="Calibri" w:eastAsia="宋体" w:cs="Times New Roman"/>
      <w:kern w:val="0"/>
      <w:szCs w:val="21"/>
    </w:rPr>
  </w:style>
  <w:style w:type="character" w:customStyle="1" w:styleId="65">
    <w:name w:val="font51"/>
    <w:basedOn w:val="25"/>
    <w:qFormat/>
    <w:uiPriority w:val="0"/>
    <w:rPr>
      <w:rFonts w:hint="eastAsia" w:ascii="宋体" w:hAnsi="宋体" w:eastAsia="宋体" w:cs="宋体"/>
      <w:color w:val="000000"/>
      <w:sz w:val="21"/>
      <w:szCs w:val="21"/>
      <w:u w:val="none"/>
    </w:rPr>
  </w:style>
  <w:style w:type="character" w:customStyle="1" w:styleId="66">
    <w:name w:val="列表段落 字符2"/>
    <w:basedOn w:val="25"/>
    <w:qFormat/>
    <w:uiPriority w:val="0"/>
  </w:style>
  <w:style w:type="character" w:customStyle="1" w:styleId="67">
    <w:name w:val="NormalCharacter"/>
    <w:basedOn w:val="25"/>
    <w:qFormat/>
    <w:uiPriority w:val="0"/>
  </w:style>
  <w:style w:type="character" w:customStyle="1" w:styleId="68">
    <w:name w:val="font31"/>
    <w:basedOn w:val="25"/>
    <w:qFormat/>
    <w:uiPriority w:val="0"/>
    <w:rPr>
      <w:rFonts w:hint="default" w:ascii="Times New Roman" w:hAnsi="Times New Roman" w:cs="Times New Roman"/>
      <w:color w:val="000000"/>
      <w:sz w:val="21"/>
      <w:szCs w:val="21"/>
      <w:u w:val="none"/>
    </w:rPr>
  </w:style>
  <w:style w:type="character" w:customStyle="1" w:styleId="69">
    <w:name w:val="font21"/>
    <w:basedOn w:val="25"/>
    <w:qFormat/>
    <w:uiPriority w:val="0"/>
    <w:rPr>
      <w:rFonts w:hint="eastAsia" w:ascii="宋体" w:hAnsi="宋体" w:eastAsia="宋体" w:cs="宋体"/>
      <w:color w:val="000000"/>
      <w:sz w:val="24"/>
      <w:szCs w:val="24"/>
      <w:u w:val="none"/>
    </w:rPr>
  </w:style>
  <w:style w:type="character" w:customStyle="1" w:styleId="70">
    <w:name w:val="font11"/>
    <w:basedOn w:val="25"/>
    <w:qFormat/>
    <w:uiPriority w:val="0"/>
    <w:rPr>
      <w:rFonts w:hint="eastAsia" w:ascii="宋体" w:hAnsi="宋体" w:eastAsia="宋体" w:cs="宋体"/>
      <w:color w:val="000000"/>
      <w:sz w:val="21"/>
      <w:szCs w:val="21"/>
      <w:u w:val="none"/>
    </w:rPr>
  </w:style>
  <w:style w:type="character" w:customStyle="1" w:styleId="71">
    <w:name w:val="纯文本 字符1"/>
    <w:basedOn w:val="25"/>
    <w:qFormat/>
    <w:uiPriority w:val="0"/>
    <w:rPr>
      <w:rFonts w:hint="eastAsia" w:ascii="宋体" w:hAnsi="Courier New" w:eastAsia="宋体" w:cs="宋体"/>
      <w:szCs w:val="21"/>
    </w:rPr>
  </w:style>
  <w:style w:type="character" w:customStyle="1" w:styleId="72">
    <w:name w:val="标题 Char1"/>
    <w:basedOn w:val="25"/>
    <w:link w:val="19"/>
    <w:qFormat/>
    <w:uiPriority w:val="0"/>
    <w:rPr>
      <w:rFonts w:hint="default" w:ascii="Cambria" w:hAnsi="Cambria" w:eastAsia="Cambria" w:cs="Times New Roman"/>
      <w:b/>
      <w:bCs/>
      <w:kern w:val="2"/>
      <w:sz w:val="32"/>
      <w:szCs w:val="32"/>
    </w:rPr>
  </w:style>
  <w:style w:type="character" w:customStyle="1" w:styleId="73">
    <w:name w:val="脚注文本 Char"/>
    <w:basedOn w:val="25"/>
    <w:link w:val="15"/>
    <w:qFormat/>
    <w:uiPriority w:val="0"/>
    <w:rPr>
      <w:rFonts w:hint="eastAsia" w:ascii="宋体" w:hAnsi="宋体" w:eastAsia="宋体" w:cs="Times New Roman"/>
      <w:kern w:val="2"/>
      <w:sz w:val="24"/>
      <w:szCs w:val="18"/>
    </w:rPr>
  </w:style>
  <w:style w:type="character" w:customStyle="1" w:styleId="74">
    <w:name w:val="脚注文本 Char1"/>
    <w:basedOn w:val="25"/>
    <w:qFormat/>
    <w:uiPriority w:val="0"/>
    <w:rPr>
      <w:rFonts w:hint="default" w:ascii="Calibri" w:hAnsi="Calibri" w:eastAsia="宋体" w:cs="Times New Roman"/>
      <w:kern w:val="2"/>
      <w:sz w:val="18"/>
      <w:szCs w:val="18"/>
    </w:rPr>
  </w:style>
  <w:style w:type="character" w:customStyle="1" w:styleId="75">
    <w:name w:val="列表段落 字符1"/>
    <w:basedOn w:val="25"/>
    <w:qFormat/>
    <w:uiPriority w:val="0"/>
  </w:style>
  <w:style w:type="paragraph" w:customStyle="1" w:styleId="76">
    <w:name w:val="Table Paragraph"/>
    <w:basedOn w:val="1"/>
    <w:qFormat/>
    <w:uiPriority w:val="1"/>
    <w:rPr>
      <w:rFonts w:hint="eastAsia" w:ascii="宋体" w:hAnsi="宋体" w:eastAsia="宋体" w:cs="Times New Roman"/>
      <w:szCs w:val="24"/>
    </w:rPr>
  </w:style>
  <w:style w:type="character" w:customStyle="1" w:styleId="77">
    <w:name w:val="font41"/>
    <w:basedOn w:val="25"/>
    <w:qFormat/>
    <w:uiPriority w:val="0"/>
    <w:rPr>
      <w:rFonts w:hint="eastAsia" w:ascii="宋体" w:hAnsi="宋体" w:eastAsia="宋体" w:cs="宋体"/>
      <w:color w:val="FF0000"/>
      <w:sz w:val="24"/>
      <w:szCs w:val="24"/>
      <w:u w:val="none"/>
    </w:rPr>
  </w:style>
  <w:style w:type="character" w:customStyle="1" w:styleId="78">
    <w:name w:val="font91"/>
    <w:basedOn w:val="25"/>
    <w:qFormat/>
    <w:uiPriority w:val="0"/>
    <w:rPr>
      <w:rFonts w:hint="default" w:ascii="Times New Roman" w:hAnsi="Times New Roman" w:cs="Times New Roman"/>
      <w:color w:val="000000"/>
      <w:sz w:val="21"/>
      <w:szCs w:val="21"/>
      <w:u w:val="none"/>
    </w:rPr>
  </w:style>
  <w:style w:type="paragraph" w:customStyle="1" w:styleId="79">
    <w:name w:val="正文_0_0"/>
    <w:basedOn w:val="1"/>
    <w:qFormat/>
    <w:uiPriority w:val="0"/>
    <w:rPr>
      <w:rFonts w:ascii="Calibri" w:hAnsi="Calibri" w:eastAsia="宋体" w:cs="Times New Roman"/>
    </w:rPr>
  </w:style>
  <w:style w:type="character" w:customStyle="1" w:styleId="80">
    <w:name w:val="批注文字 字符1"/>
    <w:basedOn w:val="25"/>
    <w:qFormat/>
    <w:uiPriority w:val="0"/>
    <w:rPr>
      <w:szCs w:val="24"/>
    </w:rPr>
  </w:style>
  <w:style w:type="character" w:customStyle="1" w:styleId="81">
    <w:name w:val="列表段落 字符"/>
    <w:basedOn w:val="25"/>
    <w:qFormat/>
    <w:uiPriority w:val="0"/>
    <w:rPr>
      <w:rFonts w:hint="default" w:ascii="Calibri" w:hAnsi="Calibri" w:cs="Calibri"/>
      <w:kern w:val="2"/>
      <w:sz w:val="21"/>
      <w:szCs w:val="22"/>
    </w:rPr>
  </w:style>
  <w:style w:type="paragraph" w:customStyle="1" w:styleId="82">
    <w:name w:val="_Style 24"/>
    <w:basedOn w:val="1"/>
    <w:qFormat/>
    <w:uiPriority w:val="0"/>
    <w:pPr>
      <w:ind w:firstLine="420" w:firstLineChars="200"/>
    </w:pPr>
    <w:rPr>
      <w:rFonts w:ascii="Calibri" w:hAnsi="Calibri" w:eastAsia="宋体" w:cs="Times New Roman"/>
    </w:rPr>
  </w:style>
  <w:style w:type="character" w:customStyle="1" w:styleId="83">
    <w:name w:val="列表段落 字符3"/>
    <w:basedOn w:val="25"/>
    <w:qFormat/>
    <w:uiPriority w:val="0"/>
    <w:rPr>
      <w:rFonts w:hint="default" w:ascii="Calibri" w:hAnsi="Calibri" w:eastAsia="宋体" w:cs="Times New Roman"/>
      <w:kern w:val="2"/>
      <w:sz w:val="21"/>
      <w:szCs w:val="22"/>
    </w:rPr>
  </w:style>
  <w:style w:type="character" w:customStyle="1" w:styleId="84">
    <w:name w:val="列出段落 Char2"/>
    <w:basedOn w:val="25"/>
    <w:qFormat/>
    <w:uiPriority w:val="0"/>
    <w:rPr>
      <w:rFonts w:hint="default" w:ascii="Calibri" w:hAnsi="Calibri" w:eastAsia="宋体" w:cs="Times New Roman"/>
      <w:kern w:val="2"/>
      <w:sz w:val="21"/>
      <w:szCs w:val="22"/>
    </w:rPr>
  </w:style>
  <w:style w:type="character" w:customStyle="1" w:styleId="85">
    <w:name w:val="标题 2 Char1"/>
    <w:basedOn w:val="25"/>
    <w:link w:val="3"/>
    <w:qFormat/>
    <w:uiPriority w:val="0"/>
    <w:rPr>
      <w:rFonts w:hint="default" w:ascii="Arial" w:hAnsi="Arial" w:eastAsia="黑体" w:cs="Arial"/>
      <w:b/>
      <w:bCs/>
      <w:kern w:val="2"/>
      <w:sz w:val="32"/>
      <w:szCs w:val="32"/>
    </w:rPr>
  </w:style>
  <w:style w:type="character" w:customStyle="1" w:styleId="86">
    <w:name w:val="批注文字 Char1"/>
    <w:basedOn w:val="25"/>
    <w:link w:val="6"/>
    <w:qFormat/>
    <w:uiPriority w:val="0"/>
    <w:rPr>
      <w:kern w:val="2"/>
      <w:sz w:val="21"/>
      <w:szCs w:val="24"/>
    </w:rPr>
  </w:style>
  <w:style w:type="character" w:customStyle="1" w:styleId="87">
    <w:name w:val="普通(网站) Char"/>
    <w:basedOn w:val="25"/>
    <w:link w:val="18"/>
    <w:qFormat/>
    <w:uiPriority w:val="0"/>
    <w:rPr>
      <w:rFonts w:hint="eastAsia" w:ascii="宋体" w:hAnsi="宋体" w:eastAsia="宋体" w:cs="宋体"/>
      <w:sz w:val="24"/>
      <w:szCs w:val="24"/>
    </w:rPr>
  </w:style>
  <w:style w:type="character" w:customStyle="1" w:styleId="88">
    <w:name w:val="正文文本缩进 Char"/>
    <w:basedOn w:val="25"/>
    <w:link w:val="8"/>
    <w:qFormat/>
    <w:uiPriority w:val="0"/>
    <w:rPr>
      <w:kern w:val="2"/>
      <w:sz w:val="21"/>
      <w:szCs w:val="22"/>
    </w:rPr>
  </w:style>
  <w:style w:type="paragraph" w:customStyle="1" w:styleId="89">
    <w:name w:val="正文文本首行缩进 21"/>
    <w:basedOn w:val="8"/>
    <w:qFormat/>
    <w:uiPriority w:val="0"/>
    <w:pPr>
      <w:ind w:firstLine="420" w:firstLineChars="200"/>
    </w:pPr>
    <w:rPr>
      <w:rFonts w:ascii="Times New Roman" w:hAnsi="Times New Roman" w:eastAsia="宋体" w:cs="Times New Roman"/>
      <w:kern w:val="0"/>
      <w:sz w:val="20"/>
      <w:szCs w:val="20"/>
    </w:rPr>
  </w:style>
  <w:style w:type="paragraph" w:customStyle="1" w:styleId="90">
    <w:name w:val="_Style 5"/>
    <w:basedOn w:val="1"/>
    <w:next w:val="1"/>
    <w:qFormat/>
    <w:uiPriority w:val="0"/>
    <w:pPr>
      <w:ind w:firstLine="420" w:firstLineChars="200"/>
    </w:pPr>
    <w:rPr>
      <w:rFonts w:ascii="Times New Roman" w:hAnsi="Times New Roman" w:eastAsia="宋体" w:cs="Times New Roman"/>
    </w:rPr>
  </w:style>
  <w:style w:type="character" w:customStyle="1" w:styleId="91">
    <w:name w:val="正文文本 Char"/>
    <w:basedOn w:val="25"/>
    <w:link w:val="7"/>
    <w:qFormat/>
    <w:uiPriority w:val="0"/>
    <w:rPr>
      <w:rFonts w:hint="default" w:ascii="Calibri" w:hAnsi="Calibri" w:eastAsia="宋体" w:cs="Times New Roman"/>
      <w:kern w:val="2"/>
      <w:sz w:val="21"/>
      <w:szCs w:val="22"/>
    </w:rPr>
  </w:style>
  <w:style w:type="paragraph" w:customStyle="1" w:styleId="92">
    <w:name w:val="列表段落1"/>
    <w:basedOn w:val="1"/>
    <w:qFormat/>
    <w:uiPriority w:val="0"/>
    <w:pPr>
      <w:ind w:firstLine="420" w:firstLineChars="200"/>
    </w:pPr>
    <w:rPr>
      <w:rFonts w:hint="eastAsia" w:ascii="等线" w:hAnsi="等线" w:eastAsia="等线" w:cs="Times New Roman"/>
    </w:rPr>
  </w:style>
  <w:style w:type="character" w:customStyle="1" w:styleId="93">
    <w:name w:val="正文文本缩进 3 Char"/>
    <w:basedOn w:val="25"/>
    <w:link w:val="16"/>
    <w:qFormat/>
    <w:uiPriority w:val="0"/>
    <w:rPr>
      <w:rFonts w:hint="eastAsia" w:ascii="等线" w:hAnsi="等线" w:eastAsia="等线" w:cs="等线"/>
      <w:kern w:val="2"/>
      <w:sz w:val="16"/>
      <w:szCs w:val="16"/>
    </w:rPr>
  </w:style>
  <w:style w:type="character" w:customStyle="1" w:styleId="94">
    <w:name w:val="正文首行缩进 Char"/>
    <w:link w:val="21"/>
    <w:qFormat/>
    <w:uiPriority w:val="0"/>
    <w:rPr>
      <w:rFonts w:hint="default" w:ascii="Calibri" w:hAnsi="Calibri" w:eastAsia="楷体_GB2312" w:cs="Calibri"/>
      <w:kern w:val="2"/>
      <w:sz w:val="32"/>
      <w:szCs w:val="22"/>
    </w:rPr>
  </w:style>
  <w:style w:type="character" w:customStyle="1" w:styleId="95">
    <w:name w:val="表格文字 Char"/>
    <w:basedOn w:val="25"/>
    <w:link w:val="96"/>
    <w:qFormat/>
    <w:uiPriority w:val="0"/>
    <w:rPr>
      <w:bCs/>
      <w:spacing w:val="10"/>
      <w:sz w:val="24"/>
    </w:rPr>
  </w:style>
  <w:style w:type="paragraph" w:customStyle="1" w:styleId="96">
    <w:name w:val="表格文字"/>
    <w:basedOn w:val="1"/>
    <w:link w:val="95"/>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97">
    <w:name w:val="_Style 3"/>
    <w:basedOn w:val="1"/>
    <w:qFormat/>
    <w:uiPriority w:val="0"/>
    <w:rPr>
      <w:rFonts w:ascii="Times New Roman" w:hAnsi="Times New Roman" w:eastAsia="宋体" w:cs="Times New Roman"/>
    </w:rPr>
  </w:style>
  <w:style w:type="paragraph" w:customStyle="1" w:styleId="98">
    <w:name w:val="列表段落3"/>
    <w:basedOn w:val="1"/>
    <w:qFormat/>
    <w:uiPriority w:val="0"/>
    <w:pPr>
      <w:ind w:firstLine="420" w:firstLineChars="200"/>
    </w:pPr>
    <w:rPr>
      <w:rFonts w:ascii="Calibri" w:hAnsi="Calibri" w:eastAsia="宋体" w:cs="Times New Roman"/>
    </w:rPr>
  </w:style>
  <w:style w:type="character" w:customStyle="1" w:styleId="99">
    <w:name w:val="15"/>
    <w:basedOn w:val="25"/>
    <w:qFormat/>
    <w:uiPriority w:val="0"/>
    <w:rPr>
      <w:rFonts w:hint="default" w:ascii="Times New Roman" w:hAnsi="Times New Roman" w:cs="Times New Roman"/>
      <w:b/>
      <w:bCs/>
    </w:rPr>
  </w:style>
  <w:style w:type="character" w:customStyle="1" w:styleId="100">
    <w:name w:val="正文首行缩进 2 Char1"/>
    <w:basedOn w:val="25"/>
    <w:qFormat/>
    <w:uiPriority w:val="0"/>
  </w:style>
  <w:style w:type="character" w:customStyle="1" w:styleId="101">
    <w:name w:val="页眉 Char"/>
    <w:basedOn w:val="25"/>
    <w:link w:val="13"/>
    <w:qFormat/>
    <w:uiPriority w:val="0"/>
    <w:rPr>
      <w:sz w:val="18"/>
      <w:szCs w:val="18"/>
    </w:rPr>
  </w:style>
  <w:style w:type="character" w:customStyle="1" w:styleId="102">
    <w:name w:val="页眉 Char1"/>
    <w:qFormat/>
    <w:uiPriority w:val="99"/>
    <w:rPr>
      <w:sz w:val="18"/>
      <w:szCs w:val="18"/>
      <w:lang w:val="zh-CN" w:eastAsia="zh-CN"/>
    </w:rPr>
  </w:style>
  <w:style w:type="character" w:customStyle="1" w:styleId="103">
    <w:name w:val="标题 2 Char"/>
    <w:basedOn w:val="25"/>
    <w:qFormat/>
    <w:uiPriority w:val="0"/>
    <w:rPr>
      <w:rFonts w:ascii="Arial" w:hAnsi="Arial" w:eastAsia="黑体" w:cs="Times New Roman"/>
      <w:b/>
      <w:bCs/>
      <w:sz w:val="32"/>
      <w:szCs w:val="32"/>
    </w:rPr>
  </w:style>
  <w:style w:type="character" w:customStyle="1" w:styleId="104">
    <w:name w:val="列出段落 Char3"/>
    <w:basedOn w:val="25"/>
    <w:qFormat/>
    <w:uiPriority w:val="0"/>
    <w:rPr>
      <w:rFonts w:hint="default"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36929E-0558-4FBA-980D-5262C15D957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Pages>
  <Words>912</Words>
  <Characters>5201</Characters>
  <Lines>43</Lines>
  <Paragraphs>12</Paragraphs>
  <TotalTime>2</TotalTime>
  <ScaleCrop>false</ScaleCrop>
  <LinksUpToDate>false</LinksUpToDate>
  <CharactersWithSpaces>6101</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2023-05-23T09:07:00Z</dcterms:created>
  <dc:creator>dreamsummit</dc:creator>
  <cp:lastModifiedBy>云采链</cp:lastModifiedBy>
  <cp:lastPrinted>2018-10-16T04:01:00Z</cp:lastPrinted>
  <dcterms:modified xsi:type="dcterms:W3CDTF">2024-04-24T01:11:01Z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7FC0B9D7564246EAB86DEF1316DD847F_13</vt:lpwstr>
  </property>
</Properties>
</file>