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ascii="宋体" w:hAnsi="宋体"/>
          <w:b/>
          <w:bCs/>
          <w:color w:val="auto"/>
          <w:sz w:val="84"/>
          <w:szCs w:val="84"/>
          <w:highlight w:val="none"/>
        </w:rPr>
      </w:pPr>
      <w:bookmarkStart w:id="0" w:name="_GoBack"/>
      <w:r>
        <w:rPr>
          <w:rFonts w:hint="eastAsia" w:ascii="宋体" w:hAnsi="宋体"/>
          <w:b/>
          <w:color w:val="auto"/>
          <w:sz w:val="84"/>
          <w:szCs w:val="84"/>
          <w:highlight w:val="none"/>
        </w:rPr>
        <w:t>竞价文件</w:t>
      </w:r>
    </w:p>
    <w:p>
      <w:pPr>
        <w:spacing w:line="360" w:lineRule="auto"/>
        <w:jc w:val="center"/>
        <w:rPr>
          <w:rFonts w:ascii="宋体" w:hAnsi="宋体"/>
          <w:b/>
          <w:bCs/>
          <w:color w:val="auto"/>
          <w:sz w:val="24"/>
          <w:szCs w:val="24"/>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rPr>
          <w:rFonts w:ascii="宋体" w:hAnsi="宋体"/>
          <w:color w:val="auto"/>
          <w:sz w:val="30"/>
          <w:szCs w:val="30"/>
          <w:highlight w:val="none"/>
        </w:rPr>
      </w:pPr>
    </w:p>
    <w:p>
      <w:pPr>
        <w:spacing w:line="360" w:lineRule="auto"/>
        <w:jc w:val="left"/>
        <w:rPr>
          <w:rFonts w:ascii="宋体" w:hAnsi="宋体"/>
          <w:b/>
          <w:bCs/>
          <w:color w:val="auto"/>
          <w:sz w:val="28"/>
          <w:szCs w:val="32"/>
          <w:highlight w:val="none"/>
        </w:rPr>
      </w:pPr>
      <w:r>
        <w:rPr>
          <w:rFonts w:ascii="宋体" w:hAnsi="宋体"/>
          <w:b/>
          <w:bCs/>
          <w:color w:val="auto"/>
          <w:sz w:val="28"/>
          <w:szCs w:val="32"/>
          <w:highlight w:val="none"/>
        </w:rPr>
        <w:t>采购方式：</w:t>
      </w:r>
      <w:r>
        <w:rPr>
          <w:rFonts w:hint="eastAsia" w:ascii="宋体" w:hAnsi="宋体"/>
          <w:b/>
          <w:bCs/>
          <w:color w:val="auto"/>
          <w:sz w:val="28"/>
          <w:szCs w:val="32"/>
          <w:highlight w:val="none"/>
        </w:rPr>
        <w:t>线上</w:t>
      </w:r>
      <w:r>
        <w:rPr>
          <w:rFonts w:ascii="宋体" w:hAnsi="宋体"/>
          <w:b/>
          <w:bCs/>
          <w:color w:val="auto"/>
          <w:sz w:val="28"/>
          <w:szCs w:val="32"/>
          <w:highlight w:val="none"/>
        </w:rPr>
        <w:t>竞价</w:t>
      </w:r>
    </w:p>
    <w:p>
      <w:pPr>
        <w:spacing w:line="360" w:lineRule="auto"/>
        <w:ind w:left="1276" w:hanging="1276" w:hangingChars="454"/>
        <w:rPr>
          <w:rFonts w:hint="default" w:ascii="宋体" w:hAnsi="宋体" w:eastAsia="宋体"/>
          <w:b/>
          <w:color w:val="auto"/>
          <w:sz w:val="36"/>
          <w:szCs w:val="36"/>
          <w:highlight w:val="none"/>
          <w:lang w:val="en-US" w:eastAsia="zh-CN"/>
        </w:rPr>
      </w:pPr>
      <w:r>
        <w:rPr>
          <w:rFonts w:ascii="宋体" w:hAnsi="宋体"/>
          <w:b/>
          <w:bCs/>
          <w:color w:val="auto"/>
          <w:sz w:val="28"/>
          <w:szCs w:val="32"/>
          <w:highlight w:val="none"/>
        </w:rPr>
        <w:t>项目</w:t>
      </w:r>
      <w:r>
        <w:rPr>
          <w:rFonts w:hint="eastAsia" w:ascii="宋体" w:hAnsi="宋体"/>
          <w:b/>
          <w:bCs/>
          <w:color w:val="auto"/>
          <w:sz w:val="28"/>
          <w:szCs w:val="32"/>
          <w:highlight w:val="none"/>
        </w:rPr>
        <w:t>名称</w:t>
      </w:r>
      <w:r>
        <w:rPr>
          <w:rFonts w:ascii="宋体" w:hAnsi="宋体"/>
          <w:b/>
          <w:bCs/>
          <w:color w:val="auto"/>
          <w:sz w:val="28"/>
          <w:szCs w:val="32"/>
          <w:highlight w:val="none"/>
        </w:rPr>
        <w:t>：</w:t>
      </w:r>
      <w:r>
        <w:rPr>
          <w:rFonts w:hint="eastAsia" w:ascii="宋体" w:hAnsi="宋体"/>
          <w:b/>
          <w:bCs/>
          <w:color w:val="auto"/>
          <w:sz w:val="28"/>
          <w:szCs w:val="32"/>
          <w:highlight w:val="none"/>
          <w:u w:val="none"/>
          <w:lang w:eastAsia="zh-CN"/>
        </w:rPr>
        <w:t>广州市裕源实业有限公司2024年</w:t>
      </w:r>
      <w:r>
        <w:rPr>
          <w:rFonts w:hint="eastAsia" w:ascii="宋体" w:hAnsi="宋体"/>
          <w:b/>
          <w:bCs/>
          <w:color w:val="auto"/>
          <w:sz w:val="28"/>
          <w:szCs w:val="32"/>
          <w:highlight w:val="none"/>
          <w:u w:val="none"/>
          <w:lang w:val="en-US" w:eastAsia="zh-CN"/>
        </w:rPr>
        <w:t>车间职业病危害因素检测服务项目</w:t>
      </w:r>
    </w:p>
    <w:p>
      <w:pPr>
        <w:spacing w:line="360" w:lineRule="auto"/>
        <w:jc w:val="left"/>
        <w:rPr>
          <w:rFonts w:ascii="宋体" w:hAnsi="宋体"/>
          <w:b/>
          <w:bCs/>
          <w:color w:val="auto"/>
          <w:sz w:val="28"/>
          <w:szCs w:val="32"/>
          <w:highlight w:val="none"/>
        </w:rPr>
      </w:pPr>
    </w:p>
    <w:p>
      <w:pPr>
        <w:snapToGrid w:val="0"/>
        <w:spacing w:before="156" w:beforeLines="50" w:after="156" w:afterLines="50" w:line="360" w:lineRule="auto"/>
        <w:jc w:val="center"/>
        <w:rPr>
          <w:rFonts w:ascii="宋体" w:hAnsi="宋体" w:cs="华文中宋"/>
          <w:color w:val="auto"/>
          <w:sz w:val="30"/>
          <w:szCs w:val="30"/>
          <w:highlight w:val="none"/>
        </w:rPr>
      </w:pPr>
    </w:p>
    <w:p>
      <w:pPr>
        <w:autoSpaceDE w:val="0"/>
        <w:autoSpaceDN w:val="0"/>
        <w:adjustRightInd w:val="0"/>
        <w:snapToGrid w:val="0"/>
        <w:spacing w:before="156" w:beforeLines="50" w:after="156" w:afterLines="50" w:line="360" w:lineRule="auto"/>
        <w:jc w:val="center"/>
        <w:rPr>
          <w:rFonts w:ascii="宋体" w:hAnsi="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cs="华文中宋"/>
          <w:color w:val="auto"/>
          <w:kern w:val="0"/>
          <w:sz w:val="30"/>
          <w:szCs w:val="30"/>
          <w:highlight w:val="none"/>
        </w:rPr>
      </w:pPr>
    </w:p>
    <w:p>
      <w:pPr>
        <w:spacing w:line="360" w:lineRule="auto"/>
        <w:jc w:val="center"/>
        <w:rPr>
          <w:rFonts w:hint="eastAsia" w:ascii="宋体" w:hAnsi="宋体"/>
          <w:b/>
          <w:bCs/>
          <w:color w:val="auto"/>
          <w:sz w:val="28"/>
          <w:szCs w:val="32"/>
          <w:highlight w:val="none"/>
        </w:rPr>
      </w:pPr>
      <w:r>
        <w:rPr>
          <w:rFonts w:hint="eastAsia" w:ascii="宋体" w:hAnsi="宋体"/>
          <w:b/>
          <w:bCs/>
          <w:color w:val="auto"/>
          <w:sz w:val="28"/>
          <w:szCs w:val="32"/>
          <w:highlight w:val="none"/>
        </w:rPr>
        <w:t xml:space="preserve">    </w:t>
      </w:r>
    </w:p>
    <w:p>
      <w:pPr>
        <w:spacing w:line="360" w:lineRule="auto"/>
        <w:jc w:val="center"/>
        <w:rPr>
          <w:rFonts w:hint="eastAsia" w:ascii="宋体" w:hAnsi="宋体"/>
          <w:b/>
          <w:bCs/>
          <w:color w:val="auto"/>
          <w:sz w:val="28"/>
          <w:szCs w:val="32"/>
          <w:highlight w:val="none"/>
        </w:rPr>
      </w:pPr>
    </w:p>
    <w:p>
      <w:pPr>
        <w:spacing w:line="360" w:lineRule="auto"/>
        <w:jc w:val="center"/>
        <w:rPr>
          <w:rFonts w:hint="eastAsia" w:ascii="宋体" w:hAnsi="宋体" w:eastAsia="宋体"/>
          <w:b/>
          <w:bCs/>
          <w:color w:val="auto"/>
          <w:sz w:val="44"/>
          <w:szCs w:val="44"/>
          <w:highlight w:val="none"/>
          <w:lang w:eastAsia="zh-CN"/>
        </w:rPr>
      </w:pPr>
      <w:r>
        <w:rPr>
          <w:rFonts w:hint="eastAsia" w:ascii="宋体" w:hAnsi="宋体"/>
          <w:b/>
          <w:bCs/>
          <w:color w:val="auto"/>
          <w:sz w:val="28"/>
          <w:szCs w:val="32"/>
          <w:highlight w:val="none"/>
          <w:lang w:val="en-US" w:eastAsia="zh-CN"/>
        </w:rPr>
        <w:t xml:space="preserve"> </w:t>
      </w:r>
      <w:r>
        <w:rPr>
          <w:rFonts w:hint="eastAsia" w:ascii="宋体" w:hAnsi="宋体"/>
          <w:b/>
          <w:bCs/>
          <w:color w:val="auto"/>
          <w:sz w:val="28"/>
          <w:szCs w:val="32"/>
          <w:highlight w:val="none"/>
          <w:lang w:eastAsia="zh-CN"/>
        </w:rPr>
        <w:t>广州市裕源实业有限公司</w:t>
      </w:r>
    </w:p>
    <w:p>
      <w:pPr>
        <w:autoSpaceDE w:val="0"/>
        <w:autoSpaceDN w:val="0"/>
        <w:adjustRightInd w:val="0"/>
        <w:snapToGrid w:val="0"/>
        <w:spacing w:line="360" w:lineRule="auto"/>
        <w:ind w:left="420" w:firstLine="1687" w:firstLineChars="600"/>
        <w:jc w:val="both"/>
        <w:rPr>
          <w:rFonts w:ascii="宋体" w:hAnsi="宋体"/>
          <w:b/>
          <w:bCs/>
          <w:color w:val="auto"/>
          <w:sz w:val="28"/>
          <w:szCs w:val="32"/>
          <w:highlight w:val="none"/>
        </w:rPr>
      </w:pPr>
      <w:r>
        <w:rPr>
          <w:rFonts w:ascii="宋体" w:hAnsi="宋体"/>
          <w:b/>
          <w:bCs/>
          <w:color w:val="auto"/>
          <w:sz w:val="28"/>
          <w:szCs w:val="32"/>
          <w:highlight w:val="none"/>
        </w:rPr>
        <w:t>云采链（广州）信息科技有限公司</w:t>
      </w:r>
    </w:p>
    <w:p>
      <w:pPr>
        <w:autoSpaceDE w:val="0"/>
        <w:autoSpaceDN w:val="0"/>
        <w:adjustRightInd w:val="0"/>
        <w:snapToGrid w:val="0"/>
        <w:spacing w:line="360" w:lineRule="auto"/>
        <w:ind w:left="420" w:firstLine="2811" w:firstLineChars="1000"/>
        <w:jc w:val="both"/>
        <w:rPr>
          <w:rFonts w:ascii="宋体" w:hAnsi="宋体"/>
          <w:b/>
          <w:color w:val="auto"/>
          <w:sz w:val="28"/>
          <w:highlight w:val="none"/>
        </w:rPr>
      </w:pPr>
      <w:r>
        <w:rPr>
          <w:rFonts w:hint="eastAsia" w:ascii="宋体" w:hAnsi="宋体"/>
          <w:b/>
          <w:color w:val="auto"/>
          <w:sz w:val="28"/>
          <w:highlight w:val="none"/>
        </w:rPr>
        <w:t>二零二</w:t>
      </w:r>
      <w:r>
        <w:rPr>
          <w:rFonts w:hint="eastAsia" w:ascii="宋体" w:hAnsi="宋体"/>
          <w:b/>
          <w:color w:val="auto"/>
          <w:sz w:val="28"/>
          <w:highlight w:val="none"/>
          <w:lang w:val="en-US" w:eastAsia="zh-CN"/>
        </w:rPr>
        <w:t>四</w:t>
      </w:r>
      <w:r>
        <w:rPr>
          <w:rFonts w:hint="eastAsia" w:ascii="宋体" w:hAnsi="宋体"/>
          <w:b/>
          <w:color w:val="auto"/>
          <w:sz w:val="28"/>
          <w:highlight w:val="none"/>
        </w:rPr>
        <w:t>年</w:t>
      </w:r>
      <w:r>
        <w:rPr>
          <w:rFonts w:hint="eastAsia" w:ascii="宋体" w:hAnsi="宋体"/>
          <w:b/>
          <w:color w:val="auto"/>
          <w:sz w:val="28"/>
          <w:highlight w:val="none"/>
          <w:lang w:val="en-US" w:eastAsia="zh-CN"/>
        </w:rPr>
        <w:t>四</w:t>
      </w:r>
      <w:r>
        <w:rPr>
          <w:rFonts w:ascii="宋体" w:hAnsi="宋体"/>
          <w:b/>
          <w:color w:val="auto"/>
          <w:sz w:val="28"/>
          <w:highlight w:val="none"/>
        </w:rPr>
        <w:t>月</w:t>
      </w:r>
    </w:p>
    <w:p>
      <w:pPr>
        <w:spacing w:line="360" w:lineRule="auto"/>
        <w:rPr>
          <w:rFonts w:ascii="宋体" w:hAnsi="宋体"/>
          <w:color w:val="auto"/>
          <w:highlight w:val="none"/>
        </w:rPr>
      </w:pPr>
    </w:p>
    <w:p>
      <w:pPr>
        <w:pStyle w:val="12"/>
        <w:spacing w:before="0" w:after="0" w:line="360" w:lineRule="auto"/>
        <w:rPr>
          <w:rFonts w:hint="eastAsia" w:ascii="宋体" w:hAnsi="宋体"/>
          <w:color w:val="auto"/>
          <w:highlight w:val="none"/>
        </w:rPr>
        <w:sectPr>
          <w:pgSz w:w="11906" w:h="16838"/>
          <w:pgMar w:top="1440" w:right="1800" w:bottom="1440" w:left="1800" w:header="851" w:footer="992" w:gutter="0"/>
          <w:cols w:space="425" w:num="1"/>
          <w:docGrid w:type="lines" w:linePitch="312" w:charSpace="0"/>
        </w:sectPr>
      </w:pPr>
    </w:p>
    <w:p>
      <w:pPr>
        <w:pStyle w:val="12"/>
        <w:spacing w:before="0" w:after="0" w:line="360" w:lineRule="auto"/>
        <w:jc w:val="center"/>
        <w:rPr>
          <w:rFonts w:ascii="宋体" w:hAnsi="宋体"/>
          <w:color w:val="auto"/>
          <w:highlight w:val="none"/>
        </w:rPr>
      </w:pPr>
      <w:r>
        <w:rPr>
          <w:rFonts w:hint="eastAsia" w:ascii="宋体" w:hAnsi="宋体"/>
          <w:color w:val="auto"/>
          <w:highlight w:val="none"/>
        </w:rPr>
        <w:t>第一章 竞价须知</w:t>
      </w:r>
    </w:p>
    <w:p>
      <w:pPr>
        <w:pStyle w:val="30"/>
        <w:numPr>
          <w:ilvl w:val="0"/>
          <w:numId w:val="1"/>
        </w:numPr>
        <w:spacing w:line="360" w:lineRule="auto"/>
        <w:ind w:firstLineChars="0"/>
        <w:rPr>
          <w:rFonts w:ascii="宋体" w:hAnsi="宋体"/>
          <w:color w:val="auto"/>
          <w:szCs w:val="21"/>
          <w:highlight w:val="none"/>
        </w:rPr>
      </w:pPr>
      <w:r>
        <w:rPr>
          <w:rFonts w:hint="eastAsia" w:ascii="宋体" w:hAnsi="宋体"/>
          <w:color w:val="auto"/>
          <w:szCs w:val="21"/>
          <w:highlight w:val="none"/>
        </w:rPr>
        <w:t>本项目通过云采链线上采购一体化平台进行</w:t>
      </w:r>
      <w:r>
        <w:rPr>
          <w:rFonts w:hint="eastAsia" w:ascii="宋体" w:hAnsi="宋体"/>
          <w:color w:val="auto"/>
          <w:szCs w:val="21"/>
          <w:highlight w:val="none"/>
          <w:lang w:val="en-US" w:eastAsia="zh-CN"/>
        </w:rPr>
        <w:t>公开</w:t>
      </w:r>
      <w:r>
        <w:rPr>
          <w:rFonts w:hint="eastAsia" w:ascii="宋体" w:hAnsi="宋体"/>
          <w:color w:val="auto"/>
          <w:szCs w:val="21"/>
          <w:highlight w:val="none"/>
        </w:rPr>
        <w:t>竞价，参与竞价的供应商必须登录平台进行注册，注册成功后方可参与项目竞价。</w:t>
      </w:r>
    </w:p>
    <w:p>
      <w:pPr>
        <w:pStyle w:val="30"/>
        <w:numPr>
          <w:ilvl w:val="0"/>
          <w:numId w:val="1"/>
        </w:numPr>
        <w:spacing w:line="360" w:lineRule="auto"/>
        <w:ind w:firstLineChars="0"/>
        <w:rPr>
          <w:rFonts w:ascii="宋体" w:hAnsi="宋体"/>
          <w:b/>
          <w:bCs/>
          <w:color w:val="auto"/>
          <w:szCs w:val="21"/>
          <w:highlight w:val="none"/>
        </w:rPr>
      </w:pPr>
      <w:r>
        <w:rPr>
          <w:rFonts w:ascii="宋体" w:hAnsi="宋体"/>
          <w:b/>
          <w:bCs/>
          <w:color w:val="auto"/>
          <w:highlight w:val="none"/>
        </w:rPr>
        <w:t>语言要求</w:t>
      </w:r>
    </w:p>
    <w:p>
      <w:pPr>
        <w:pStyle w:val="30"/>
        <w:spacing w:line="360" w:lineRule="auto"/>
        <w:ind w:left="420" w:leftChars="200" w:firstLine="0" w:firstLineChars="0"/>
        <w:jc w:val="both"/>
        <w:rPr>
          <w:rFonts w:ascii="宋体" w:hAnsi="宋体"/>
          <w:color w:val="auto"/>
          <w:szCs w:val="21"/>
          <w:highlight w:val="none"/>
        </w:rPr>
      </w:pPr>
      <w:r>
        <w:rPr>
          <w:rFonts w:ascii="宋体" w:hAnsi="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r>
        <w:rPr>
          <w:rFonts w:hint="eastAsia" w:ascii="宋体" w:hAnsi="宋体"/>
          <w:color w:val="auto"/>
          <w:szCs w:val="21"/>
          <w:highlight w:val="none"/>
        </w:rPr>
        <w:t xml:space="preserve"> </w:t>
      </w:r>
      <w:r>
        <w:rPr>
          <w:rFonts w:ascii="宋体" w:hAnsi="宋体"/>
          <w:color w:val="auto"/>
          <w:szCs w:val="21"/>
          <w:highlight w:val="none"/>
        </w:rPr>
        <w:t xml:space="preserve"> </w:t>
      </w:r>
    </w:p>
    <w:p>
      <w:pPr>
        <w:pStyle w:val="30"/>
        <w:numPr>
          <w:ilvl w:val="0"/>
          <w:numId w:val="1"/>
        </w:numPr>
        <w:spacing w:line="360" w:lineRule="auto"/>
        <w:ind w:firstLineChars="0"/>
        <w:rPr>
          <w:rFonts w:ascii="宋体" w:hAnsi="宋体"/>
          <w:b/>
          <w:bCs/>
          <w:color w:val="auto"/>
          <w:highlight w:val="none"/>
        </w:rPr>
      </w:pPr>
      <w:r>
        <w:rPr>
          <w:rFonts w:hint="eastAsia" w:ascii="宋体" w:hAnsi="宋体"/>
          <w:b/>
          <w:bCs/>
          <w:color w:val="auto"/>
          <w:szCs w:val="21"/>
          <w:highlight w:val="none"/>
        </w:rPr>
        <w:t>在云采链平台参与项目竞价后放弃成交资格超过三次（含三次）的供应商连同该供应商同一法人名下所有公司将被列入平台黑名单，永久不得参与平台的项目竞价。</w:t>
      </w:r>
      <w:r>
        <w:rPr>
          <w:rFonts w:ascii="宋体" w:hAnsi="宋体"/>
          <w:b/>
          <w:bCs/>
          <w:color w:val="auto"/>
          <w:szCs w:val="21"/>
          <w:highlight w:val="none"/>
        </w:rPr>
        <w:t xml:space="preserve">  </w:t>
      </w:r>
    </w:p>
    <w:p>
      <w:pPr>
        <w:pStyle w:val="30"/>
        <w:numPr>
          <w:ilvl w:val="0"/>
          <w:numId w:val="1"/>
        </w:numPr>
        <w:spacing w:line="360" w:lineRule="auto"/>
        <w:ind w:firstLineChars="0"/>
        <w:rPr>
          <w:rFonts w:ascii="宋体" w:hAnsi="宋体"/>
          <w:b/>
          <w:bCs/>
          <w:color w:val="auto"/>
          <w:highlight w:val="none"/>
        </w:rPr>
      </w:pPr>
      <w:r>
        <w:rPr>
          <w:rFonts w:hint="eastAsia" w:ascii="宋体" w:hAnsi="宋体"/>
          <w:b/>
          <w:bCs/>
          <w:color w:val="auto"/>
          <w:highlight w:val="none"/>
        </w:rPr>
        <w:t>竞价须知</w:t>
      </w:r>
    </w:p>
    <w:p>
      <w:pPr>
        <w:pStyle w:val="30"/>
        <w:numPr>
          <w:ilvl w:val="0"/>
          <w:numId w:val="2"/>
        </w:numPr>
        <w:spacing w:line="360" w:lineRule="auto"/>
        <w:ind w:firstLineChars="0"/>
        <w:rPr>
          <w:rFonts w:ascii="宋体" w:hAnsi="宋体"/>
          <w:b/>
          <w:color w:val="auto"/>
          <w:highlight w:val="none"/>
        </w:rPr>
      </w:pPr>
      <w:r>
        <w:rPr>
          <w:rStyle w:val="18"/>
          <w:rFonts w:hint="eastAsia" w:ascii="宋体" w:hAnsi="宋体"/>
          <w:bCs w:val="0"/>
          <w:color w:val="auto"/>
          <w:highlight w:val="none"/>
        </w:rPr>
        <w:t>竞价说明</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参与竞价的供应商应承担所有与准备和参加竞价有关的费用</w:t>
      </w:r>
      <w:r>
        <w:rPr>
          <w:rFonts w:hint="eastAsia" w:ascii="宋体" w:hAnsi="宋体" w:cs="宋体"/>
          <w:color w:val="auto"/>
          <w:szCs w:val="21"/>
          <w:highlight w:val="none"/>
        </w:rPr>
        <w:t>，不</w:t>
      </w:r>
      <w:r>
        <w:rPr>
          <w:rFonts w:hint="eastAsia" w:ascii="宋体" w:hAnsi="宋体" w:cs="宋体"/>
          <w:color w:val="auto"/>
          <w:szCs w:val="21"/>
          <w:highlight w:val="none"/>
          <w:lang w:eastAsia="zh-TW"/>
        </w:rPr>
        <w:t>论</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的结果如何</w:t>
      </w:r>
      <w:r>
        <w:rPr>
          <w:rFonts w:hint="eastAsia" w:ascii="宋体" w:hAnsi="宋体" w:cs="宋体"/>
          <w:color w:val="auto"/>
          <w:szCs w:val="21"/>
          <w:highlight w:val="none"/>
        </w:rPr>
        <w:t>，采购</w:t>
      </w:r>
      <w:r>
        <w:rPr>
          <w:rFonts w:hint="eastAsia" w:ascii="宋体" w:hAnsi="宋体" w:cs="宋体"/>
          <w:color w:val="auto"/>
          <w:szCs w:val="21"/>
          <w:highlight w:val="none"/>
          <w:lang w:eastAsia="zh-TW"/>
        </w:rPr>
        <w:t>人</w:t>
      </w:r>
      <w:r>
        <w:rPr>
          <w:rFonts w:hint="eastAsia" w:ascii="宋体" w:hAnsi="宋体" w:cs="宋体"/>
          <w:color w:val="auto"/>
          <w:szCs w:val="21"/>
          <w:highlight w:val="none"/>
        </w:rPr>
        <w:t>和</w:t>
      </w:r>
      <w:r>
        <w:rPr>
          <w:rFonts w:hint="eastAsia" w:ascii="宋体" w:hAnsi="宋体" w:cs="宋体"/>
          <w:color w:val="auto"/>
          <w:szCs w:val="21"/>
          <w:highlight w:val="none"/>
          <w:lang w:eastAsia="zh-TW"/>
        </w:rPr>
        <w:t>代理机构均无义务和责任承担这些费用</w:t>
      </w:r>
      <w:r>
        <w:rPr>
          <w:rFonts w:hint="eastAsia" w:ascii="宋体" w:hAnsi="宋体" w:cs="宋体"/>
          <w:color w:val="auto"/>
          <w:szCs w:val="21"/>
          <w:highlight w:val="none"/>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参与竞价的</w:t>
      </w:r>
      <w:r>
        <w:rPr>
          <w:rFonts w:hint="eastAsia" w:ascii="宋体" w:hAnsi="宋体"/>
          <w:color w:val="auto"/>
          <w:szCs w:val="21"/>
          <w:highlight w:val="none"/>
          <w:lang w:val="zh-CN"/>
        </w:rPr>
        <w:t>供应商需对用户需求书的所有条款进行整体响应，用户需求书条款若有一条负偏离或不响应，</w:t>
      </w:r>
      <w:r>
        <w:rPr>
          <w:rFonts w:hint="eastAsia" w:ascii="宋体" w:hAnsi="宋体"/>
          <w:bCs/>
          <w:color w:val="auto"/>
          <w:szCs w:val="21"/>
          <w:highlight w:val="none"/>
        </w:rPr>
        <w:t>不推荐为成交候选人</w:t>
      </w:r>
      <w:r>
        <w:rPr>
          <w:rFonts w:hint="eastAsia" w:ascii="宋体" w:hAnsi="宋体"/>
          <w:color w:val="auto"/>
          <w:szCs w:val="21"/>
          <w:highlight w:val="none"/>
          <w:lang w:val="zh-CN"/>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若成交供应商自身原因无法完成本项目，则采购人有权利保留追究责任。</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highlight w:val="none"/>
        </w:rPr>
        <w:t>成交供应商因自身原因被取消成交资格，采购人可重新启动采购或按竞价公告规定顺延推选符合要求的供应商作为</w:t>
      </w:r>
      <w:r>
        <w:rPr>
          <w:rFonts w:hint="eastAsia" w:ascii="宋体" w:hAnsi="宋体"/>
          <w:color w:val="auto"/>
          <w:highlight w:val="none"/>
          <w:lang w:eastAsia="zh-CN"/>
        </w:rPr>
        <w:t>成交供应商</w:t>
      </w:r>
      <w:r>
        <w:rPr>
          <w:rFonts w:hint="eastAsia" w:ascii="宋体" w:hAnsi="宋体"/>
          <w:color w:val="auto"/>
          <w:highlight w:val="none"/>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highlight w:val="none"/>
        </w:rPr>
        <w:t>若本项目竞价采购失败，采购人将重新采购，届时采购人有权根据项目具体情况，决定重新采购项目的采购方式。</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highlight w:val="none"/>
        </w:rPr>
        <w:t>成交供应商若无正当理由恶意放弃成交资格，采购人有权将拒绝其参加本项目重新组织的竞价采购活动。</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highlight w:val="none"/>
        </w:rPr>
        <w:t>如采购人或代理机构在审核或复核</w:t>
      </w:r>
      <w:r>
        <w:rPr>
          <w:rFonts w:hint="eastAsia" w:ascii="宋体" w:hAnsi="宋体"/>
          <w:color w:val="auto"/>
          <w:szCs w:val="21"/>
          <w:highlight w:val="none"/>
        </w:rPr>
        <w:t>参与竞价的</w:t>
      </w:r>
      <w:r>
        <w:rPr>
          <w:rFonts w:hint="eastAsia" w:ascii="宋体" w:hAnsi="宋体"/>
          <w:color w:val="auto"/>
          <w:highlight w:val="none"/>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3"/>
        </w:numPr>
        <w:spacing w:line="360" w:lineRule="auto"/>
        <w:ind w:left="851" w:firstLineChars="0"/>
        <w:rPr>
          <w:rFonts w:ascii="宋体" w:hAnsi="宋体"/>
          <w:color w:val="auto"/>
          <w:highlight w:val="none"/>
        </w:rPr>
      </w:pPr>
      <w:r>
        <w:rPr>
          <w:rFonts w:hint="eastAsia" w:ascii="宋体" w:hAnsi="宋体" w:cs="宋体"/>
          <w:color w:val="auto"/>
          <w:szCs w:val="21"/>
          <w:highlight w:val="none"/>
        </w:rPr>
        <w:t>参与竞价的</w:t>
      </w:r>
      <w:r>
        <w:rPr>
          <w:rFonts w:hint="eastAsia" w:ascii="宋体" w:hAnsi="宋体" w:cs="宋体"/>
          <w:color w:val="auto"/>
          <w:szCs w:val="21"/>
          <w:highlight w:val="none"/>
          <w:lang w:eastAsia="zh-TW"/>
        </w:rPr>
        <w:t>供应商向我司咨询的有关项目事项，一切以</w:t>
      </w:r>
      <w:r>
        <w:rPr>
          <w:rFonts w:hint="eastAsia" w:ascii="宋体" w:hAnsi="宋体" w:cs="宋体"/>
          <w:color w:val="auto"/>
          <w:szCs w:val="21"/>
          <w:highlight w:val="none"/>
        </w:rPr>
        <w:t>竞价文件</w:t>
      </w:r>
      <w:r>
        <w:rPr>
          <w:rFonts w:hint="eastAsia" w:ascii="宋体" w:hAnsi="宋体" w:cs="宋体"/>
          <w:color w:val="auto"/>
          <w:szCs w:val="21"/>
          <w:highlight w:val="none"/>
          <w:lang w:eastAsia="zh-TW"/>
        </w:rPr>
        <w:t>规定</w:t>
      </w:r>
      <w:r>
        <w:rPr>
          <w:rFonts w:hint="eastAsia" w:ascii="宋体" w:hAnsi="宋体" w:cs="宋体"/>
          <w:color w:val="auto"/>
          <w:szCs w:val="21"/>
          <w:highlight w:val="none"/>
        </w:rPr>
        <w:t>和竞价公告规定以及</w:t>
      </w:r>
      <w:r>
        <w:rPr>
          <w:rFonts w:hint="eastAsia" w:ascii="宋体" w:hAnsi="宋体" w:cs="宋体"/>
          <w:color w:val="auto"/>
          <w:szCs w:val="21"/>
          <w:highlight w:val="none"/>
          <w:lang w:eastAsia="zh-TW"/>
        </w:rPr>
        <w:t>本公司</w:t>
      </w:r>
      <w:r>
        <w:rPr>
          <w:rFonts w:hint="eastAsia" w:ascii="宋体" w:hAnsi="宋体" w:cs="宋体"/>
          <w:color w:val="auto"/>
          <w:szCs w:val="21"/>
          <w:highlight w:val="none"/>
        </w:rPr>
        <w:t>的</w:t>
      </w:r>
      <w:r>
        <w:rPr>
          <w:rFonts w:hint="eastAsia" w:ascii="宋体" w:hAnsi="宋体" w:cs="宋体"/>
          <w:color w:val="auto"/>
          <w:szCs w:val="21"/>
          <w:highlight w:val="none"/>
          <w:lang w:eastAsia="zh-TW"/>
        </w:rPr>
        <w:t>书面答复为准，其他一切形式均为个人意见，不代表本公司的意见</w:t>
      </w:r>
      <w:r>
        <w:rPr>
          <w:rFonts w:hint="eastAsia" w:ascii="宋体" w:hAnsi="宋体" w:cs="宋体"/>
          <w:color w:val="auto"/>
          <w:szCs w:val="21"/>
          <w:highlight w:val="none"/>
          <w:lang w:eastAsia="zh-CN"/>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参与竞价的供应商应认真阅读</w:t>
      </w:r>
      <w:r>
        <w:rPr>
          <w:rFonts w:hint="eastAsia" w:ascii="宋体" w:hAnsi="宋体" w:cs="宋体"/>
          <w:color w:val="auto"/>
          <w:szCs w:val="21"/>
          <w:highlight w:val="none"/>
          <w:lang w:eastAsia="zh-TW"/>
        </w:rPr>
        <w:t>、并充分理解</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文件的全部内容（包括所有的补充、修改内容重要事项、格式、条款</w:t>
      </w:r>
      <w:r>
        <w:rPr>
          <w:rFonts w:hint="eastAsia" w:ascii="宋体" w:hAnsi="宋体" w:cs="宋体"/>
          <w:color w:val="auto"/>
          <w:szCs w:val="21"/>
          <w:highlight w:val="none"/>
        </w:rPr>
        <w:t>、服务要求</w:t>
      </w:r>
      <w:r>
        <w:rPr>
          <w:rFonts w:hint="eastAsia" w:ascii="宋体" w:hAnsi="宋体" w:cs="宋体"/>
          <w:color w:val="auto"/>
          <w:szCs w:val="21"/>
          <w:highlight w:val="none"/>
          <w:lang w:eastAsia="zh-TW"/>
        </w:rPr>
        <w:t>和技术规范、参数及要求等）。</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没有按照</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文件要求提交全部资料，或者</w:t>
      </w:r>
      <w:r>
        <w:rPr>
          <w:rFonts w:hint="eastAsia" w:ascii="宋体" w:hAnsi="宋体" w:cs="宋体"/>
          <w:color w:val="auto"/>
          <w:szCs w:val="21"/>
          <w:highlight w:val="none"/>
        </w:rPr>
        <w:t>参与竞价所上传的</w:t>
      </w:r>
      <w:r>
        <w:rPr>
          <w:rFonts w:hint="eastAsia" w:ascii="宋体" w:hAnsi="宋体" w:cs="宋体"/>
          <w:color w:val="auto"/>
          <w:szCs w:val="21"/>
          <w:highlight w:val="none"/>
          <w:lang w:eastAsia="zh-TW"/>
        </w:rPr>
        <w:t>文件没有对</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文件在各方面都作出实质性响应是</w:t>
      </w:r>
      <w:r>
        <w:rPr>
          <w:rFonts w:hint="eastAsia" w:ascii="宋体" w:hAnsi="宋体" w:cs="宋体"/>
          <w:color w:val="auto"/>
          <w:szCs w:val="21"/>
          <w:highlight w:val="none"/>
        </w:rPr>
        <w:t>供应商</w:t>
      </w:r>
      <w:r>
        <w:rPr>
          <w:rFonts w:hint="eastAsia" w:ascii="宋体" w:hAnsi="宋体" w:cs="宋体"/>
          <w:color w:val="auto"/>
          <w:szCs w:val="21"/>
          <w:highlight w:val="none"/>
          <w:lang w:eastAsia="zh-TW"/>
        </w:rPr>
        <w:t>的风险，有可能导致其</w:t>
      </w:r>
      <w:r>
        <w:rPr>
          <w:rFonts w:hint="eastAsia" w:ascii="宋体" w:hAnsi="宋体" w:cs="宋体"/>
          <w:color w:val="auto"/>
          <w:szCs w:val="21"/>
          <w:highlight w:val="none"/>
        </w:rPr>
        <w:t>竞价</w:t>
      </w:r>
      <w:r>
        <w:rPr>
          <w:rFonts w:hint="eastAsia" w:ascii="宋体" w:hAnsi="宋体" w:cs="宋体"/>
          <w:color w:val="auto"/>
          <w:szCs w:val="21"/>
          <w:highlight w:val="none"/>
          <w:lang w:eastAsia="zh-TW"/>
        </w:rPr>
        <w:t>被拒绝，</w:t>
      </w:r>
      <w:r>
        <w:rPr>
          <w:rFonts w:hint="eastAsia" w:ascii="宋体" w:hAnsi="宋体"/>
          <w:color w:val="auto"/>
          <w:szCs w:val="21"/>
          <w:highlight w:val="none"/>
        </w:rPr>
        <w:t>或被认定为无效竞价。</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kern w:val="0"/>
          <w:szCs w:val="21"/>
          <w:highlight w:val="none"/>
        </w:rPr>
        <w:t>采购人有权拒绝接受任何不合格的货物或服务，由此产生的费用及相关后果均由成交供应商自行承担</w:t>
      </w:r>
      <w:r>
        <w:rPr>
          <w:rFonts w:hint="eastAsia" w:ascii="宋体" w:hAnsi="宋体"/>
          <w:color w:val="auto"/>
          <w:kern w:val="0"/>
          <w:szCs w:val="21"/>
          <w:highlight w:val="none"/>
          <w:lang w:eastAsia="zh-CN"/>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highlight w:val="none"/>
        </w:rPr>
        <w:t>供应商认为竞价结果损害其权益的，应按照云采链平台相关指引在规定的时间内向采购人或代理机构提交书面质疑，不提交的视为无异议，</w:t>
      </w:r>
      <w:r>
        <w:rPr>
          <w:rFonts w:ascii="宋体" w:hAnsi="宋体"/>
          <w:color w:val="auto"/>
          <w:highlight w:val="none"/>
        </w:rPr>
        <w:t>逾期提交将不予受理</w:t>
      </w:r>
      <w:r>
        <w:rPr>
          <w:rFonts w:hint="eastAsia" w:ascii="宋体" w:hAnsi="宋体"/>
          <w:color w:val="auto"/>
          <w:highlight w:val="none"/>
        </w:rPr>
        <w:t>。</w:t>
      </w:r>
    </w:p>
    <w:p>
      <w:pPr>
        <w:pStyle w:val="30"/>
        <w:numPr>
          <w:ilvl w:val="0"/>
          <w:numId w:val="3"/>
        </w:numPr>
        <w:spacing w:line="360" w:lineRule="auto"/>
        <w:ind w:left="851" w:firstLineChars="0"/>
        <w:rPr>
          <w:rFonts w:ascii="宋体" w:hAnsi="宋体"/>
          <w:color w:val="auto"/>
          <w:highlight w:val="none"/>
        </w:rPr>
      </w:pPr>
      <w:r>
        <w:rPr>
          <w:rFonts w:hint="eastAsia" w:ascii="宋体" w:hAnsi="宋体"/>
          <w:color w:val="auto"/>
          <w:szCs w:val="21"/>
          <w:highlight w:val="none"/>
        </w:rPr>
        <w:t>本竞价公告和竞价文件的解释权归</w:t>
      </w:r>
      <w:r>
        <w:rPr>
          <w:rFonts w:hint="eastAsia" w:ascii="宋体" w:hAnsi="宋体" w:cs="宋体"/>
          <w:color w:val="auto"/>
          <w:szCs w:val="21"/>
          <w:highlight w:val="none"/>
          <w:lang w:eastAsia="zh-TW"/>
        </w:rPr>
        <w:t>“云采链</w:t>
      </w:r>
      <w:r>
        <w:rPr>
          <w:rFonts w:hint="eastAsia" w:ascii="宋体" w:hAnsi="宋体"/>
          <w:color w:val="auto"/>
          <w:highlight w:val="none"/>
        </w:rPr>
        <w:t>线上采购一体化平台</w:t>
      </w:r>
      <w:r>
        <w:rPr>
          <w:rFonts w:hint="eastAsia" w:ascii="宋体" w:hAnsi="宋体" w:cs="宋体"/>
          <w:color w:val="auto"/>
          <w:szCs w:val="21"/>
          <w:highlight w:val="none"/>
          <w:lang w:eastAsia="zh-TW"/>
        </w:rPr>
        <w:t>”所有。</w:t>
      </w:r>
    </w:p>
    <w:p>
      <w:pPr>
        <w:pStyle w:val="30"/>
        <w:numPr>
          <w:ilvl w:val="0"/>
          <w:numId w:val="2"/>
        </w:numPr>
        <w:spacing w:line="360" w:lineRule="auto"/>
        <w:ind w:firstLineChars="0"/>
        <w:rPr>
          <w:rFonts w:ascii="宋体" w:hAnsi="宋体"/>
          <w:color w:val="auto"/>
          <w:highlight w:val="none"/>
        </w:rPr>
      </w:pPr>
      <w:r>
        <w:rPr>
          <w:rFonts w:hint="eastAsia" w:ascii="宋体" w:hAnsi="宋体"/>
          <w:b/>
          <w:color w:val="auto"/>
          <w:highlight w:val="none"/>
        </w:rPr>
        <w:t>竞价文件的澄清或修改</w:t>
      </w:r>
    </w:p>
    <w:p>
      <w:pPr>
        <w:pStyle w:val="30"/>
        <w:numPr>
          <w:ilvl w:val="1"/>
          <w:numId w:val="4"/>
        </w:numPr>
        <w:spacing w:line="360" w:lineRule="auto"/>
        <w:ind w:firstLineChars="0"/>
        <w:rPr>
          <w:rFonts w:ascii="宋体" w:hAnsi="宋体"/>
          <w:color w:val="auto"/>
          <w:highlight w:val="none"/>
        </w:rPr>
      </w:pPr>
      <w:r>
        <w:rPr>
          <w:rFonts w:hint="eastAsia" w:ascii="宋体" w:hAnsi="宋体"/>
          <w:color w:val="auto"/>
          <w:highlight w:val="none"/>
        </w:rPr>
        <w:t>采购人或者采购代理机构可以对已发出的竞价文件进行必要的澄清或者修改。澄清或者修改的内容将在云采链平台上发布澄清（更正/变更）公告。</w:t>
      </w:r>
    </w:p>
    <w:p>
      <w:pPr>
        <w:pStyle w:val="30"/>
        <w:numPr>
          <w:ilvl w:val="1"/>
          <w:numId w:val="4"/>
        </w:numPr>
        <w:spacing w:line="360" w:lineRule="auto"/>
        <w:ind w:firstLineChars="0"/>
        <w:rPr>
          <w:rFonts w:ascii="宋体" w:hAnsi="宋体"/>
          <w:color w:val="auto"/>
          <w:highlight w:val="none"/>
        </w:rPr>
      </w:pPr>
      <w:r>
        <w:rPr>
          <w:rFonts w:hint="eastAsia" w:ascii="宋体" w:hAnsi="宋体"/>
          <w:color w:val="auto"/>
          <w:highlight w:val="none"/>
        </w:rPr>
        <w:t>无论澄清或者修改的内容是否影响竞价，平台将以短信形式通知所有的报名供应商；报名供应商应按要求履行相应的义务；</w:t>
      </w:r>
      <w:r>
        <w:rPr>
          <w:rFonts w:hint="eastAsia" w:ascii="宋体" w:hAnsi="宋体" w:cs="宋体"/>
          <w:color w:val="auto"/>
          <w:szCs w:val="21"/>
          <w:highlight w:val="none"/>
        </w:rPr>
        <w:t>如报名</w:t>
      </w:r>
      <w:r>
        <w:rPr>
          <w:rFonts w:hint="eastAsia" w:ascii="宋体" w:hAnsi="宋体" w:cs="宋体"/>
          <w:color w:val="auto"/>
          <w:szCs w:val="21"/>
          <w:highlight w:val="none"/>
          <w:lang w:eastAsia="zh-TW"/>
        </w:rPr>
        <w:t>截止时间</w:t>
      </w:r>
      <w:r>
        <w:rPr>
          <w:rFonts w:hint="eastAsia" w:ascii="宋体" w:hAnsi="宋体" w:cs="宋体"/>
          <w:color w:val="auto"/>
          <w:szCs w:val="21"/>
          <w:highlight w:val="none"/>
        </w:rPr>
        <w:t>少于一个工作日的，</w:t>
      </w:r>
      <w:r>
        <w:rPr>
          <w:rFonts w:hint="eastAsia" w:ascii="宋体" w:hAnsi="宋体"/>
          <w:color w:val="auto"/>
          <w:highlight w:val="none"/>
        </w:rPr>
        <w:t>采购人或者采购代理机构应当相应顺延报名的截止时间。</w:t>
      </w:r>
    </w:p>
    <w:p>
      <w:pPr>
        <w:pStyle w:val="30"/>
        <w:numPr>
          <w:ilvl w:val="1"/>
          <w:numId w:val="4"/>
        </w:numPr>
        <w:spacing w:line="360" w:lineRule="auto"/>
        <w:ind w:firstLineChars="0"/>
        <w:rPr>
          <w:rStyle w:val="18"/>
          <w:rFonts w:ascii="宋体" w:hAnsi="宋体"/>
          <w:b w:val="0"/>
          <w:bCs w:val="0"/>
          <w:color w:val="auto"/>
          <w:highlight w:val="none"/>
        </w:rPr>
      </w:pPr>
      <w:r>
        <w:rPr>
          <w:rFonts w:hint="eastAsia" w:ascii="宋体" w:hAnsi="宋体"/>
          <w:color w:val="auto"/>
          <w:highlight w:val="none"/>
        </w:rPr>
        <w:t>采购人或者采购代理机构发出的澄清或修改（更正/变更）的内容为竞价文件的组成部分，并对供应商具有约束力。</w:t>
      </w:r>
    </w:p>
    <w:p>
      <w:pPr>
        <w:pStyle w:val="30"/>
        <w:numPr>
          <w:ilvl w:val="0"/>
          <w:numId w:val="2"/>
        </w:numPr>
        <w:spacing w:line="360" w:lineRule="auto"/>
        <w:ind w:firstLineChars="0"/>
        <w:rPr>
          <w:rStyle w:val="18"/>
          <w:rFonts w:ascii="宋体" w:hAnsi="宋体"/>
          <w:bCs w:val="0"/>
          <w:color w:val="auto"/>
          <w:highlight w:val="none"/>
        </w:rPr>
      </w:pPr>
      <w:r>
        <w:rPr>
          <w:rStyle w:val="18"/>
          <w:rFonts w:hint="eastAsia" w:ascii="宋体" w:hAnsi="宋体"/>
          <w:bCs w:val="0"/>
          <w:color w:val="auto"/>
          <w:highlight w:val="none"/>
        </w:rPr>
        <w:t>报名要求（</w:t>
      </w:r>
      <w:r>
        <w:rPr>
          <w:rFonts w:hint="eastAsia" w:ascii="宋体" w:hAnsi="宋体"/>
          <w:color w:val="auto"/>
          <w:szCs w:val="21"/>
          <w:highlight w:val="none"/>
        </w:rPr>
        <w:t>参与竞价的</w:t>
      </w:r>
      <w:r>
        <w:rPr>
          <w:rStyle w:val="18"/>
          <w:rFonts w:hint="eastAsia" w:ascii="宋体" w:hAnsi="宋体"/>
          <w:bCs w:val="0"/>
          <w:color w:val="auto"/>
          <w:highlight w:val="none"/>
        </w:rPr>
        <w:t>供应商资质要求:</w:t>
      </w:r>
      <w:r>
        <w:rPr>
          <w:rStyle w:val="18"/>
          <w:rFonts w:hint="eastAsia" w:ascii="宋体" w:hAnsi="宋体"/>
          <w:b w:val="0"/>
          <w:color w:val="auto"/>
          <w:szCs w:val="21"/>
          <w:highlight w:val="none"/>
        </w:rPr>
        <w:t xml:space="preserve"> 报名时需要提供以下</w:t>
      </w:r>
      <w:r>
        <w:rPr>
          <w:rStyle w:val="18"/>
          <w:rFonts w:hint="eastAsia" w:ascii="宋体" w:hAnsi="宋体"/>
          <w:color w:val="auto"/>
          <w:szCs w:val="21"/>
          <w:highlight w:val="none"/>
          <w:u w:val="double"/>
        </w:rPr>
        <w:t>盖章</w:t>
      </w:r>
      <w:r>
        <w:rPr>
          <w:rStyle w:val="18"/>
          <w:rFonts w:hint="eastAsia" w:ascii="宋体" w:hAnsi="宋体"/>
          <w:b w:val="0"/>
          <w:color w:val="auto"/>
          <w:szCs w:val="21"/>
          <w:highlight w:val="none"/>
        </w:rPr>
        <w:t>资料，</w:t>
      </w:r>
      <w:r>
        <w:rPr>
          <w:rFonts w:hint="eastAsia" w:ascii="宋体" w:hAnsi="宋体"/>
          <w:color w:val="auto"/>
          <w:szCs w:val="21"/>
          <w:highlight w:val="none"/>
        </w:rPr>
        <w:t>并对上传的报名文件资料承担责任</w:t>
      </w:r>
      <w:r>
        <w:rPr>
          <w:rStyle w:val="18"/>
          <w:rFonts w:hint="eastAsia" w:ascii="宋体" w:hAnsi="宋体"/>
          <w:bCs w:val="0"/>
          <w:color w:val="auto"/>
          <w:highlight w:val="none"/>
        </w:rPr>
        <w:t>）</w:t>
      </w:r>
    </w:p>
    <w:p>
      <w:pPr>
        <w:pStyle w:val="30"/>
        <w:widowControl/>
        <w:numPr>
          <w:ilvl w:val="0"/>
          <w:numId w:val="5"/>
        </w:numPr>
        <w:spacing w:line="360" w:lineRule="auto"/>
        <w:ind w:left="851" w:firstLineChars="0"/>
        <w:jc w:val="both"/>
        <w:rPr>
          <w:rFonts w:ascii="宋体" w:hAnsi="宋体" w:cs="宋体"/>
          <w:color w:val="auto"/>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5"/>
        </w:numPr>
        <w:tabs>
          <w:tab w:val="left" w:pos="851"/>
        </w:tabs>
        <w:spacing w:line="360" w:lineRule="auto"/>
        <w:ind w:left="851" w:firstLineChars="0"/>
        <w:jc w:val="both"/>
        <w:rPr>
          <w:rFonts w:ascii="宋体" w:hAnsi="宋体"/>
          <w:bCs/>
          <w:color w:val="auto"/>
          <w:szCs w:val="21"/>
          <w:highlight w:val="none"/>
        </w:rPr>
      </w:pPr>
      <w:r>
        <w:rPr>
          <w:rFonts w:hint="eastAsia" w:ascii="宋体" w:hAnsi="宋体" w:cs="宋体"/>
          <w:color w:val="auto"/>
          <w:kern w:val="0"/>
          <w:szCs w:val="21"/>
          <w:highlight w:val="none"/>
        </w:rPr>
        <w:t>供应商完全响应本项目用户需求的条款、内容及要求的，提供用户需求书响应声明函</w:t>
      </w:r>
      <w:r>
        <w:rPr>
          <w:rFonts w:hint="eastAsia" w:ascii="宋体" w:hAnsi="宋体" w:cs="宋体"/>
          <w:b/>
          <w:color w:val="auto"/>
          <w:kern w:val="0"/>
          <w:szCs w:val="21"/>
          <w:highlight w:val="none"/>
        </w:rPr>
        <w:t>，格式详见附件</w:t>
      </w:r>
      <w:r>
        <w:rPr>
          <w:rFonts w:hint="eastAsia" w:ascii="宋体" w:hAnsi="宋体" w:cs="宋体"/>
          <w:color w:val="auto"/>
          <w:kern w:val="0"/>
          <w:szCs w:val="21"/>
          <w:highlight w:val="none"/>
          <w:lang w:eastAsia="zh-CN"/>
        </w:rPr>
        <w:t>。</w:t>
      </w:r>
    </w:p>
    <w:p>
      <w:pPr>
        <w:pStyle w:val="30"/>
        <w:widowControl/>
        <w:numPr>
          <w:ilvl w:val="0"/>
          <w:numId w:val="5"/>
        </w:numPr>
        <w:spacing w:line="360" w:lineRule="auto"/>
        <w:ind w:left="851" w:hanging="425" w:firstLineChars="0"/>
        <w:jc w:val="both"/>
        <w:rPr>
          <w:rFonts w:ascii="宋体" w:hAnsi="宋体" w:cs="宋体"/>
          <w:color w:val="auto"/>
          <w:kern w:val="0"/>
          <w:szCs w:val="20"/>
          <w:highlight w:val="none"/>
        </w:rPr>
      </w:pPr>
      <w:r>
        <w:rPr>
          <w:rFonts w:hint="eastAsia" w:ascii="宋体" w:hAnsi="宋体" w:cs="宋体"/>
          <w:color w:val="auto"/>
          <w:kern w:val="0"/>
          <w:szCs w:val="20"/>
          <w:highlight w:val="none"/>
          <w:lang w:val="en-US" w:eastAsia="zh-CN"/>
        </w:rPr>
        <w:t>供应商</w:t>
      </w:r>
      <w:r>
        <w:rPr>
          <w:rFonts w:hint="eastAsia" w:ascii="宋体" w:hAnsi="宋体" w:cs="宋体"/>
          <w:color w:val="auto"/>
          <w:kern w:val="0"/>
          <w:szCs w:val="20"/>
          <w:highlight w:val="none"/>
        </w:rPr>
        <w:t>满足《中华人民共和国政府采购法》第二十二条规定；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w:t>
      </w:r>
      <w:r>
        <w:rPr>
          <w:rFonts w:hint="eastAsia" w:ascii="宋体" w:hAnsi="宋体" w:cs="宋体"/>
          <w:color w:val="auto"/>
          <w:kern w:val="0"/>
          <w:szCs w:val="20"/>
          <w:highlight w:val="none"/>
          <w:lang w:eastAsia="zh-CN"/>
        </w:rPr>
        <w:t>；</w:t>
      </w:r>
      <w:r>
        <w:rPr>
          <w:rFonts w:hint="eastAsia" w:ascii="宋体" w:hAnsi="宋体" w:cs="宋体"/>
          <w:color w:val="auto"/>
          <w:kern w:val="0"/>
          <w:szCs w:val="20"/>
          <w:highlight w:val="none"/>
        </w:rPr>
        <w:t>本项目不允许分包，不接受联合竞价；提供供应商资格声明函，</w:t>
      </w:r>
      <w:r>
        <w:rPr>
          <w:rFonts w:hint="eastAsia" w:ascii="宋体" w:hAnsi="宋体" w:cs="宋体"/>
          <w:b/>
          <w:color w:val="auto"/>
          <w:kern w:val="0"/>
          <w:szCs w:val="20"/>
          <w:highlight w:val="none"/>
        </w:rPr>
        <w:t>格式详见附件</w:t>
      </w:r>
      <w:r>
        <w:rPr>
          <w:rFonts w:hint="eastAsia" w:ascii="宋体" w:hAnsi="宋体" w:cs="宋体"/>
          <w:b/>
          <w:color w:val="auto"/>
          <w:kern w:val="0"/>
          <w:szCs w:val="20"/>
          <w:highlight w:val="none"/>
          <w:lang w:eastAsia="zh-CN"/>
        </w:rPr>
        <w:t>。</w:t>
      </w:r>
    </w:p>
    <w:p>
      <w:pPr>
        <w:pStyle w:val="48"/>
        <w:widowControl/>
        <w:numPr>
          <w:ilvl w:val="0"/>
          <w:numId w:val="5"/>
        </w:numPr>
        <w:spacing w:line="360" w:lineRule="auto"/>
        <w:ind w:left="851" w:leftChars="0" w:hanging="425" w:firstLineChars="0"/>
        <w:jc w:val="left"/>
        <w:rPr>
          <w:rFonts w:ascii="宋体" w:hAnsi="宋体" w:cs="宋体"/>
          <w:color w:val="auto"/>
          <w:kern w:val="0"/>
          <w:szCs w:val="20"/>
          <w:highlight w:val="none"/>
        </w:rPr>
      </w:pP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具有有效期内的职业卫生技术服务机构资质证书</w:t>
      </w:r>
      <w:r>
        <w:rPr>
          <w:rFonts w:hint="eastAsia" w:ascii="宋体" w:hAnsi="宋体" w:cs="宋体"/>
          <w:bCs/>
          <w:color w:val="auto"/>
          <w:szCs w:val="21"/>
          <w:highlight w:val="none"/>
          <w:lang w:val="en-US" w:eastAsia="zh-CN"/>
        </w:rPr>
        <w:t>乙级（或以上），</w:t>
      </w:r>
      <w:r>
        <w:rPr>
          <w:rFonts w:hint="eastAsia" w:ascii="宋体" w:hAnsi="宋体" w:cs="宋体"/>
          <w:bCs/>
          <w:strike w:val="0"/>
          <w:dstrike w:val="0"/>
          <w:color w:val="auto"/>
          <w:szCs w:val="21"/>
          <w:highlight w:val="none"/>
          <w:lang w:val="en-US" w:eastAsia="zh-CN"/>
        </w:rPr>
        <w:t>提供对应的</w:t>
      </w:r>
      <w:r>
        <w:rPr>
          <w:rFonts w:hint="eastAsia" w:ascii="宋体" w:hAnsi="宋体" w:cs="宋体"/>
          <w:bCs/>
          <w:color w:val="auto"/>
          <w:szCs w:val="21"/>
          <w:highlight w:val="none"/>
        </w:rPr>
        <w:t>证明材料</w:t>
      </w:r>
      <w:r>
        <w:rPr>
          <w:rFonts w:hint="eastAsia" w:ascii="宋体" w:hAnsi="宋体" w:cs="宋体"/>
          <w:bCs/>
          <w:color w:val="auto"/>
          <w:szCs w:val="21"/>
          <w:highlight w:val="none"/>
          <w:lang w:val="en-US" w:eastAsia="zh-CN"/>
        </w:rPr>
        <w:t>复印件</w:t>
      </w:r>
      <w:r>
        <w:rPr>
          <w:rFonts w:hint="eastAsia" w:ascii="宋体" w:hAnsi="宋体" w:cs="宋体"/>
          <w:bCs/>
          <w:color w:val="auto"/>
          <w:szCs w:val="21"/>
          <w:highlight w:val="none"/>
        </w:rPr>
        <w:t>。</w:t>
      </w:r>
    </w:p>
    <w:p>
      <w:pPr>
        <w:pStyle w:val="30"/>
        <w:widowControl/>
        <w:numPr>
          <w:ilvl w:val="0"/>
          <w:numId w:val="0"/>
        </w:numPr>
        <w:spacing w:line="360" w:lineRule="auto"/>
        <w:ind w:left="426" w:leftChars="0"/>
        <w:jc w:val="left"/>
        <w:rPr>
          <w:rFonts w:hint="eastAsia" w:ascii="宋体" w:hAnsi="宋体" w:cs="宋体"/>
          <w:color w:val="auto"/>
          <w:kern w:val="0"/>
          <w:szCs w:val="20"/>
          <w:highlight w:val="none"/>
          <w:lang w:val="en-US" w:eastAsia="zh-CN"/>
        </w:rPr>
      </w:pPr>
      <w:r>
        <w:rPr>
          <w:rFonts w:ascii="Helvetica" w:hAnsi="Helvetica" w:eastAsia="Helvetica" w:cs="Helvetica"/>
          <w:b/>
          <w:bCs/>
          <w:i w:val="0"/>
          <w:iCs w:val="0"/>
          <w:caps w:val="0"/>
          <w:color w:val="auto"/>
          <w:spacing w:val="0"/>
          <w:sz w:val="21"/>
          <w:szCs w:val="21"/>
          <w:highlight w:val="none"/>
          <w:shd w:val="clear" w:fill="FFFFFF"/>
          <w:vertAlign w:val="baseline"/>
        </w:rPr>
        <w:t>备注：</w:t>
      </w:r>
      <w:r>
        <w:rPr>
          <w:rFonts w:hint="default" w:ascii="Helvetica" w:hAnsi="Helvetica" w:eastAsia="Helvetica" w:cs="Helvetica"/>
          <w:b/>
          <w:bCs/>
          <w:i w:val="0"/>
          <w:iCs w:val="0"/>
          <w:caps w:val="0"/>
          <w:color w:val="auto"/>
          <w:spacing w:val="3"/>
          <w:sz w:val="21"/>
          <w:szCs w:val="21"/>
          <w:highlight w:val="none"/>
          <w:shd w:val="clear" w:fill="FFFFFF"/>
          <w:vertAlign w:val="baseline"/>
        </w:rPr>
        <w:t>代理机构于项目报名期间在“信用中国”网站（</w:t>
      </w:r>
      <w:r>
        <w:rPr>
          <w:rFonts w:hint="eastAsia" w:ascii="宋体" w:hAnsi="宋体" w:eastAsia="宋体" w:cs="宋体"/>
          <w:b/>
          <w:bCs/>
          <w:i w:val="0"/>
          <w:iCs w:val="0"/>
          <w:caps w:val="0"/>
          <w:color w:val="auto"/>
          <w:spacing w:val="3"/>
          <w:sz w:val="21"/>
          <w:szCs w:val="21"/>
          <w:highlight w:val="none"/>
          <w:shd w:val="clear" w:fill="FFFFFF"/>
          <w:vertAlign w:val="baseline"/>
        </w:rPr>
        <w:t>www.creditchina.gov.cn</w:t>
      </w:r>
      <w:r>
        <w:rPr>
          <w:rFonts w:hint="default" w:ascii="Helvetica" w:hAnsi="Helvetica" w:eastAsia="Helvetica" w:cs="Helvetica"/>
          <w:b/>
          <w:bCs/>
          <w:i w:val="0"/>
          <w:iCs w:val="0"/>
          <w:caps w:val="0"/>
          <w:color w:val="auto"/>
          <w:spacing w:val="3"/>
          <w:sz w:val="21"/>
          <w:szCs w:val="21"/>
          <w:highlight w:val="none"/>
          <w:shd w:val="clear" w:fill="FFFFFF"/>
          <w:vertAlign w:val="baseline"/>
        </w:rPr>
        <w:t>）及中国政府采购网</w:t>
      </w:r>
      <w:r>
        <w:rPr>
          <w:rFonts w:hint="eastAsia" w:ascii="宋体" w:hAnsi="宋体" w:eastAsia="宋体" w:cs="宋体"/>
          <w:b/>
          <w:bCs/>
          <w:i w:val="0"/>
          <w:iCs w:val="0"/>
          <w:caps w:val="0"/>
          <w:color w:val="auto"/>
          <w:spacing w:val="3"/>
          <w:sz w:val="21"/>
          <w:szCs w:val="21"/>
          <w:highlight w:val="none"/>
          <w:shd w:val="clear" w:fill="FFFFFF"/>
          <w:vertAlign w:val="baseline"/>
        </w:rPr>
        <w:t>(www.ccgp.gov.cn)</w:t>
      </w:r>
      <w:r>
        <w:rPr>
          <w:rFonts w:hint="default" w:ascii="Helvetica" w:hAnsi="Helvetica" w:eastAsia="Helvetica" w:cs="Helvetica"/>
          <w:b/>
          <w:bCs/>
          <w:i w:val="0"/>
          <w:iCs w:val="0"/>
          <w:caps w:val="0"/>
          <w:color w:val="auto"/>
          <w:spacing w:val="3"/>
          <w:sz w:val="21"/>
          <w:szCs w:val="21"/>
          <w:highlight w:val="none"/>
          <w:shd w:val="clear" w:fill="FFFFFF"/>
          <w:vertAlign w:val="baseline"/>
        </w:rPr>
        <w:t>对</w:t>
      </w:r>
      <w:r>
        <w:rPr>
          <w:rFonts w:hint="default" w:ascii="Helvetica" w:hAnsi="Helvetica" w:eastAsia="Helvetica" w:cs="Helvetica"/>
          <w:b/>
          <w:bCs/>
          <w:i w:val="0"/>
          <w:iCs w:val="0"/>
          <w:caps w:val="0"/>
          <w:color w:val="auto"/>
          <w:spacing w:val="0"/>
          <w:sz w:val="21"/>
          <w:szCs w:val="21"/>
          <w:highlight w:val="none"/>
          <w:shd w:val="clear" w:fill="FFFFFF"/>
          <w:vertAlign w:val="baseline"/>
        </w:rPr>
        <w:t>供应商是否被列入：①“信用中国”网站(www.creditchina.gov.cn)以下任何记录名单之一：失信被执行人、重大税收违法失信主体（原重大税收违法案件当事人名单）、政府采购严重违法失信行为记录名单。②中国政府采购网(www.ccgp.gov.cn)“政府采购严重违法失信行为信息记录”名单</w:t>
      </w:r>
      <w:r>
        <w:rPr>
          <w:rFonts w:hint="default" w:ascii="Helvetica" w:hAnsi="Helvetica" w:eastAsia="Helvetica" w:cs="Helvetica"/>
          <w:b/>
          <w:bCs/>
          <w:i w:val="0"/>
          <w:iCs w:val="0"/>
          <w:caps w:val="0"/>
          <w:color w:val="auto"/>
          <w:spacing w:val="3"/>
          <w:sz w:val="21"/>
          <w:szCs w:val="21"/>
          <w:highlight w:val="none"/>
          <w:shd w:val="clear" w:fill="FFFFFF"/>
          <w:vertAlign w:val="baseline"/>
        </w:rPr>
        <w:t>进行查询，如在上述网站查询结果均显示没有相关记录，视为供应商不存在上述不良信用记录。相关失信记录</w:t>
      </w:r>
      <w:r>
        <w:rPr>
          <w:rFonts w:hint="default" w:ascii="Helvetica" w:hAnsi="Helvetica" w:eastAsia="Helvetica" w:cs="Helvetica"/>
          <w:b/>
          <w:bCs/>
          <w:i w:val="0"/>
          <w:iCs w:val="0"/>
          <w:caps w:val="0"/>
          <w:color w:val="auto"/>
          <w:spacing w:val="0"/>
          <w:sz w:val="21"/>
          <w:szCs w:val="21"/>
          <w:highlight w:val="none"/>
          <w:shd w:val="clear" w:fill="FFFFFF"/>
          <w:vertAlign w:val="baseline"/>
        </w:rPr>
        <w:t>以采购代理机构于报名期间在“信用中国”网站及中国政府采购网查询结果为准</w:t>
      </w:r>
      <w:r>
        <w:rPr>
          <w:rFonts w:hint="default" w:ascii="Helvetica" w:hAnsi="Helvetica" w:eastAsia="Helvetica" w:cs="Helvetica"/>
          <w:b/>
          <w:bCs/>
          <w:i w:val="0"/>
          <w:iCs w:val="0"/>
          <w:caps w:val="0"/>
          <w:color w:val="auto"/>
          <w:spacing w:val="3"/>
          <w:sz w:val="21"/>
          <w:szCs w:val="21"/>
          <w:highlight w:val="none"/>
          <w:shd w:val="clear" w:fill="FFFFFF"/>
          <w:vertAlign w:val="baseline"/>
        </w:rPr>
        <w:t>。供应商为分公司的，代理机构同时对该分公司所属总公司（总所）进行信用记录查询，该分公司所属总公司（总所）存在不良信用记录的，视同供应商存在不良信用记录。如在上述网站任一查询结果显示有相关记录，将拒绝供应商参与本项目竞价活动。</w:t>
      </w:r>
    </w:p>
    <w:p>
      <w:pPr>
        <w:pStyle w:val="30"/>
        <w:numPr>
          <w:ilvl w:val="0"/>
          <w:numId w:val="2"/>
        </w:numPr>
        <w:spacing w:line="360" w:lineRule="auto"/>
        <w:ind w:firstLineChars="0"/>
        <w:rPr>
          <w:rStyle w:val="18"/>
          <w:rFonts w:ascii="宋体" w:hAnsi="宋体"/>
          <w:bCs w:val="0"/>
          <w:color w:val="auto"/>
          <w:highlight w:val="none"/>
        </w:rPr>
      </w:pPr>
      <w:r>
        <w:rPr>
          <w:rStyle w:val="18"/>
          <w:rFonts w:hint="eastAsia" w:ascii="宋体" w:hAnsi="宋体"/>
          <w:bCs w:val="0"/>
          <w:color w:val="auto"/>
          <w:highlight w:val="none"/>
        </w:rPr>
        <w:t>报价要求</w:t>
      </w:r>
      <w:r>
        <w:rPr>
          <w:rStyle w:val="18"/>
          <w:rFonts w:hint="eastAsia" w:ascii="宋体" w:hAnsi="宋体"/>
          <w:color w:val="auto"/>
          <w:szCs w:val="21"/>
          <w:highlight w:val="none"/>
        </w:rPr>
        <w:t>（</w:t>
      </w:r>
      <w:r>
        <w:rPr>
          <w:rStyle w:val="18"/>
          <w:rFonts w:hint="eastAsia" w:ascii="宋体" w:hAnsi="宋体"/>
          <w:b w:val="0"/>
          <w:color w:val="auto"/>
          <w:szCs w:val="21"/>
          <w:highlight w:val="none"/>
        </w:rPr>
        <w:t>报价时需要提供以下</w:t>
      </w:r>
      <w:r>
        <w:rPr>
          <w:rStyle w:val="18"/>
          <w:rFonts w:hint="eastAsia" w:ascii="宋体" w:hAnsi="宋体"/>
          <w:color w:val="auto"/>
          <w:szCs w:val="21"/>
          <w:highlight w:val="none"/>
          <w:u w:val="double"/>
        </w:rPr>
        <w:t>盖章</w:t>
      </w:r>
      <w:r>
        <w:rPr>
          <w:rStyle w:val="18"/>
          <w:rFonts w:hint="eastAsia" w:ascii="宋体" w:hAnsi="宋体"/>
          <w:b w:val="0"/>
          <w:color w:val="auto"/>
          <w:szCs w:val="21"/>
          <w:highlight w:val="none"/>
        </w:rPr>
        <w:t>资料，</w:t>
      </w:r>
      <w:r>
        <w:rPr>
          <w:rFonts w:hint="eastAsia" w:ascii="宋体" w:hAnsi="宋体"/>
          <w:color w:val="auto"/>
          <w:szCs w:val="21"/>
          <w:highlight w:val="none"/>
        </w:rPr>
        <w:t>并对上传的竞价文件资料承担责任</w:t>
      </w:r>
      <w:r>
        <w:rPr>
          <w:rStyle w:val="18"/>
          <w:rFonts w:hint="eastAsia" w:ascii="宋体" w:hAnsi="宋体"/>
          <w:color w:val="auto"/>
          <w:szCs w:val="21"/>
          <w:highlight w:val="none"/>
        </w:rPr>
        <w:t>）</w:t>
      </w:r>
    </w:p>
    <w:p>
      <w:pPr>
        <w:pStyle w:val="30"/>
        <w:numPr>
          <w:ilvl w:val="0"/>
          <w:numId w:val="6"/>
        </w:numPr>
        <w:spacing w:line="360" w:lineRule="auto"/>
        <w:ind w:left="851" w:firstLineChars="0"/>
        <w:rPr>
          <w:rFonts w:ascii="宋体" w:hAnsi="宋体"/>
          <w:color w:val="auto"/>
          <w:highlight w:val="none"/>
        </w:rPr>
      </w:pPr>
      <w:r>
        <w:rPr>
          <w:rFonts w:hint="eastAsia" w:ascii="宋体" w:hAnsi="宋体"/>
          <w:color w:val="auto"/>
          <w:szCs w:val="21"/>
          <w:highlight w:val="none"/>
        </w:rPr>
        <w:t>通过报名供应商应根据本公告要求，在规定的竞价时间内对采购项目进行报价，同时按本公告要求完整</w:t>
      </w:r>
      <w:r>
        <w:rPr>
          <w:rFonts w:hint="eastAsia" w:ascii="宋体" w:hAnsi="宋体" w:cs="宋体"/>
          <w:color w:val="auto"/>
          <w:szCs w:val="21"/>
          <w:highlight w:val="none"/>
          <w:lang w:eastAsia="zh-TW"/>
        </w:rPr>
        <w:t>、真实、准确地</w:t>
      </w:r>
      <w:r>
        <w:rPr>
          <w:rFonts w:hint="eastAsia" w:ascii="宋体" w:hAnsi="宋体" w:cs="宋体"/>
          <w:color w:val="auto"/>
          <w:szCs w:val="21"/>
          <w:highlight w:val="none"/>
        </w:rPr>
        <w:t>填写并</w:t>
      </w:r>
      <w:r>
        <w:rPr>
          <w:rFonts w:hint="eastAsia" w:ascii="宋体" w:hAnsi="宋体"/>
          <w:color w:val="auto"/>
          <w:szCs w:val="21"/>
          <w:highlight w:val="none"/>
        </w:rPr>
        <w:t>上传相应</w:t>
      </w:r>
      <w:r>
        <w:rPr>
          <w:rFonts w:hint="eastAsia" w:ascii="宋体" w:hAnsi="宋体"/>
          <w:bCs/>
          <w:color w:val="auto"/>
          <w:szCs w:val="21"/>
          <w:highlight w:val="none"/>
        </w:rPr>
        <w:t>报价附件</w:t>
      </w:r>
      <w:r>
        <w:rPr>
          <w:rFonts w:hint="eastAsia" w:ascii="宋体" w:hAnsi="宋体"/>
          <w:b/>
          <w:bCs/>
          <w:color w:val="auto"/>
          <w:szCs w:val="21"/>
          <w:highlight w:val="none"/>
        </w:rPr>
        <w:t>（报价表）</w:t>
      </w:r>
      <w:r>
        <w:rPr>
          <w:rFonts w:hint="eastAsia" w:ascii="宋体" w:hAnsi="宋体"/>
          <w:color w:val="auto"/>
          <w:szCs w:val="21"/>
          <w:highlight w:val="none"/>
        </w:rPr>
        <w:t>。</w:t>
      </w:r>
    </w:p>
    <w:p>
      <w:pPr>
        <w:pStyle w:val="30"/>
        <w:numPr>
          <w:ilvl w:val="0"/>
          <w:numId w:val="6"/>
        </w:numPr>
        <w:spacing w:line="360" w:lineRule="auto"/>
        <w:ind w:left="851" w:firstLineChars="0"/>
        <w:rPr>
          <w:rFonts w:ascii="宋体" w:hAnsi="宋体"/>
          <w:color w:val="auto"/>
          <w:highlight w:val="none"/>
          <w:u w:val="none"/>
        </w:rPr>
      </w:pPr>
      <w:r>
        <w:rPr>
          <w:rFonts w:hint="eastAsia" w:ascii="宋体" w:hAnsi="宋体"/>
          <w:b/>
          <w:color w:val="auto"/>
          <w:szCs w:val="21"/>
          <w:highlight w:val="none"/>
          <w:u w:val="non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2"/>
        </w:numPr>
        <w:spacing w:line="360" w:lineRule="auto"/>
        <w:ind w:firstLineChars="0"/>
        <w:rPr>
          <w:rStyle w:val="18"/>
          <w:rFonts w:ascii="宋体" w:hAnsi="宋体"/>
          <w:bCs w:val="0"/>
          <w:color w:val="auto"/>
          <w:highlight w:val="none"/>
        </w:rPr>
      </w:pPr>
      <w:r>
        <w:rPr>
          <w:rStyle w:val="18"/>
          <w:rFonts w:hint="eastAsia" w:ascii="宋体" w:hAnsi="宋体"/>
          <w:bCs w:val="0"/>
          <w:color w:val="auto"/>
          <w:highlight w:val="none"/>
        </w:rPr>
        <w:t>确定成交候选人</w:t>
      </w:r>
    </w:p>
    <w:p>
      <w:pPr>
        <w:pStyle w:val="48"/>
        <w:numPr>
          <w:ilvl w:val="0"/>
          <w:numId w:val="7"/>
        </w:numPr>
        <w:spacing w:line="360" w:lineRule="auto"/>
        <w:ind w:firstLineChars="0"/>
        <w:rPr>
          <w:rFonts w:asciiTheme="minorEastAsia" w:hAnsiTheme="minorEastAsia"/>
          <w:color w:val="auto"/>
          <w:highlight w:val="none"/>
        </w:rPr>
      </w:pPr>
      <w:r>
        <w:rPr>
          <w:rFonts w:hint="eastAsia" w:asciiTheme="minorEastAsia" w:hAnsiTheme="minorEastAsia"/>
          <w:color w:val="auto"/>
          <w:szCs w:val="21"/>
          <w:highlight w:val="none"/>
        </w:rPr>
        <w:t>本项目以最低价中标的方式确定成交供应商。报价时间截止后，系统按报价（经价格核准后的价格）由低到高顺序排列，</w:t>
      </w:r>
      <w:r>
        <w:rPr>
          <w:rFonts w:hint="eastAsia" w:asciiTheme="minorEastAsia" w:hAnsiTheme="minorEastAsia"/>
          <w:color w:val="auto"/>
          <w:highlight w:val="none"/>
        </w:rPr>
        <w:t>报价最低的为第一成交候选人，报价相同的，按报价时间在前的为第一成交候选人；</w:t>
      </w:r>
      <w:r>
        <w:rPr>
          <w:rFonts w:hint="eastAsia" w:ascii="宋体" w:hAnsi="宋体"/>
          <w:color w:val="auto"/>
          <w:szCs w:val="21"/>
          <w:highlight w:val="none"/>
        </w:rPr>
        <w:t>报价次低的为第二成交候选人，以此类推</w:t>
      </w:r>
      <w:r>
        <w:rPr>
          <w:rFonts w:hint="eastAsia" w:asciiTheme="minorEastAsia" w:hAnsiTheme="minorEastAsia"/>
          <w:color w:val="auto"/>
          <w:szCs w:val="21"/>
          <w:highlight w:val="none"/>
          <w:lang w:val="en-US" w:eastAsia="zh-CN"/>
        </w:rPr>
        <w:t>。</w:t>
      </w:r>
    </w:p>
    <w:p>
      <w:pPr>
        <w:pStyle w:val="30"/>
        <w:numPr>
          <w:ilvl w:val="0"/>
          <w:numId w:val="2"/>
        </w:numPr>
        <w:spacing w:line="360" w:lineRule="auto"/>
        <w:ind w:firstLineChars="0"/>
        <w:rPr>
          <w:rFonts w:ascii="宋体" w:hAnsi="宋体"/>
          <w:b/>
          <w:color w:val="auto"/>
          <w:szCs w:val="21"/>
          <w:highlight w:val="none"/>
        </w:rPr>
      </w:pPr>
      <w:r>
        <w:rPr>
          <w:rFonts w:hint="eastAsia" w:ascii="宋体" w:hAnsi="宋体"/>
          <w:b/>
          <w:color w:val="auto"/>
          <w:szCs w:val="21"/>
          <w:highlight w:val="none"/>
        </w:rPr>
        <w:t>无效报价</w:t>
      </w:r>
    </w:p>
    <w:p>
      <w:pPr>
        <w:pStyle w:val="30"/>
        <w:numPr>
          <w:ilvl w:val="0"/>
          <w:numId w:val="8"/>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color w:val="auto"/>
          <w:highlight w:val="none"/>
        </w:rPr>
        <w:t>供应商报价超过最高限价或超过项目对应产品单项最高限价的视为无效报价。</w:t>
      </w:r>
    </w:p>
    <w:p>
      <w:pPr>
        <w:pStyle w:val="30"/>
        <w:numPr>
          <w:ilvl w:val="0"/>
          <w:numId w:val="8"/>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供应商须提供本项目要求的资质文件，如果不按公告规定或竞价文件要求等相关规定提供符合要求的资质文件，将被视为无效报价</w:t>
      </w:r>
      <w:r>
        <w:rPr>
          <w:rFonts w:hint="eastAsia" w:ascii="宋体" w:hAnsi="宋体"/>
          <w:bCs/>
          <w:color w:val="auto"/>
          <w:szCs w:val="21"/>
          <w:highlight w:val="none"/>
          <w:lang w:eastAsia="zh-CN"/>
        </w:rPr>
        <w:t>。</w:t>
      </w:r>
    </w:p>
    <w:p>
      <w:pPr>
        <w:pStyle w:val="30"/>
        <w:numPr>
          <w:ilvl w:val="0"/>
          <w:numId w:val="8"/>
        </w:numPr>
        <w:spacing w:line="360" w:lineRule="auto"/>
        <w:ind w:firstLineChars="0"/>
        <w:rPr>
          <w:rFonts w:ascii="宋体" w:hAnsi="宋体"/>
          <w:color w:val="auto"/>
          <w:szCs w:val="21"/>
          <w:highlight w:val="none"/>
        </w:rPr>
      </w:pPr>
      <w:r>
        <w:rPr>
          <w:rFonts w:hint="eastAsia" w:ascii="宋体" w:hAnsi="宋体"/>
          <w:color w:val="auto"/>
          <w:szCs w:val="21"/>
          <w:highlight w:val="none"/>
        </w:rPr>
        <w:t>参与竞价的</w:t>
      </w:r>
      <w:r>
        <w:rPr>
          <w:rFonts w:hint="eastAsia" w:ascii="宋体" w:hAnsi="宋体"/>
          <w:bCs/>
          <w:color w:val="auto"/>
          <w:szCs w:val="21"/>
          <w:highlight w:val="none"/>
        </w:rPr>
        <w:t>供应商须对本项目采购内容进行整体报价，任何只对其中一部分内容进行的报价都被视为无效报价。</w:t>
      </w:r>
    </w:p>
    <w:p>
      <w:pPr>
        <w:pStyle w:val="30"/>
        <w:numPr>
          <w:ilvl w:val="0"/>
          <w:numId w:val="8"/>
        </w:numPr>
        <w:spacing w:line="360" w:lineRule="auto"/>
        <w:ind w:firstLineChars="0"/>
        <w:rPr>
          <w:rFonts w:ascii="宋体" w:hAnsi="宋体"/>
          <w:color w:val="auto"/>
          <w:szCs w:val="21"/>
          <w:highlight w:val="none"/>
        </w:rPr>
      </w:pPr>
      <w:r>
        <w:rPr>
          <w:rFonts w:ascii="宋体" w:hAnsi="宋体"/>
          <w:color w:val="auto"/>
          <w:highlight w:val="none"/>
          <w:u w:val="double"/>
        </w:rPr>
        <w:t>报价表</w:t>
      </w:r>
      <w:r>
        <w:rPr>
          <w:rFonts w:hint="eastAsia" w:ascii="宋体" w:hAnsi="宋体"/>
          <w:color w:val="auto"/>
          <w:highlight w:val="none"/>
          <w:u w:val="double"/>
        </w:rPr>
        <w:t>以及有报价供应商落款的报价文件</w:t>
      </w:r>
      <w:r>
        <w:rPr>
          <w:rFonts w:ascii="宋体" w:hAnsi="宋体"/>
          <w:color w:val="auto"/>
          <w:highlight w:val="none"/>
          <w:u w:val="double"/>
        </w:rPr>
        <w:t>必须加盖</w:t>
      </w:r>
      <w:r>
        <w:rPr>
          <w:rFonts w:hint="eastAsia" w:ascii="宋体" w:hAnsi="宋体"/>
          <w:color w:val="auto"/>
          <w:highlight w:val="none"/>
          <w:u w:val="double"/>
        </w:rPr>
        <w:t>报价供应商</w:t>
      </w:r>
      <w:r>
        <w:rPr>
          <w:rFonts w:ascii="宋体" w:hAnsi="宋体"/>
          <w:color w:val="auto"/>
          <w:highlight w:val="none"/>
          <w:u w:val="double"/>
        </w:rPr>
        <w:t>公章，否则视为无效报价</w:t>
      </w:r>
      <w:r>
        <w:rPr>
          <w:rFonts w:hint="eastAsia" w:ascii="宋体" w:hAnsi="宋体"/>
          <w:color w:val="auto"/>
          <w:highlight w:val="none"/>
          <w:lang w:eastAsia="zh-CN"/>
        </w:rPr>
        <w:t>。</w:t>
      </w:r>
    </w:p>
    <w:p>
      <w:pPr>
        <w:pStyle w:val="11"/>
        <w:numPr>
          <w:ilvl w:val="0"/>
          <w:numId w:val="8"/>
        </w:numPr>
        <w:shd w:val="clear" w:color="auto" w:fill="FFFFFF"/>
        <w:spacing w:before="0" w:beforeAutospacing="0" w:after="0" w:afterAutospacing="0" w:line="360" w:lineRule="auto"/>
        <w:jc w:val="both"/>
        <w:rPr>
          <w:color w:val="auto"/>
          <w:sz w:val="21"/>
          <w:szCs w:val="21"/>
          <w:highlight w:val="none"/>
        </w:rPr>
      </w:pPr>
      <w:r>
        <w:rPr>
          <w:color w:val="auto"/>
          <w:sz w:val="21"/>
          <w:szCs w:val="21"/>
          <w:highlight w:val="none"/>
        </w:rPr>
        <w:t>大写金额和小写金额不一致的，以大写金额为准；单价金额小数点或者百分比有明显错位的，以报价表的总价为准，并修改单价；总价金额与按单价汇总金额不一致的，以单价金额计算结果为准；</w:t>
      </w:r>
      <w:r>
        <w:rPr>
          <w:b/>
          <w:color w:val="auto"/>
          <w:sz w:val="21"/>
          <w:szCs w:val="21"/>
          <w:highlight w:val="none"/>
        </w:rPr>
        <w:t>不接受总价优惠折扣形式的报价，供应商应将对项目的优惠直接在清单报价中体现出来</w:t>
      </w:r>
      <w:r>
        <w:rPr>
          <w:color w:val="auto"/>
          <w:sz w:val="21"/>
          <w:szCs w:val="21"/>
          <w:highlight w:val="none"/>
        </w:rPr>
        <w:t>。如果供应商不接受对其错误的更正，其报价将被视为无效报价</w:t>
      </w:r>
      <w:r>
        <w:rPr>
          <w:rFonts w:hint="eastAsia"/>
          <w:color w:val="auto"/>
          <w:sz w:val="21"/>
          <w:szCs w:val="21"/>
          <w:highlight w:val="none"/>
          <w:lang w:eastAsia="zh-CN"/>
        </w:rPr>
        <w:t>。</w:t>
      </w:r>
    </w:p>
    <w:p>
      <w:pPr>
        <w:pStyle w:val="11"/>
        <w:numPr>
          <w:ilvl w:val="0"/>
          <w:numId w:val="8"/>
        </w:numPr>
        <w:shd w:val="clear" w:color="auto" w:fill="FFFFFF"/>
        <w:spacing w:before="0" w:beforeAutospacing="0" w:after="0" w:afterAutospacing="0" w:line="360" w:lineRule="auto"/>
        <w:jc w:val="both"/>
        <w:rPr>
          <w:b w:val="0"/>
          <w:bCs w:val="0"/>
          <w:color w:val="auto"/>
          <w:sz w:val="21"/>
          <w:szCs w:val="21"/>
          <w:highlight w:val="none"/>
          <w:u w:val="none"/>
        </w:rPr>
      </w:pPr>
      <w:r>
        <w:rPr>
          <w:rFonts w:hint="eastAsia"/>
          <w:b w:val="0"/>
          <w:bCs w:val="0"/>
          <w:color w:val="auto"/>
          <w:sz w:val="21"/>
          <w:szCs w:val="21"/>
          <w:highlight w:val="none"/>
          <w:u w:val="none"/>
        </w:rPr>
        <w:t>按有关法律、法规、规章属于报价无效的。</w:t>
      </w:r>
    </w:p>
    <w:p>
      <w:pPr>
        <w:pStyle w:val="11"/>
        <w:numPr>
          <w:ilvl w:val="0"/>
          <w:numId w:val="8"/>
        </w:numPr>
        <w:shd w:val="clear" w:color="auto" w:fill="FFFFFF"/>
        <w:spacing w:before="0" w:beforeAutospacing="0" w:after="0" w:afterAutospacing="0" w:line="360" w:lineRule="auto"/>
        <w:jc w:val="both"/>
        <w:rPr>
          <w:color w:val="auto"/>
          <w:sz w:val="21"/>
          <w:szCs w:val="21"/>
          <w:highlight w:val="none"/>
        </w:rPr>
      </w:pPr>
      <w:r>
        <w:rPr>
          <w:rFonts w:hint="eastAsia"/>
          <w:b/>
          <w:color w:val="auto"/>
          <w:sz w:val="21"/>
          <w:szCs w:val="21"/>
          <w:highlight w:val="none"/>
        </w:rPr>
        <w:t>有下列情形之一的，视为串通竞价，其报价无效：</w:t>
      </w:r>
    </w:p>
    <w:p>
      <w:pPr>
        <w:pStyle w:val="32"/>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存在单位负责人为同一人或存在控股、管理关系的不同单位参与同一竞价项目；</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不同供应商的响应文件由同一单位或者个人编制；</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不同供应商委托同一单位或者个人办理竞价事宜；</w:t>
      </w:r>
    </w:p>
    <w:p>
      <w:pPr>
        <w:pStyle w:val="30"/>
        <w:widowControl/>
        <w:numPr>
          <w:ilvl w:val="2"/>
          <w:numId w:val="9"/>
        </w:numPr>
        <w:spacing w:line="360" w:lineRule="auto"/>
        <w:ind w:firstLineChars="0"/>
        <w:jc w:val="both"/>
        <w:rPr>
          <w:rFonts w:ascii="宋体" w:hAnsi="宋体"/>
          <w:b/>
          <w:bCs/>
          <w:color w:val="auto"/>
          <w:szCs w:val="21"/>
          <w:highlight w:val="none"/>
          <w:u w:val="double"/>
        </w:rPr>
      </w:pPr>
      <w:r>
        <w:rPr>
          <w:rFonts w:hint="eastAsia" w:ascii="宋体" w:hAnsi="宋体"/>
          <w:b/>
          <w:bCs/>
          <w:color w:val="auto"/>
          <w:szCs w:val="21"/>
          <w:highlight w:val="none"/>
          <w:u w:val="double"/>
        </w:rPr>
        <w:t>不同供应商使用同一IP地址参与竞价；</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不同供应商的响应文件载明的项目管理成员或者联系人员为同一人；</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不同供应商的响应文件异常一致或者报价呈规律性差异；</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不同供应商的响应文件相互混淆；</w:t>
      </w:r>
    </w:p>
    <w:p>
      <w:pPr>
        <w:pStyle w:val="30"/>
        <w:widowControl/>
        <w:numPr>
          <w:ilvl w:val="2"/>
          <w:numId w:val="9"/>
        </w:numPr>
        <w:spacing w:line="360" w:lineRule="auto"/>
        <w:ind w:firstLineChars="0"/>
        <w:jc w:val="both"/>
        <w:rPr>
          <w:rFonts w:ascii="宋体" w:hAnsi="宋体"/>
          <w:color w:val="auto"/>
          <w:szCs w:val="21"/>
          <w:highlight w:val="none"/>
        </w:rPr>
      </w:pPr>
      <w:r>
        <w:rPr>
          <w:rFonts w:hint="eastAsia" w:ascii="宋体" w:hAnsi="宋体"/>
          <w:color w:val="auto"/>
          <w:szCs w:val="21"/>
          <w:highlight w:val="none"/>
        </w:rPr>
        <w:t>不同供应商的平台使用费从同一单位或者个人的账户转出</w:t>
      </w:r>
      <w:r>
        <w:rPr>
          <w:rFonts w:hint="eastAsia" w:ascii="宋体" w:hAnsi="宋体"/>
          <w:color w:val="auto"/>
          <w:szCs w:val="21"/>
          <w:highlight w:val="none"/>
          <w:lang w:eastAsia="zh-CN"/>
        </w:rPr>
        <w:t>。</w:t>
      </w:r>
    </w:p>
    <w:p>
      <w:pPr>
        <w:pStyle w:val="11"/>
        <w:numPr>
          <w:ilvl w:val="0"/>
          <w:numId w:val="8"/>
        </w:numPr>
        <w:shd w:val="clear" w:color="auto" w:fill="FFFFFF"/>
        <w:spacing w:before="0" w:beforeAutospacing="0" w:after="0" w:afterAutospacing="0" w:line="360" w:lineRule="auto"/>
        <w:jc w:val="both"/>
        <w:rPr>
          <w:b/>
          <w:color w:val="auto"/>
          <w:sz w:val="21"/>
          <w:szCs w:val="21"/>
          <w:highlight w:val="none"/>
        </w:rPr>
      </w:pPr>
      <w:r>
        <w:rPr>
          <w:rFonts w:hint="eastAsia"/>
          <w:b/>
          <w:color w:val="auto"/>
          <w:sz w:val="21"/>
          <w:szCs w:val="21"/>
          <w:highlight w:val="none"/>
        </w:rPr>
        <w:t>供应商的报价明显低于其他供应商报价，有可能影响项目质量或者不能诚信履约的，在采购</w:t>
      </w:r>
      <w:r>
        <w:rPr>
          <w:rFonts w:hint="eastAsia"/>
          <w:b/>
          <w:color w:val="auto"/>
          <w:sz w:val="21"/>
          <w:szCs w:val="21"/>
          <w:highlight w:val="none"/>
          <w:lang w:val="en-US" w:eastAsia="zh-CN"/>
        </w:rPr>
        <w:t>人</w:t>
      </w:r>
      <w:r>
        <w:rPr>
          <w:rFonts w:hint="eastAsia"/>
          <w:b/>
          <w:color w:val="auto"/>
          <w:sz w:val="21"/>
          <w:szCs w:val="21"/>
          <w:highlight w:val="none"/>
        </w:rPr>
        <w:t>规定的时间内未能提供书面说明其报价合理性的视为无效报价。</w:t>
      </w:r>
    </w:p>
    <w:p>
      <w:pPr>
        <w:pStyle w:val="30"/>
        <w:numPr>
          <w:ilvl w:val="0"/>
          <w:numId w:val="2"/>
        </w:numPr>
        <w:spacing w:line="360" w:lineRule="auto"/>
        <w:ind w:firstLineChars="0"/>
        <w:rPr>
          <w:rFonts w:ascii="宋体" w:hAnsi="宋体"/>
          <w:color w:val="auto"/>
          <w:szCs w:val="21"/>
          <w:highlight w:val="none"/>
        </w:rPr>
      </w:pPr>
      <w:r>
        <w:rPr>
          <w:rFonts w:hint="eastAsia" w:ascii="宋体" w:hAnsi="宋体"/>
          <w:b/>
          <w:color w:val="auto"/>
          <w:szCs w:val="21"/>
          <w:highlight w:val="none"/>
        </w:rPr>
        <w:t>竞价活动失败</w:t>
      </w:r>
    </w:p>
    <w:p>
      <w:pPr>
        <w:pStyle w:val="30"/>
        <w:numPr>
          <w:ilvl w:val="0"/>
          <w:numId w:val="10"/>
        </w:numPr>
        <w:spacing w:line="360" w:lineRule="auto"/>
        <w:ind w:left="851" w:hanging="425" w:firstLineChars="0"/>
        <w:rPr>
          <w:rFonts w:ascii="宋体" w:hAnsi="宋体"/>
          <w:color w:val="auto"/>
          <w:szCs w:val="21"/>
          <w:highlight w:val="none"/>
        </w:rPr>
      </w:pPr>
      <w:r>
        <w:rPr>
          <w:rFonts w:ascii="宋体" w:hAnsi="宋体" w:cs="Tahoma"/>
          <w:color w:val="auto"/>
          <w:szCs w:val="21"/>
          <w:highlight w:val="none"/>
        </w:rPr>
        <w:t>出现下列情况的，本次竞价活动失败：</w:t>
      </w:r>
    </w:p>
    <w:p>
      <w:pPr>
        <w:pStyle w:val="30"/>
        <w:numPr>
          <w:ilvl w:val="0"/>
          <w:numId w:val="0"/>
        </w:numPr>
        <w:spacing w:line="360" w:lineRule="auto"/>
        <w:ind w:left="426" w:leftChars="0" w:firstLine="420" w:firstLineChars="200"/>
        <w:rPr>
          <w:rFonts w:ascii="宋体" w:hAnsi="宋体"/>
          <w:color w:val="auto"/>
          <w:szCs w:val="21"/>
          <w:highlight w:val="none"/>
        </w:rPr>
      </w:pPr>
      <w:r>
        <w:rPr>
          <w:rFonts w:hint="eastAsia" w:ascii="宋体" w:hAnsi="宋体" w:cs="Tahoma"/>
          <w:color w:val="auto"/>
          <w:szCs w:val="21"/>
          <w:highlight w:val="none"/>
        </w:rPr>
        <w:t>(</w:t>
      </w:r>
      <w:r>
        <w:rPr>
          <w:rFonts w:ascii="宋体" w:hAnsi="宋体" w:cs="Tahoma"/>
          <w:color w:val="auto"/>
          <w:szCs w:val="21"/>
          <w:highlight w:val="none"/>
        </w:rPr>
        <w:t>1)报名供应商不足3家；</w:t>
      </w:r>
    </w:p>
    <w:p>
      <w:pPr>
        <w:pStyle w:val="30"/>
        <w:numPr>
          <w:ilvl w:val="0"/>
          <w:numId w:val="0"/>
        </w:numPr>
        <w:spacing w:line="360" w:lineRule="auto"/>
        <w:ind w:left="426" w:leftChars="0" w:firstLine="420" w:firstLineChars="200"/>
        <w:rPr>
          <w:rFonts w:ascii="宋体" w:hAnsi="宋体"/>
          <w:color w:val="auto"/>
          <w:szCs w:val="21"/>
          <w:highlight w:val="none"/>
        </w:rPr>
      </w:pPr>
      <w:r>
        <w:rPr>
          <w:rFonts w:ascii="宋体" w:hAnsi="宋体" w:cs="Tahoma"/>
          <w:color w:val="auto"/>
          <w:szCs w:val="21"/>
          <w:highlight w:val="none"/>
        </w:rPr>
        <w:t>(2)报价供应商不足3家；</w:t>
      </w:r>
    </w:p>
    <w:p>
      <w:pPr>
        <w:pStyle w:val="30"/>
        <w:numPr>
          <w:ilvl w:val="0"/>
          <w:numId w:val="10"/>
        </w:numPr>
        <w:spacing w:line="360" w:lineRule="auto"/>
        <w:ind w:left="851" w:firstLineChars="0"/>
        <w:rPr>
          <w:rFonts w:ascii="宋体" w:hAnsi="宋体"/>
          <w:color w:val="auto"/>
          <w:szCs w:val="21"/>
          <w:highlight w:val="none"/>
        </w:rPr>
      </w:pPr>
      <w:r>
        <w:rPr>
          <w:rFonts w:ascii="宋体" w:hAnsi="宋体"/>
          <w:color w:val="auto"/>
          <w:szCs w:val="21"/>
          <w:highlight w:val="none"/>
        </w:rPr>
        <w:t>出现影响采购公正的违法、违规行为的</w:t>
      </w:r>
      <w:r>
        <w:rPr>
          <w:rFonts w:hint="eastAsia" w:ascii="宋体" w:hAnsi="宋体"/>
          <w:color w:val="auto"/>
          <w:szCs w:val="21"/>
          <w:highlight w:val="none"/>
        </w:rPr>
        <w:t>；</w:t>
      </w:r>
    </w:p>
    <w:p>
      <w:pPr>
        <w:pStyle w:val="30"/>
        <w:numPr>
          <w:ilvl w:val="0"/>
          <w:numId w:val="10"/>
        </w:numPr>
        <w:spacing w:line="360" w:lineRule="auto"/>
        <w:ind w:left="851" w:firstLineChars="0"/>
        <w:rPr>
          <w:rFonts w:ascii="宋体" w:hAnsi="宋体"/>
          <w:color w:val="auto"/>
          <w:szCs w:val="21"/>
          <w:highlight w:val="none"/>
        </w:rPr>
      </w:pPr>
      <w:r>
        <w:rPr>
          <w:rFonts w:ascii="宋体" w:hAnsi="宋体"/>
          <w:color w:val="auto"/>
          <w:szCs w:val="21"/>
          <w:highlight w:val="none"/>
        </w:rPr>
        <w:t>因重大变故，采购任务取消的</w:t>
      </w:r>
      <w:r>
        <w:rPr>
          <w:rFonts w:hint="eastAsia" w:ascii="宋体" w:hAnsi="宋体"/>
          <w:color w:val="auto"/>
          <w:szCs w:val="21"/>
          <w:highlight w:val="none"/>
          <w:lang w:eastAsia="zh-CN"/>
        </w:rPr>
        <w:t>。</w:t>
      </w:r>
    </w:p>
    <w:p>
      <w:pPr>
        <w:pStyle w:val="30"/>
        <w:numPr>
          <w:ilvl w:val="0"/>
          <w:numId w:val="2"/>
        </w:numPr>
        <w:spacing w:line="360" w:lineRule="auto"/>
        <w:ind w:firstLineChars="0"/>
        <w:rPr>
          <w:rFonts w:ascii="宋体" w:hAnsi="宋体"/>
          <w:b/>
          <w:color w:val="auto"/>
          <w:szCs w:val="21"/>
          <w:highlight w:val="none"/>
        </w:rPr>
      </w:pPr>
      <w:r>
        <w:rPr>
          <w:rFonts w:hint="eastAsia" w:ascii="宋体" w:hAnsi="宋体"/>
          <w:b/>
          <w:color w:val="auto"/>
          <w:szCs w:val="21"/>
          <w:highlight w:val="none"/>
        </w:rPr>
        <w:t>使用费</w:t>
      </w:r>
    </w:p>
    <w:p>
      <w:pPr>
        <w:pStyle w:val="30"/>
        <w:numPr>
          <w:ilvl w:val="0"/>
          <w:numId w:val="11"/>
        </w:numPr>
        <w:spacing w:line="360" w:lineRule="auto"/>
        <w:ind w:left="851" w:hanging="425" w:firstLineChars="0"/>
        <w:rPr>
          <w:rFonts w:ascii="宋体" w:hAnsi="宋体"/>
          <w:color w:val="auto"/>
          <w:highlight w:val="none"/>
        </w:rPr>
      </w:pPr>
      <w:r>
        <w:rPr>
          <w:rFonts w:hint="eastAsia" w:ascii="宋体" w:hAnsi="宋体"/>
          <w:color w:val="auto"/>
          <w:highlight w:val="none"/>
        </w:rPr>
        <w:t>成交供应商须向平台服务商</w:t>
      </w:r>
      <w:r>
        <w:rPr>
          <w:rFonts w:hint="eastAsia" w:ascii="宋体" w:hAnsi="宋体" w:cs="宋体"/>
          <w:color w:val="auto"/>
          <w:szCs w:val="21"/>
          <w:highlight w:val="none"/>
          <w:lang w:eastAsia="zh-TW"/>
        </w:rPr>
        <w:t>云采链</w:t>
      </w:r>
      <w:r>
        <w:rPr>
          <w:rFonts w:hint="eastAsia" w:ascii="宋体" w:hAnsi="宋体"/>
          <w:color w:val="auto"/>
          <w:highlight w:val="none"/>
        </w:rPr>
        <w:t>线上采购一体化平台缴纳平台使用费，金额为</w:t>
      </w:r>
      <w:r>
        <w:rPr>
          <w:rFonts w:hint="eastAsia" w:ascii="宋体" w:hAnsi="宋体"/>
          <w:color w:val="auto"/>
          <w:highlight w:val="none"/>
          <w:lang w:val="en-US" w:eastAsia="zh-CN"/>
        </w:rPr>
        <w:t>成交</w:t>
      </w:r>
      <w:r>
        <w:rPr>
          <w:rFonts w:hint="eastAsia" w:ascii="宋体" w:hAnsi="宋体"/>
          <w:color w:val="auto"/>
          <w:highlight w:val="none"/>
        </w:rPr>
        <w:t>金额的1.5%</w:t>
      </w:r>
      <w:r>
        <w:rPr>
          <w:rFonts w:hint="eastAsia" w:ascii="宋体" w:hAnsi="宋体"/>
          <w:b/>
          <w:color w:val="auto"/>
          <w:highlight w:val="none"/>
        </w:rPr>
        <w:t>（小数点后面四舍五入取整数）</w:t>
      </w:r>
      <w:r>
        <w:rPr>
          <w:rFonts w:hint="eastAsia" w:ascii="宋体" w:hAnsi="宋体"/>
          <w:color w:val="auto"/>
          <w:highlight w:val="none"/>
        </w:rPr>
        <w:t>；</w:t>
      </w:r>
    </w:p>
    <w:p>
      <w:pPr>
        <w:pStyle w:val="30"/>
        <w:numPr>
          <w:ilvl w:val="0"/>
          <w:numId w:val="11"/>
        </w:numPr>
        <w:spacing w:line="360" w:lineRule="auto"/>
        <w:ind w:left="851" w:hanging="425" w:firstLineChars="0"/>
        <w:rPr>
          <w:rFonts w:ascii="宋体" w:hAnsi="宋体"/>
          <w:color w:val="auto"/>
          <w:highlight w:val="none"/>
        </w:rPr>
      </w:pPr>
      <w:r>
        <w:rPr>
          <w:rFonts w:hint="eastAsia" w:ascii="宋体" w:hAnsi="宋体"/>
          <w:color w:val="auto"/>
          <w:highlight w:val="none"/>
        </w:rPr>
        <w:t>成交供应商无正当理由放弃成交资格的必须按竞价公告等相关规定缴纳相应的平台使用费；</w:t>
      </w:r>
    </w:p>
    <w:p>
      <w:pPr>
        <w:pStyle w:val="30"/>
        <w:numPr>
          <w:ilvl w:val="0"/>
          <w:numId w:val="11"/>
        </w:numPr>
        <w:spacing w:line="360" w:lineRule="auto"/>
        <w:ind w:left="851" w:hanging="425" w:firstLineChars="0"/>
        <w:rPr>
          <w:rFonts w:ascii="宋体" w:hAnsi="宋体"/>
          <w:color w:val="auto"/>
          <w:highlight w:val="none"/>
        </w:rPr>
      </w:pPr>
      <w:r>
        <w:rPr>
          <w:rFonts w:hint="eastAsia" w:ascii="宋体" w:hAnsi="宋体"/>
          <w:color w:val="auto"/>
          <w:szCs w:val="21"/>
          <w:highlight w:val="none"/>
        </w:rPr>
        <w:t>如确实因不可抗力放弃成交资格的，应在不可抗力发生后三个工作日内予以通知采购代理机构并提供相关的证明；如逾期，采购代理机构不予退还平台使用费</w:t>
      </w:r>
      <w:r>
        <w:rPr>
          <w:rFonts w:hint="eastAsia" w:ascii="宋体" w:hAnsi="宋体"/>
          <w:color w:val="auto"/>
          <w:szCs w:val="21"/>
          <w:highlight w:val="none"/>
          <w:lang w:eastAsia="zh-CN"/>
        </w:rPr>
        <w:t>。</w:t>
      </w:r>
    </w:p>
    <w:p>
      <w:pPr>
        <w:pStyle w:val="30"/>
        <w:numPr>
          <w:ilvl w:val="0"/>
          <w:numId w:val="1"/>
        </w:numPr>
        <w:spacing w:line="360" w:lineRule="auto"/>
        <w:ind w:firstLineChars="0"/>
        <w:rPr>
          <w:rFonts w:ascii="宋体" w:hAnsi="宋体"/>
          <w:b/>
          <w:bCs/>
          <w:color w:val="auto"/>
          <w:highlight w:val="none"/>
        </w:rPr>
      </w:pPr>
      <w:r>
        <w:rPr>
          <w:rFonts w:hint="eastAsia" w:ascii="宋体" w:hAnsi="宋体"/>
          <w:b/>
          <w:bCs/>
          <w:color w:val="auto"/>
          <w:highlight w:val="none"/>
        </w:rPr>
        <w:t>联系方式</w:t>
      </w:r>
    </w:p>
    <w:p>
      <w:pPr>
        <w:pStyle w:val="30"/>
        <w:widowControl/>
        <w:spacing w:line="360" w:lineRule="auto"/>
        <w:ind w:left="420" w:firstLine="0" w:firstLineChars="0"/>
        <w:jc w:val="both"/>
        <w:rPr>
          <w:rFonts w:ascii="宋体" w:hAnsi="宋体"/>
          <w:color w:val="auto"/>
          <w:highlight w:val="none"/>
        </w:rPr>
      </w:pPr>
      <w:r>
        <w:rPr>
          <w:rFonts w:ascii="宋体" w:hAnsi="宋体"/>
          <w:color w:val="auto"/>
          <w:highlight w:val="none"/>
        </w:rPr>
        <w:t>扫码关注微信公众号“云采链互联服务平台”，即可在线咨询相关事项</w:t>
      </w:r>
      <w:r>
        <w:rPr>
          <w:rFonts w:hint="eastAsia" w:ascii="宋体" w:hAnsi="宋体"/>
          <w:color w:val="auto"/>
          <w:highlight w:val="none"/>
        </w:rPr>
        <w:t>。</w:t>
      </w:r>
    </w:p>
    <w:p>
      <w:pPr>
        <w:spacing w:line="360" w:lineRule="auto"/>
        <w:jc w:val="center"/>
        <w:rPr>
          <w:rFonts w:ascii="宋体" w:hAnsi="宋体"/>
          <w:color w:val="auto"/>
          <w:highlight w:val="none"/>
        </w:rPr>
      </w:pPr>
      <w:r>
        <w:rPr>
          <w:rFonts w:ascii="宋体" w:hAnsi="宋体"/>
          <w:color w:val="auto"/>
          <w:highlight w:val="none"/>
        </w:rPr>
        <w:drawing>
          <wp:inline distT="0" distB="0" distL="0" distR="0">
            <wp:extent cx="1066800" cy="1066800"/>
            <wp:effectExtent l="0" t="0" r="0" b="0"/>
            <wp:docPr id="1026" name="图片 1"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1" descr="C:\Users\ADMINI~1\AppData\Local\Temp\360zip$Temp\360$2\智采公众号8cm.jpg"/>
                    <pic:cNvPicPr/>
                  </pic:nvPicPr>
                  <pic:blipFill>
                    <a:blip r:embed="rId5" cstate="print"/>
                    <a:srcRect/>
                    <a:stretch>
                      <a:fillRect/>
                    </a:stretch>
                  </pic:blipFill>
                  <pic:spPr>
                    <a:xfrm>
                      <a:off x="0" y="0"/>
                      <a:ext cx="1066800" cy="1066800"/>
                    </a:xfrm>
                    <a:prstGeom prst="rect">
                      <a:avLst/>
                    </a:prstGeom>
                    <a:ln>
                      <a:noFill/>
                    </a:ln>
                  </pic:spPr>
                </pic:pic>
              </a:graphicData>
            </a:graphic>
          </wp:inline>
        </w:drawing>
      </w:r>
      <w:r>
        <w:rPr>
          <w:rFonts w:ascii="宋体" w:hAnsi="宋体"/>
          <w:color w:val="auto"/>
          <w:highlight w:val="none"/>
        </w:rPr>
        <w:br w:type="page"/>
      </w:r>
    </w:p>
    <w:p>
      <w:pPr>
        <w:pStyle w:val="12"/>
        <w:spacing w:before="0" w:after="0" w:line="360" w:lineRule="auto"/>
        <w:jc w:val="center"/>
        <w:rPr>
          <w:rFonts w:ascii="宋体" w:hAnsi="宋体"/>
          <w:color w:val="auto"/>
          <w:highlight w:val="none"/>
        </w:rPr>
      </w:pPr>
      <w:r>
        <w:rPr>
          <w:rFonts w:hint="eastAsia" w:ascii="宋体" w:hAnsi="宋体"/>
          <w:color w:val="auto"/>
          <w:highlight w:val="none"/>
        </w:rPr>
        <w:t>第二章 用户需求书</w:t>
      </w:r>
    </w:p>
    <w:p>
      <w:pPr>
        <w:snapToGrid w:val="0"/>
        <w:spacing w:before="120" w:beforeLines="50" w:line="360" w:lineRule="auto"/>
        <w:ind w:left="517" w:hanging="517" w:hangingChars="245"/>
        <w:rPr>
          <w:rFonts w:ascii="宋体" w:hAnsi="宋体"/>
          <w:b/>
          <w:bCs/>
          <w:color w:val="auto"/>
          <w:szCs w:val="21"/>
          <w:highlight w:val="none"/>
        </w:rPr>
      </w:pPr>
      <w:r>
        <w:rPr>
          <w:rFonts w:hint="eastAsia" w:ascii="宋体" w:hAnsi="宋体" w:cs="宋体"/>
          <w:b/>
          <w:bCs/>
          <w:color w:val="auto"/>
          <w:szCs w:val="21"/>
          <w:highlight w:val="none"/>
        </w:rPr>
        <w:t>说明：</w:t>
      </w:r>
    </w:p>
    <w:p>
      <w:pPr>
        <w:numPr>
          <w:ilvl w:val="0"/>
          <w:numId w:val="12"/>
        </w:numPr>
        <w:snapToGrid w:val="0"/>
        <w:spacing w:before="120" w:beforeLines="50" w:line="360" w:lineRule="auto"/>
        <w:rPr>
          <w:rFonts w:ascii="宋体" w:hAnsi="宋体" w:cs="宋体"/>
          <w:b/>
          <w:bCs/>
          <w:color w:val="auto"/>
          <w:szCs w:val="21"/>
          <w:highlight w:val="none"/>
        </w:rPr>
      </w:pPr>
      <w:r>
        <w:rPr>
          <w:rFonts w:hint="eastAsia" w:ascii="宋体" w:hAnsi="宋体" w:cs="宋体"/>
          <w:b/>
          <w:bCs/>
          <w:color w:val="auto"/>
          <w:szCs w:val="21"/>
          <w:highlight w:val="none"/>
        </w:rPr>
        <w:t>响应供应商须对本项目进行整体响应，任何只对其中一部分进行的响应都被视为无效响应。</w:t>
      </w:r>
    </w:p>
    <w:p>
      <w:pPr>
        <w:pStyle w:val="6"/>
        <w:numPr>
          <w:ilvl w:val="0"/>
          <w:numId w:val="13"/>
        </w:numPr>
        <w:tabs>
          <w:tab w:val="left" w:pos="420"/>
          <w:tab w:val="left" w:pos="540"/>
        </w:tabs>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项目一览表</w:t>
      </w:r>
    </w:p>
    <w:tbl>
      <w:tblPr>
        <w:tblStyle w:val="15"/>
        <w:tblW w:w="87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712"/>
        <w:gridCol w:w="2530"/>
        <w:gridCol w:w="21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3371" w:type="dxa"/>
            <w:shd w:val="clear" w:color="auto" w:fill="EEECE1"/>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712" w:type="dxa"/>
            <w:shd w:val="clear" w:color="auto" w:fill="EEECE1"/>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2530" w:type="dxa"/>
            <w:shd w:val="clear" w:color="auto" w:fill="EEECE1"/>
            <w:vAlign w:val="center"/>
          </w:tcPr>
          <w:p>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w:t>
            </w:r>
          </w:p>
        </w:tc>
        <w:tc>
          <w:tcPr>
            <w:tcW w:w="2100" w:type="dxa"/>
            <w:shd w:val="clear" w:color="auto" w:fill="EEECE1"/>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最高限价（含税）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3371" w:type="dxa"/>
            <w:vAlign w:val="center"/>
          </w:tcPr>
          <w:p>
            <w:pPr>
              <w:spacing w:before="156" w:beforeLines="50"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广州市裕源实业有限公司2024年车间职业病危害因素检测服务项目</w:t>
            </w:r>
          </w:p>
        </w:tc>
        <w:tc>
          <w:tcPr>
            <w:tcW w:w="712" w:type="dxa"/>
            <w:vAlign w:val="center"/>
          </w:tcPr>
          <w:p>
            <w:pPr>
              <w:keepNext/>
              <w:adjustRightInd w:val="0"/>
              <w:spacing w:before="156" w:beforeLines="50" w:after="6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1项</w:t>
            </w:r>
          </w:p>
        </w:tc>
        <w:tc>
          <w:tcPr>
            <w:tcW w:w="2530" w:type="dxa"/>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合同生效</w:t>
            </w:r>
            <w:r>
              <w:rPr>
                <w:rFonts w:hint="eastAsia" w:ascii="宋体" w:hAnsi="宋体" w:eastAsia="宋体" w:cs="宋体"/>
                <w:color w:val="auto"/>
                <w:sz w:val="21"/>
                <w:szCs w:val="21"/>
                <w:highlight w:val="none"/>
              </w:rPr>
              <w:t>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0日内完成职业病危害因素检测</w:t>
            </w:r>
          </w:p>
        </w:tc>
        <w:tc>
          <w:tcPr>
            <w:tcW w:w="2100" w:type="dxa"/>
            <w:vAlign w:val="center"/>
          </w:tcPr>
          <w:p>
            <w:pPr>
              <w:keepNext/>
              <w:adjustRightInd w:val="0"/>
              <w:spacing w:before="156" w:beforeLines="50" w:after="60" w:line="24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u w:val="none"/>
                <w:lang w:val="en-US" w:eastAsia="zh-CN"/>
              </w:rPr>
              <w:t>46895.00</w:t>
            </w:r>
            <w:r>
              <w:rPr>
                <w:rFonts w:hint="eastAsia" w:ascii="宋体" w:hAnsi="宋体" w:eastAsia="宋体" w:cs="宋体"/>
                <w:color w:val="auto"/>
                <w:sz w:val="21"/>
                <w:szCs w:val="21"/>
                <w:highlight w:val="none"/>
              </w:rPr>
              <w:t>元</w:t>
            </w:r>
          </w:p>
        </w:tc>
      </w:tr>
    </w:tbl>
    <w:p>
      <w:pPr>
        <w:pStyle w:val="6"/>
        <w:numPr>
          <w:ilvl w:val="0"/>
          <w:numId w:val="13"/>
        </w:numPr>
        <w:tabs>
          <w:tab w:val="left" w:pos="420"/>
          <w:tab w:val="left" w:pos="540"/>
        </w:tabs>
        <w:adjustRightInd w:val="0"/>
        <w:snapToGrid w:val="0"/>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地点及主要内容</w:t>
      </w:r>
    </w:p>
    <w:p>
      <w:pPr>
        <w:numPr>
          <w:ilvl w:val="0"/>
          <w:numId w:val="14"/>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项目地点：</w:t>
      </w:r>
      <w:r>
        <w:rPr>
          <w:rFonts w:hint="eastAsia" w:ascii="宋体" w:hAnsi="宋体" w:eastAsia="宋体" w:cs="宋体"/>
          <w:color w:val="auto"/>
          <w:sz w:val="21"/>
          <w:szCs w:val="21"/>
          <w:highlight w:val="none"/>
          <w:lang w:val="en-US" w:eastAsia="zh-CN"/>
        </w:rPr>
        <w:t>广州市裕源实业有限公司各生产车间。</w:t>
      </w:r>
    </w:p>
    <w:p>
      <w:pPr>
        <w:numPr>
          <w:ilvl w:val="0"/>
          <w:numId w:val="14"/>
        </w:num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eastAsia="zh-CN"/>
        </w:rPr>
        <w:t>主要内容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根据《广东省监狱系统安全生产工作规定》第一百二十二条规定，“存在职业病危害的场所应委托具有相应资质的服务机构，每年应进行一次职业病危害因素检测”，为准确掌握车间场所职业病危害因素的种类及危害程度，</w:t>
      </w:r>
      <w:r>
        <w:rPr>
          <w:rFonts w:hint="eastAsia" w:ascii="宋体" w:hAnsi="宋体" w:eastAsia="宋体" w:cs="宋体"/>
          <w:color w:val="auto"/>
          <w:sz w:val="21"/>
          <w:szCs w:val="21"/>
          <w:highlight w:val="none"/>
        </w:rPr>
        <w:t>做好</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职业病防治管理工作，不断改善劳动改造环境，预防职业病发生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现需对六个生产车间200</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lang w:val="en-US" w:eastAsia="zh-CN"/>
        </w:rPr>
        <w:t>检测点位进行检测，具体检测内容见项目服务清单。</w:t>
      </w:r>
    </w:p>
    <w:p>
      <w:pPr>
        <w:numPr>
          <w:ilvl w:val="0"/>
          <w:numId w:val="14"/>
        </w:numPr>
        <w:spacing w:line="36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本项目报总价，报价包含：检测服务费、报告编制费、人工差旅费、材料费、税收管理费等全部费用。</w:t>
      </w:r>
    </w:p>
    <w:p>
      <w:pPr>
        <w:pStyle w:val="6"/>
        <w:numPr>
          <w:ilvl w:val="0"/>
          <w:numId w:val="13"/>
        </w:numPr>
        <w:tabs>
          <w:tab w:val="left" w:pos="420"/>
          <w:tab w:val="left" w:pos="540"/>
        </w:tabs>
        <w:adjustRightInd w:val="0"/>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r>
        <w:rPr>
          <w:rFonts w:hint="eastAsia" w:ascii="宋体" w:hAnsi="宋体" w:eastAsia="宋体" w:cs="宋体"/>
          <w:b/>
          <w:bCs/>
          <w:color w:val="auto"/>
          <w:sz w:val="21"/>
          <w:szCs w:val="21"/>
          <w:highlight w:val="none"/>
          <w:lang w:val="en-US" w:eastAsia="zh-CN"/>
        </w:rPr>
        <w:t>服务</w:t>
      </w:r>
      <w:r>
        <w:rPr>
          <w:rFonts w:hint="eastAsia" w:ascii="宋体" w:hAnsi="宋体" w:eastAsia="宋体" w:cs="宋体"/>
          <w:b/>
          <w:bCs/>
          <w:color w:val="auto"/>
          <w:sz w:val="21"/>
          <w:szCs w:val="21"/>
          <w:highlight w:val="none"/>
        </w:rPr>
        <w:t>清单</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4020"/>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Align w:val="center"/>
          </w:tcPr>
          <w:p>
            <w:pPr>
              <w:pStyle w:val="10"/>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因素种类</w:t>
            </w:r>
          </w:p>
        </w:tc>
        <w:tc>
          <w:tcPr>
            <w:tcW w:w="4020" w:type="dxa"/>
            <w:vAlign w:val="center"/>
          </w:tcPr>
          <w:p>
            <w:pPr>
              <w:pStyle w:val="10"/>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职业病危害因素名称</w:t>
            </w:r>
          </w:p>
        </w:tc>
        <w:tc>
          <w:tcPr>
            <w:tcW w:w="2719" w:type="dxa"/>
            <w:vAlign w:val="center"/>
          </w:tcPr>
          <w:p>
            <w:pPr>
              <w:pStyle w:val="10"/>
              <w:numPr>
                <w:ilvl w:val="0"/>
                <w:numId w:val="0"/>
              </w:numPr>
              <w:spacing w:line="240" w:lineRule="auto"/>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检测点位（个）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89" w:type="dxa"/>
            <w:vAlign w:val="center"/>
          </w:tcPr>
          <w:p>
            <w:pPr>
              <w:pStyle w:val="10"/>
              <w:numPr>
                <w:ilvl w:val="0"/>
                <w:numId w:val="0"/>
              </w:numPr>
              <w:spacing w:line="240" w:lineRule="auto"/>
              <w:jc w:val="center"/>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粉尘</w:t>
            </w:r>
          </w:p>
        </w:tc>
        <w:tc>
          <w:tcPr>
            <w:tcW w:w="4020" w:type="dxa"/>
            <w:vAlign w:val="center"/>
          </w:tcPr>
          <w:p>
            <w:pPr>
              <w:pStyle w:val="10"/>
              <w:numPr>
                <w:ilvl w:val="0"/>
                <w:numId w:val="0"/>
              </w:numPr>
              <w:spacing w:line="240" w:lineRule="auto"/>
              <w:jc w:val="center"/>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其他粉尘（总尘）</w:t>
            </w:r>
          </w:p>
        </w:tc>
        <w:tc>
          <w:tcPr>
            <w:tcW w:w="2719" w:type="dxa"/>
            <w:vAlign w:val="center"/>
          </w:tcPr>
          <w:p>
            <w:pPr>
              <w:pStyle w:val="10"/>
              <w:numPr>
                <w:ilvl w:val="0"/>
                <w:numId w:val="0"/>
              </w:numPr>
              <w:spacing w:line="240" w:lineRule="auto"/>
              <w:jc w:val="center"/>
              <w:rPr>
                <w:rFonts w:hint="eastAsia" w:ascii="宋体" w:hAnsi="宋体" w:eastAsia="宋体" w:cs="宋体"/>
                <w:b w:val="0"/>
                <w:bCs w:val="0"/>
                <w:caps w:val="0"/>
                <w:color w:val="auto"/>
                <w:kern w:val="2"/>
                <w:sz w:val="21"/>
                <w:szCs w:val="21"/>
                <w:highlight w:val="none"/>
                <w:lang w:val="en-US" w:eastAsia="zh-CN" w:bidi="ar-SA"/>
              </w:rPr>
            </w:pPr>
            <w:r>
              <w:rPr>
                <w:rFonts w:hint="eastAsia" w:ascii="宋体" w:hAnsi="宋体" w:eastAsia="宋体" w:cs="宋体"/>
                <w:b w:val="0"/>
                <w:bCs w:val="0"/>
                <w:caps w:val="0"/>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8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化学物质</w:t>
            </w: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正己烷</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restart"/>
            <w:vAlign w:val="center"/>
          </w:tcPr>
          <w:p>
            <w:pPr>
              <w:bidi w:val="0"/>
              <w:spacing w:line="240" w:lineRule="auto"/>
              <w:jc w:val="center"/>
              <w:rPr>
                <w:rFonts w:hint="eastAsia" w:ascii="宋体" w:hAnsi="宋体" w:eastAsia="宋体" w:cs="宋体"/>
                <w:color w:val="auto"/>
                <w:sz w:val="21"/>
                <w:szCs w:val="21"/>
                <w:highlight w:val="none"/>
                <w:lang w:val="en-US" w:eastAsia="zh-CN"/>
              </w:rPr>
            </w:pPr>
          </w:p>
          <w:p>
            <w:pPr>
              <w:bidi w:val="0"/>
              <w:spacing w:line="240" w:lineRule="auto"/>
              <w:jc w:val="center"/>
              <w:rPr>
                <w:rFonts w:hint="eastAsia" w:ascii="宋体" w:hAnsi="宋体" w:eastAsia="宋体" w:cs="宋体"/>
                <w:color w:val="auto"/>
                <w:sz w:val="21"/>
                <w:szCs w:val="21"/>
                <w:highlight w:val="none"/>
                <w:lang w:val="en-US" w:eastAsia="zh-CN"/>
              </w:rPr>
            </w:pPr>
          </w:p>
          <w:p>
            <w:pPr>
              <w:bidi w:val="0"/>
              <w:spacing w:line="240" w:lineRule="auto"/>
              <w:jc w:val="center"/>
              <w:rPr>
                <w:rFonts w:hint="eastAsia" w:ascii="宋体" w:hAnsi="宋体" w:eastAsia="宋体" w:cs="宋体"/>
                <w:color w:val="auto"/>
                <w:sz w:val="21"/>
                <w:szCs w:val="21"/>
                <w:highlight w:val="none"/>
                <w:lang w:val="en-US" w:eastAsia="zh-CN"/>
              </w:rPr>
            </w:pPr>
          </w:p>
          <w:p>
            <w:pPr>
              <w:bidi w:val="0"/>
              <w:spacing w:line="240" w:lineRule="auto"/>
              <w:jc w:val="center"/>
              <w:rPr>
                <w:rFonts w:hint="eastAsia" w:ascii="宋体" w:hAnsi="宋体" w:eastAsia="宋体" w:cs="宋体"/>
                <w:color w:val="auto"/>
                <w:sz w:val="21"/>
                <w:szCs w:val="21"/>
                <w:highlight w:val="none"/>
                <w:lang w:val="en-US" w:eastAsia="zh-CN"/>
              </w:rPr>
            </w:pPr>
          </w:p>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化学物质</w:t>
            </w: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2-丁酮</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环己酮</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苯乙烯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丙烯酸正丁酯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二氯甲烷</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辛烷</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乙酸丁酯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正丁醇</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正庚烷</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二氯化锡</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异丙醇</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甲基丙烯酸甲酯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乙醚</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乙酸乙烯酯</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restart"/>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物理因素</w:t>
            </w: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噪声</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9" w:type="dxa"/>
            <w:vMerge w:val="continue"/>
            <w:vAlign w:val="center"/>
          </w:tcPr>
          <w:p>
            <w:pPr>
              <w:bidi w:val="0"/>
              <w:spacing w:line="240" w:lineRule="auto"/>
              <w:jc w:val="center"/>
              <w:rPr>
                <w:rFonts w:hint="eastAsia" w:ascii="宋体" w:hAnsi="宋体" w:eastAsia="宋体" w:cs="宋体"/>
                <w:color w:val="auto"/>
                <w:sz w:val="21"/>
                <w:szCs w:val="21"/>
                <w:highlight w:val="none"/>
                <w:lang w:val="en-US" w:eastAsia="zh-CN"/>
              </w:rPr>
            </w:pPr>
          </w:p>
        </w:tc>
        <w:tc>
          <w:tcPr>
            <w:tcW w:w="4020"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高温</w:t>
            </w:r>
          </w:p>
        </w:tc>
        <w:tc>
          <w:tcPr>
            <w:tcW w:w="2719" w:type="dxa"/>
            <w:vAlign w:val="center"/>
          </w:tcPr>
          <w:p>
            <w:pPr>
              <w:bidi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以上具体数据如与现场有出入，以现场实际为准。根据检测情況比对检测依据，提出措施建议，经过全面的分析针对现阶段存在的职业病防护措施的不足，综合提出控制职业病危害的具体补充措施与建议</w:t>
      </w:r>
      <w:r>
        <w:rPr>
          <w:rFonts w:hint="eastAsia" w:ascii="宋体" w:hAnsi="宋体" w:eastAsia="宋体" w:cs="宋体"/>
          <w:color w:val="auto"/>
          <w:sz w:val="21"/>
          <w:szCs w:val="21"/>
          <w:highlight w:val="none"/>
          <w:lang w:eastAsia="zh-CN"/>
        </w:rPr>
        <w:t>。</w:t>
      </w:r>
    </w:p>
    <w:p>
      <w:pPr>
        <w:pStyle w:val="6"/>
        <w:numPr>
          <w:ilvl w:val="0"/>
          <w:numId w:val="0"/>
        </w:numPr>
        <w:tabs>
          <w:tab w:val="left" w:pos="540"/>
        </w:tabs>
        <w:adjustRightInd w:val="0"/>
        <w:snapToGrid w:val="0"/>
        <w:spacing w:before="156" w:beforeLines="50" w:line="360" w:lineRule="auto"/>
        <w:ind w:leftChars="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服务期限及付款</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成交接到通知书十五天内</w:t>
      </w:r>
      <w:r>
        <w:rPr>
          <w:rFonts w:hint="eastAsia" w:ascii="宋体" w:hAnsi="宋体" w:eastAsia="宋体" w:cs="宋体"/>
          <w:color w:val="auto"/>
          <w:sz w:val="21"/>
          <w:szCs w:val="21"/>
          <w:highlight w:val="none"/>
        </w:rPr>
        <w:t>双方</w:t>
      </w:r>
      <w:r>
        <w:rPr>
          <w:rFonts w:hint="eastAsia" w:ascii="宋体" w:hAnsi="宋体" w:eastAsia="宋体" w:cs="宋体"/>
          <w:color w:val="auto"/>
          <w:sz w:val="21"/>
          <w:szCs w:val="21"/>
          <w:highlight w:val="none"/>
          <w:lang w:eastAsia="zh-CN"/>
        </w:rPr>
        <w:t>在</w:t>
      </w:r>
      <w:r>
        <w:rPr>
          <w:rFonts w:hint="eastAsia" w:ascii="宋体" w:hAnsi="宋体" w:eastAsia="宋体" w:cs="宋体"/>
          <w:color w:val="auto"/>
          <w:sz w:val="21"/>
          <w:szCs w:val="21"/>
          <w:highlight w:val="none"/>
        </w:rPr>
        <w:t>签订</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，合同生效</w:t>
      </w:r>
      <w:r>
        <w:rPr>
          <w:rFonts w:hint="eastAsia" w:ascii="宋体" w:hAnsi="宋体" w:eastAsia="宋体" w:cs="宋体"/>
          <w:color w:val="auto"/>
          <w:sz w:val="21"/>
          <w:szCs w:val="21"/>
          <w:highlight w:val="none"/>
        </w:rPr>
        <w:t>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0日内完成职业病危害因素检测项目</w:t>
      </w:r>
      <w:r>
        <w:rPr>
          <w:rFonts w:hint="eastAsia" w:ascii="宋体" w:hAnsi="宋体" w:eastAsia="宋体" w:cs="宋体"/>
          <w:color w:val="auto"/>
          <w:sz w:val="21"/>
          <w:szCs w:val="21"/>
          <w:highlight w:val="none"/>
          <w:lang w:eastAsia="zh-CN"/>
        </w:rPr>
        <w:t>，并出具检测报告。</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2、成交供应商在双方规定时间内</w:t>
      </w:r>
      <w:r>
        <w:rPr>
          <w:rFonts w:hint="eastAsia" w:ascii="宋体" w:hAnsi="宋体" w:eastAsia="宋体" w:cs="宋体"/>
          <w:color w:val="auto"/>
          <w:sz w:val="21"/>
          <w:szCs w:val="21"/>
          <w:highlight w:val="none"/>
          <w:lang w:eastAsia="zh-CN"/>
        </w:rPr>
        <w:t>交</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份纸质检测报告到采购人。</w:t>
      </w:r>
    </w:p>
    <w:p>
      <w:pPr>
        <w:spacing w:line="360" w:lineRule="auto"/>
        <w:ind w:firstLine="420" w:firstLineChars="20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3、付款方式：</w:t>
      </w:r>
      <w:r>
        <w:rPr>
          <w:rFonts w:hint="eastAsia" w:ascii="宋体" w:hAnsi="宋体" w:eastAsia="宋体" w:cs="宋体"/>
          <w:color w:val="auto"/>
          <w:sz w:val="21"/>
          <w:szCs w:val="21"/>
          <w:highlight w:val="none"/>
        </w:rPr>
        <w:t>完成检测任务并出具</w:t>
      </w:r>
      <w:r>
        <w:rPr>
          <w:rFonts w:hint="eastAsia" w:ascii="宋体" w:hAnsi="宋体" w:eastAsia="宋体" w:cs="宋体"/>
          <w:color w:val="auto"/>
          <w:sz w:val="21"/>
          <w:szCs w:val="21"/>
          <w:highlight w:val="none"/>
          <w:lang w:eastAsia="zh-CN"/>
        </w:rPr>
        <w:t>纸质</w:t>
      </w:r>
      <w:r>
        <w:rPr>
          <w:rFonts w:hint="eastAsia" w:ascii="宋体" w:hAnsi="宋体" w:eastAsia="宋体" w:cs="宋体"/>
          <w:color w:val="auto"/>
          <w:sz w:val="21"/>
          <w:szCs w:val="21"/>
          <w:highlight w:val="none"/>
        </w:rPr>
        <w:t>报告</w:t>
      </w: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color w:val="auto"/>
          <w:sz w:val="21"/>
          <w:szCs w:val="21"/>
          <w:highlight w:val="none"/>
        </w:rPr>
        <w:t>一并开具</w:t>
      </w:r>
      <w:r>
        <w:rPr>
          <w:rFonts w:hint="eastAsia" w:ascii="宋体" w:hAnsi="宋体" w:eastAsia="宋体" w:cs="宋体"/>
          <w:color w:val="auto"/>
          <w:kern w:val="0"/>
          <w:sz w:val="21"/>
          <w:szCs w:val="21"/>
          <w:highlight w:val="none"/>
        </w:rPr>
        <w:t>与合同款等额的增值税专用</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eastAsia="zh-CN"/>
        </w:rPr>
        <w:t>给采购人后，采购人</w:t>
      </w:r>
      <w:r>
        <w:rPr>
          <w:rFonts w:hint="eastAsia" w:ascii="宋体" w:hAnsi="宋体" w:eastAsia="宋体" w:cs="宋体"/>
          <w:b w:val="0"/>
          <w:bCs w:val="0"/>
          <w:color w:val="auto"/>
          <w:kern w:val="2"/>
          <w:sz w:val="21"/>
          <w:szCs w:val="21"/>
          <w:highlight w:val="none"/>
          <w:lang w:val="en-US" w:eastAsia="zh-CN" w:bidi="ar-SA"/>
        </w:rPr>
        <w:t>在20个工作日内一次性支付服务费。</w:t>
      </w:r>
    </w:p>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12"/>
        <w:spacing w:before="0" w:after="0"/>
        <w:rPr>
          <w:color w:val="auto"/>
          <w:highlight w:val="none"/>
          <w:lang w:val="zh-CN"/>
        </w:rPr>
      </w:pPr>
      <w:r>
        <w:rPr>
          <w:rFonts w:hint="eastAsia"/>
          <w:color w:val="auto"/>
          <w:highlight w:val="none"/>
          <w:lang w:val="zh-CN"/>
        </w:rPr>
        <w:t>第三章 报价附件</w:t>
      </w:r>
    </w:p>
    <w:p>
      <w:pPr>
        <w:pStyle w:val="2"/>
        <w:spacing w:before="0" w:after="0"/>
        <w:jc w:val="center"/>
        <w:rPr>
          <w:color w:val="auto"/>
          <w:sz w:val="36"/>
          <w:szCs w:val="36"/>
          <w:highlight w:val="none"/>
          <w:lang w:val="zh-CN"/>
        </w:rPr>
      </w:pPr>
      <w:r>
        <w:rPr>
          <w:rFonts w:hint="eastAsia"/>
          <w:color w:val="auto"/>
          <w:highlight w:val="none"/>
          <w:lang w:val="zh-CN"/>
        </w:rPr>
        <w:t>报 价 表</w:t>
      </w:r>
    </w:p>
    <w:tbl>
      <w:tblPr>
        <w:tblStyle w:val="15"/>
        <w:tblW w:w="7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700"/>
        <w:gridCol w:w="1913"/>
        <w:gridCol w:w="1655"/>
        <w:gridCol w:w="10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2380" w:type="dxa"/>
            <w:shd w:val="clear" w:color="auto" w:fill="EEECE1"/>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700" w:type="dxa"/>
            <w:shd w:val="clear" w:color="auto" w:fill="EEECE1"/>
            <w:vAlign w:val="center"/>
          </w:tcPr>
          <w:p>
            <w:pPr>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1913" w:type="dxa"/>
            <w:shd w:val="clear" w:color="auto" w:fill="EEECE1"/>
            <w:vAlign w:val="center"/>
          </w:tcPr>
          <w:p>
            <w:pPr>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服务期</w:t>
            </w:r>
          </w:p>
        </w:tc>
        <w:tc>
          <w:tcPr>
            <w:tcW w:w="1655" w:type="dxa"/>
            <w:shd w:val="clear" w:color="auto" w:fill="EEECE1"/>
            <w:vAlign w:val="center"/>
          </w:tcPr>
          <w:p>
            <w:pPr>
              <w:spacing w:line="240" w:lineRule="auto"/>
              <w:jc w:val="center"/>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报价</w:t>
            </w:r>
          </w:p>
          <w:p>
            <w:pPr>
              <w:spacing w:line="240" w:lineRule="auto"/>
              <w:jc w:val="center"/>
              <w:rPr>
                <w:rFonts w:hint="eastAsia" w:ascii="宋体" w:hAnsi="宋体" w:eastAsia="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（人民币 元）</w:t>
            </w:r>
          </w:p>
        </w:tc>
        <w:tc>
          <w:tcPr>
            <w:tcW w:w="1019" w:type="dxa"/>
            <w:shd w:val="clear" w:color="auto" w:fill="EEECE1"/>
            <w:vAlign w:val="center"/>
          </w:tcPr>
          <w:p>
            <w:pPr>
              <w:spacing w:line="240" w:lineRule="auto"/>
              <w:jc w:val="center"/>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380" w:type="dxa"/>
            <w:vAlign w:val="center"/>
          </w:tcPr>
          <w:p>
            <w:pPr>
              <w:spacing w:before="156" w:beforeLines="50"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广州市裕源实业有限公司2024年车间职业病危害因素检测服务项目</w:t>
            </w:r>
          </w:p>
        </w:tc>
        <w:tc>
          <w:tcPr>
            <w:tcW w:w="700" w:type="dxa"/>
            <w:vAlign w:val="center"/>
          </w:tcPr>
          <w:p>
            <w:pPr>
              <w:keepNext/>
              <w:adjustRightInd w:val="0"/>
              <w:spacing w:before="156" w:beforeLines="50" w:after="60" w:line="240" w:lineRule="auto"/>
              <w:jc w:val="center"/>
              <w:textAlignment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1项</w:t>
            </w:r>
          </w:p>
        </w:tc>
        <w:tc>
          <w:tcPr>
            <w:tcW w:w="1913" w:type="dxa"/>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合同生效</w:t>
            </w:r>
            <w:r>
              <w:rPr>
                <w:rFonts w:hint="eastAsia" w:ascii="宋体" w:hAnsi="宋体" w:eastAsia="宋体" w:cs="宋体"/>
                <w:color w:val="auto"/>
                <w:sz w:val="21"/>
                <w:szCs w:val="21"/>
                <w:highlight w:val="none"/>
              </w:rPr>
              <w:t>之日</w:t>
            </w:r>
            <w:r>
              <w:rPr>
                <w:rFonts w:hint="eastAsia" w:ascii="宋体" w:hAnsi="宋体" w:eastAsia="宋体" w:cs="宋体"/>
                <w:color w:val="auto"/>
                <w:sz w:val="21"/>
                <w:szCs w:val="21"/>
                <w:highlight w:val="none"/>
                <w:lang w:eastAsia="zh-CN"/>
              </w:rPr>
              <w:t>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0日内完成职业病危害因素检测</w:t>
            </w:r>
          </w:p>
        </w:tc>
        <w:tc>
          <w:tcPr>
            <w:tcW w:w="1655" w:type="dxa"/>
            <w:vAlign w:val="center"/>
          </w:tcPr>
          <w:p>
            <w:pPr>
              <w:keepNext/>
              <w:adjustRightInd w:val="0"/>
              <w:spacing w:before="156" w:beforeLines="50" w:after="60" w:line="240" w:lineRule="auto"/>
              <w:jc w:val="center"/>
              <w:textAlignment w:val="center"/>
              <w:rPr>
                <w:rFonts w:hint="eastAsia" w:ascii="宋体" w:hAnsi="宋体" w:eastAsia="宋体" w:cs="宋体"/>
                <w:color w:val="auto"/>
                <w:sz w:val="21"/>
                <w:szCs w:val="21"/>
                <w:highlight w:val="none"/>
              </w:rPr>
            </w:pPr>
          </w:p>
        </w:tc>
        <w:tc>
          <w:tcPr>
            <w:tcW w:w="1019" w:type="dxa"/>
            <w:vAlign w:val="center"/>
          </w:tcPr>
          <w:p>
            <w:pPr>
              <w:keepNext/>
              <w:adjustRightInd w:val="0"/>
              <w:spacing w:before="156" w:beforeLines="50" w:after="60" w:line="240" w:lineRule="auto"/>
              <w:jc w:val="center"/>
              <w:textAlignment w:val="center"/>
              <w:rPr>
                <w:rFonts w:hint="eastAsia" w:ascii="宋体" w:hAnsi="宋体" w:eastAsia="宋体" w:cs="宋体"/>
                <w:color w:val="auto"/>
                <w:sz w:val="21"/>
                <w:szCs w:val="21"/>
                <w:highlight w:val="none"/>
              </w:rPr>
            </w:pPr>
          </w:p>
        </w:tc>
      </w:tr>
    </w:tbl>
    <w:p>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pPr>
        <w:pStyle w:val="11"/>
        <w:numPr>
          <w:ilvl w:val="0"/>
          <w:numId w:val="15"/>
        </w:numPr>
        <w:shd w:val="clear" w:color="auto" w:fill="FFFFFF"/>
        <w:spacing w:before="0" w:beforeAutospacing="0" w:after="0" w:afterAutospacing="0" w:line="276" w:lineRule="auto"/>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b/>
          <w:bCs/>
          <w:color w:val="auto"/>
          <w:sz w:val="21"/>
          <w:szCs w:val="21"/>
          <w:highlight w:val="none"/>
          <w:u w:val="single"/>
        </w:rPr>
        <w:t>供应商必须按报价表的格式填写，不得增加或删除表格内容。除金额或项目要求填写的内容外，不得擅自改动报价表内容，</w:t>
      </w:r>
      <w:r>
        <w:rPr>
          <w:rFonts w:hint="eastAsia" w:asciiTheme="minorEastAsia" w:hAnsiTheme="minorEastAsia"/>
          <w:b/>
          <w:bCs/>
          <w:color w:val="auto"/>
          <w:sz w:val="21"/>
          <w:szCs w:val="21"/>
          <w:highlight w:val="none"/>
        </w:rPr>
        <w:t>否则将有可能影响成交结果，不推荐为成交候选人</w:t>
      </w:r>
      <w:r>
        <w:rPr>
          <w:rFonts w:hint="eastAsia" w:asciiTheme="minorEastAsia" w:hAnsiTheme="minorEastAsia" w:eastAsiaTheme="minorEastAsia"/>
          <w:b/>
          <w:bCs/>
          <w:color w:val="auto"/>
          <w:sz w:val="21"/>
          <w:szCs w:val="21"/>
          <w:highlight w:val="none"/>
          <w:u w:val="single"/>
        </w:rPr>
        <w:t>；</w:t>
      </w:r>
    </w:p>
    <w:p>
      <w:pPr>
        <w:pStyle w:val="11"/>
        <w:numPr>
          <w:ilvl w:val="0"/>
          <w:numId w:val="15"/>
        </w:numPr>
        <w:shd w:val="clear" w:color="auto" w:fill="FFFFFF"/>
        <w:spacing w:before="0" w:beforeAutospacing="0" w:after="0" w:afterAutospacing="0" w:line="276" w:lineRule="auto"/>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所有价格均系用人民币表示，单位为元，</w:t>
      </w:r>
      <w:r>
        <w:rPr>
          <w:rFonts w:hint="eastAsia" w:asciiTheme="minorEastAsia" w:hAnsiTheme="minorEastAsia" w:eastAsiaTheme="minorEastAsia"/>
          <w:b/>
          <w:bCs/>
          <w:color w:val="auto"/>
          <w:sz w:val="21"/>
          <w:szCs w:val="21"/>
          <w:highlight w:val="none"/>
        </w:rPr>
        <w:t>均为含税价</w:t>
      </w:r>
      <w:r>
        <w:rPr>
          <w:rFonts w:hint="eastAsia" w:asciiTheme="minorEastAsia" w:hAnsiTheme="minorEastAsia" w:eastAsiaTheme="minorEastAsia"/>
          <w:b/>
          <w:color w:val="auto"/>
          <w:sz w:val="21"/>
          <w:szCs w:val="21"/>
          <w:highlight w:val="none"/>
        </w:rPr>
        <w:t>；</w:t>
      </w:r>
    </w:p>
    <w:p>
      <w:pPr>
        <w:pStyle w:val="11"/>
        <w:numPr>
          <w:ilvl w:val="0"/>
          <w:numId w:val="15"/>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平台上报价与报价表不一致的，以报价表（经价格核准后的价格）为准。</w:t>
      </w:r>
    </w:p>
    <w:p>
      <w:pPr>
        <w:pStyle w:val="11"/>
        <w:numPr>
          <w:ilvl w:val="0"/>
          <w:numId w:val="15"/>
        </w:numPr>
        <w:shd w:val="clear" w:color="auto" w:fill="FFFFFF"/>
        <w:spacing w:before="0" w:beforeAutospacing="0" w:after="0" w:afterAutospacing="0" w:line="276" w:lineRule="auto"/>
        <w:rPr>
          <w:rFonts w:hint="eastAsia"/>
          <w:b/>
          <w:color w:val="auto"/>
          <w:sz w:val="21"/>
          <w:szCs w:val="21"/>
          <w:highlight w:val="none"/>
        </w:rPr>
      </w:pPr>
      <w:r>
        <w:rPr>
          <w:rFonts w:hint="eastAsia"/>
          <w:b/>
          <w:color w:val="auto"/>
          <w:sz w:val="21"/>
          <w:szCs w:val="21"/>
          <w:highlight w:val="none"/>
        </w:rPr>
        <w:t>报价表必须加盖单位公章，否则视为无效报价。</w:t>
      </w:r>
    </w:p>
    <w:p>
      <w:pPr>
        <w:pStyle w:val="11"/>
        <w:numPr>
          <w:ilvl w:val="0"/>
          <w:numId w:val="0"/>
        </w:numPr>
        <w:shd w:val="clear" w:color="auto" w:fill="FFFFFF"/>
        <w:spacing w:before="0" w:beforeAutospacing="0" w:after="0" w:afterAutospacing="0" w:line="276" w:lineRule="auto"/>
        <w:ind w:leftChars="0"/>
        <w:rPr>
          <w:b/>
          <w:color w:val="auto"/>
          <w:sz w:val="21"/>
          <w:szCs w:val="21"/>
          <w:highlight w:val="none"/>
        </w:rPr>
      </w:pPr>
    </w:p>
    <w:p>
      <w:pPr>
        <w:wordWrap w:val="0"/>
        <w:spacing w:line="360" w:lineRule="auto"/>
        <w:ind w:right="218"/>
        <w:jc w:val="right"/>
        <w:rPr>
          <w:rFonts w:ascii="宋体" w:hAnsi="宋体"/>
          <w:color w:val="auto"/>
          <w:spacing w:val="4"/>
          <w:szCs w:val="21"/>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pPr>
        <w:rPr>
          <w:rFonts w:hint="eastAsia" w:ascii="宋体" w:hAnsi="宋体" w:eastAsia="宋体"/>
          <w:color w:val="auto"/>
          <w:highlight w:val="none"/>
        </w:rPr>
      </w:pPr>
    </w:p>
    <w:p>
      <w:pPr>
        <w:rPr>
          <w:rFonts w:hint="eastAsia" w:ascii="宋体" w:hAnsi="宋体" w:eastAsia="宋体"/>
          <w:color w:val="auto"/>
          <w:highlight w:val="none"/>
        </w:rPr>
      </w:pPr>
      <w:r>
        <w:rPr>
          <w:rFonts w:hint="eastAsia" w:ascii="宋体" w:hAnsi="宋体" w:eastAsia="宋体"/>
          <w:color w:val="auto"/>
          <w:highlight w:val="none"/>
        </w:rPr>
        <w:br w:type="page"/>
      </w:r>
    </w:p>
    <w:p>
      <w:pPr>
        <w:pStyle w:val="2"/>
        <w:keepLines w:val="0"/>
        <w:spacing w:before="0" w:after="240" w:line="360" w:lineRule="auto"/>
        <w:ind w:firstLine="0" w:firstLineChars="0"/>
        <w:jc w:val="center"/>
        <w:rPr>
          <w:rFonts w:ascii="宋体" w:hAnsi="宋体" w:eastAsia="宋体"/>
          <w:color w:val="auto"/>
          <w:highlight w:val="none"/>
        </w:rPr>
      </w:pPr>
      <w:r>
        <w:rPr>
          <w:rFonts w:hint="eastAsia" w:ascii="宋体" w:hAnsi="宋体" w:eastAsia="宋体"/>
          <w:color w:val="auto"/>
          <w:highlight w:val="none"/>
        </w:rPr>
        <w:t>用户需求书响应声明函</w:t>
      </w:r>
    </w:p>
    <w:p>
      <w:pPr>
        <w:spacing w:line="360" w:lineRule="auto"/>
        <w:rPr>
          <w:rFonts w:ascii="宋体" w:hAnsi="宋体"/>
          <w:b/>
          <w:color w:val="auto"/>
          <w:szCs w:val="21"/>
          <w:highlight w:val="none"/>
        </w:rPr>
      </w:pPr>
      <w:r>
        <w:rPr>
          <w:rFonts w:hint="eastAsia" w:ascii="宋体" w:hAnsi="宋体"/>
          <w:b/>
          <w:color w:val="auto"/>
          <w:szCs w:val="21"/>
          <w:highlight w:val="none"/>
        </w:rPr>
        <w:t>致：</w:t>
      </w:r>
      <w:r>
        <w:rPr>
          <w:rFonts w:hint="eastAsia" w:ascii="宋体" w:hAnsi="宋体"/>
          <w:b/>
          <w:color w:val="auto"/>
          <w:szCs w:val="21"/>
          <w:highlight w:val="none"/>
          <w:lang w:eastAsia="zh-CN"/>
        </w:rPr>
        <w:t>广州市裕源实业有限公司</w:t>
      </w:r>
      <w:r>
        <w:rPr>
          <w:rFonts w:hint="eastAsia" w:ascii="宋体" w:hAnsi="宋体"/>
          <w:b/>
          <w:color w:val="auto"/>
          <w:szCs w:val="21"/>
          <w:highlight w:val="none"/>
        </w:rPr>
        <w:t>、</w:t>
      </w:r>
      <w:r>
        <w:rPr>
          <w:rFonts w:ascii="宋体" w:hAnsi="宋体"/>
          <w:b/>
          <w:color w:val="auto"/>
          <w:szCs w:val="21"/>
          <w:highlight w:val="none"/>
        </w:rPr>
        <w:t>云采链（广州）信息科技有限公司</w:t>
      </w:r>
    </w:p>
    <w:p>
      <w:pPr>
        <w:spacing w:line="360" w:lineRule="auto"/>
        <w:rPr>
          <w:rFonts w:ascii="宋体" w:hAnsi="宋体"/>
          <w:color w:val="auto"/>
          <w:highlight w:val="none"/>
          <w:lang w:val="zh-CN"/>
        </w:rPr>
      </w:pP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关于贵单位、贵司发布</w:t>
      </w:r>
      <w:r>
        <w:rPr>
          <w:rFonts w:hint="eastAsia" w:ascii="宋体" w:hAnsi="宋体"/>
          <w:color w:val="auto"/>
          <w:szCs w:val="21"/>
          <w:highlight w:val="none"/>
          <w:u w:val="single"/>
        </w:rPr>
        <w:t xml:space="preserve"> </w:t>
      </w:r>
      <w:r>
        <w:rPr>
          <w:rFonts w:hint="eastAsia" w:ascii="宋体" w:hAnsi="宋体" w:cs="宋体"/>
          <w:b/>
          <w:bCs/>
          <w:color w:val="auto"/>
          <w:sz w:val="21"/>
          <w:szCs w:val="21"/>
          <w:highlight w:val="none"/>
          <w:u w:val="single"/>
          <w:lang w:eastAsia="zh-CN"/>
        </w:rPr>
        <w:t>广州市裕源实业有限公司2024年车间职业病危害因素检测服务项目</w:t>
      </w:r>
      <w:r>
        <w:rPr>
          <w:rFonts w:hint="eastAsia" w:ascii="宋体" w:hAnsi="宋体"/>
          <w:b/>
          <w:bCs/>
          <w:color w:val="auto"/>
          <w:szCs w:val="21"/>
          <w:highlight w:val="none"/>
          <w:u w:val="single"/>
        </w:rPr>
        <w:t xml:space="preserve"> </w:t>
      </w:r>
      <w:r>
        <w:rPr>
          <w:rFonts w:hint="eastAsia" w:ascii="宋体" w:hAnsi="宋体"/>
          <w:color w:val="auto"/>
          <w:szCs w:val="21"/>
          <w:highlight w:val="none"/>
        </w:rPr>
        <w:t>的竞价公告，本公司（企业）愿意参加采购活动，并作出如下声明：</w:t>
      </w:r>
    </w:p>
    <w:p>
      <w:pPr>
        <w:pStyle w:val="33"/>
        <w:tabs>
          <w:tab w:val="left" w:pos="426"/>
        </w:tabs>
        <w:snapToGrid w:val="0"/>
        <w:spacing w:line="360" w:lineRule="auto"/>
        <w:rPr>
          <w:rFonts w:ascii="宋体" w:hAnsi="宋体"/>
          <w:color w:val="auto"/>
          <w:highlight w:val="none"/>
        </w:rPr>
      </w:pPr>
      <w:r>
        <w:rPr>
          <w:rFonts w:hint="eastAsia" w:ascii="宋体" w:hAnsi="宋体"/>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3"/>
        <w:tabs>
          <w:tab w:val="left" w:pos="426"/>
        </w:tabs>
        <w:snapToGrid w:val="0"/>
        <w:spacing w:line="360" w:lineRule="auto"/>
        <w:rPr>
          <w:rFonts w:ascii="宋体" w:hAnsi="宋体"/>
          <w:color w:val="auto"/>
          <w:highlight w:val="none"/>
        </w:rPr>
      </w:pPr>
      <w:r>
        <w:rPr>
          <w:rFonts w:hint="eastAsia" w:ascii="宋体" w:hAnsi="宋体"/>
          <w:color w:val="auto"/>
          <w:highlight w:val="none"/>
        </w:rPr>
        <w:t>本公司（企业）承诺在本次采购活动中，如有违法、违规、弄虚作假行为，所造成的损失、不良后果及法律责任，一律由</w:t>
      </w:r>
      <w:r>
        <w:rPr>
          <w:rFonts w:hint="eastAsia" w:ascii="宋体" w:hAnsi="宋体"/>
          <w:color w:val="auto"/>
          <w:szCs w:val="21"/>
          <w:highlight w:val="none"/>
        </w:rPr>
        <w:t>本公司（企业）</w:t>
      </w:r>
      <w:r>
        <w:rPr>
          <w:rFonts w:hint="eastAsia" w:ascii="宋体" w:hAnsi="宋体"/>
          <w:color w:val="auto"/>
          <w:highlight w:val="none"/>
        </w:rPr>
        <w:t>承担。</w:t>
      </w:r>
    </w:p>
    <w:p>
      <w:pPr>
        <w:autoSpaceDE w:val="0"/>
        <w:autoSpaceDN w:val="0"/>
        <w:adjustRightInd w:val="0"/>
        <w:spacing w:line="360" w:lineRule="auto"/>
        <w:ind w:firstLine="413" w:firstLineChars="196"/>
        <w:rPr>
          <w:rFonts w:ascii="宋体" w:hAnsi="宋体"/>
          <w:b/>
          <w:color w:val="auto"/>
          <w:highlight w:val="none"/>
        </w:rPr>
      </w:pPr>
    </w:p>
    <w:p>
      <w:pPr>
        <w:autoSpaceDE w:val="0"/>
        <w:autoSpaceDN w:val="0"/>
        <w:adjustRightInd w:val="0"/>
        <w:spacing w:line="360" w:lineRule="auto"/>
        <w:ind w:firstLine="413" w:firstLineChars="196"/>
        <w:rPr>
          <w:rFonts w:ascii="宋体" w:hAnsi="宋体"/>
          <w:b/>
          <w:color w:val="auto"/>
          <w:highlight w:val="none"/>
        </w:rPr>
      </w:pPr>
      <w:r>
        <w:rPr>
          <w:rFonts w:hint="eastAsia" w:ascii="宋体" w:hAnsi="宋体"/>
          <w:b/>
          <w:color w:val="auto"/>
          <w:highlight w:val="none"/>
        </w:rPr>
        <w:t>备注：</w:t>
      </w:r>
    </w:p>
    <w:p>
      <w:pPr>
        <w:pStyle w:val="30"/>
        <w:numPr>
          <w:ilvl w:val="0"/>
          <w:numId w:val="16"/>
        </w:numPr>
        <w:autoSpaceDE w:val="0"/>
        <w:autoSpaceDN w:val="0"/>
        <w:adjustRightInd w:val="0"/>
        <w:spacing w:line="360" w:lineRule="auto"/>
        <w:ind w:left="1196" w:hanging="357" w:firstLineChars="0"/>
        <w:rPr>
          <w:rFonts w:ascii="宋体" w:hAnsi="宋体"/>
          <w:color w:val="auto"/>
          <w:highlight w:val="none"/>
        </w:rPr>
      </w:pPr>
      <w:r>
        <w:rPr>
          <w:rFonts w:hint="eastAsia" w:ascii="宋体" w:hAnsi="宋体"/>
          <w:color w:val="auto"/>
          <w:highlight w:val="none"/>
        </w:rPr>
        <w:t>本声明函必须提供且内容不得擅自删改，否则视为响应无效。</w:t>
      </w:r>
    </w:p>
    <w:p>
      <w:pPr>
        <w:pStyle w:val="30"/>
        <w:numPr>
          <w:ilvl w:val="0"/>
          <w:numId w:val="16"/>
        </w:numPr>
        <w:snapToGrid w:val="0"/>
        <w:spacing w:line="360" w:lineRule="auto"/>
        <w:ind w:left="1196" w:hanging="357" w:firstLineChars="0"/>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widowControl/>
        <w:spacing w:line="360" w:lineRule="auto"/>
        <w:jc w:val="both"/>
        <w:rPr>
          <w:rFonts w:ascii="宋体" w:hAnsi="宋体"/>
          <w:b/>
          <w:bCs/>
          <w:color w:val="auto"/>
          <w:kern w:val="0"/>
          <w:sz w:val="32"/>
          <w:szCs w:val="32"/>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pPr>
        <w:widowControl/>
        <w:jc w:val="both"/>
        <w:rPr>
          <w:rFonts w:ascii="宋体" w:hAnsi="宋体"/>
          <w:color w:val="auto"/>
          <w:szCs w:val="21"/>
          <w:highlight w:val="none"/>
        </w:rPr>
      </w:pPr>
      <w:r>
        <w:rPr>
          <w:rFonts w:ascii="宋体" w:hAnsi="宋体"/>
          <w:color w:val="auto"/>
          <w:szCs w:val="21"/>
          <w:highlight w:val="none"/>
        </w:rPr>
        <w:br w:type="page"/>
      </w:r>
    </w:p>
    <w:p>
      <w:pPr>
        <w:keepNext/>
        <w:keepLines/>
        <w:spacing w:before="260" w:after="260" w:line="360" w:lineRule="auto"/>
        <w:jc w:val="center"/>
        <w:outlineLvl w:val="1"/>
        <w:rPr>
          <w:rFonts w:ascii="宋体" w:hAnsi="宋体"/>
          <w:color w:val="auto"/>
          <w:szCs w:val="21"/>
          <w:highlight w:val="none"/>
          <w:u w:val="single"/>
        </w:rPr>
      </w:pPr>
      <w:r>
        <w:rPr>
          <w:rFonts w:hint="eastAsia" w:ascii="宋体" w:hAnsi="宋体"/>
          <w:b/>
          <w:bCs/>
          <w:color w:val="auto"/>
          <w:sz w:val="32"/>
          <w:szCs w:val="32"/>
          <w:highlight w:val="none"/>
        </w:rPr>
        <w:t>供应商资格声明函</w:t>
      </w:r>
    </w:p>
    <w:p>
      <w:pPr>
        <w:autoSpaceDE w:val="0"/>
        <w:autoSpaceDN w:val="0"/>
        <w:adjustRightInd w:val="0"/>
        <w:spacing w:before="240" w:after="240" w:afterLines="100" w:line="360" w:lineRule="auto"/>
        <w:jc w:val="both"/>
        <w:rPr>
          <w:rFonts w:ascii="宋体" w:hAnsi="宋体"/>
          <w:b/>
          <w:color w:val="auto"/>
          <w:kern w:val="0"/>
          <w:szCs w:val="21"/>
          <w:highlight w:val="none"/>
        </w:rPr>
      </w:pPr>
      <w:r>
        <w:rPr>
          <w:rFonts w:hint="eastAsia" w:ascii="宋体" w:hAnsi="宋体"/>
          <w:b/>
          <w:color w:val="auto"/>
          <w:kern w:val="0"/>
          <w:szCs w:val="21"/>
          <w:highlight w:val="none"/>
        </w:rPr>
        <w:t>致：</w:t>
      </w:r>
      <w:r>
        <w:rPr>
          <w:rFonts w:hint="eastAsia" w:ascii="宋体" w:hAnsi="宋体"/>
          <w:b/>
          <w:color w:val="auto"/>
          <w:szCs w:val="21"/>
          <w:highlight w:val="none"/>
          <w:lang w:eastAsia="zh-CN"/>
        </w:rPr>
        <w:t>广州市裕源实业有限公司</w:t>
      </w:r>
      <w:r>
        <w:rPr>
          <w:rFonts w:hint="eastAsia" w:ascii="宋体" w:hAnsi="宋体"/>
          <w:b/>
          <w:color w:val="auto"/>
          <w:kern w:val="0"/>
          <w:szCs w:val="21"/>
          <w:highlight w:val="none"/>
        </w:rPr>
        <w:t>、云采链（广州）信息科技有限公司</w:t>
      </w:r>
    </w:p>
    <w:p>
      <w:pPr>
        <w:snapToGrid w:val="0"/>
        <w:spacing w:line="360" w:lineRule="auto"/>
        <w:ind w:firstLine="424" w:firstLineChars="202"/>
        <w:rPr>
          <w:rFonts w:ascii="宋体" w:hAnsi="宋体"/>
          <w:color w:val="auto"/>
          <w:szCs w:val="21"/>
          <w:highlight w:val="none"/>
        </w:rPr>
      </w:pPr>
      <w:r>
        <w:rPr>
          <w:rFonts w:hint="eastAsia" w:ascii="宋体" w:hAnsi="宋体" w:cs="宋体"/>
          <w:color w:val="auto"/>
          <w:szCs w:val="21"/>
          <w:highlight w:val="none"/>
        </w:rPr>
        <w:t>关于贵单位、贵司发布</w:t>
      </w:r>
      <w:r>
        <w:rPr>
          <w:rFonts w:hint="eastAsia" w:ascii="宋体" w:hAnsi="宋体" w:cs="宋体"/>
          <w:b/>
          <w:bCs/>
          <w:color w:val="auto"/>
          <w:szCs w:val="21"/>
          <w:highlight w:val="none"/>
          <w:u w:val="single"/>
        </w:rPr>
        <w:t xml:space="preserve"> </w:t>
      </w:r>
      <w:r>
        <w:rPr>
          <w:rFonts w:hint="eastAsia" w:ascii="宋体" w:hAnsi="宋体" w:cs="宋体"/>
          <w:b/>
          <w:bCs/>
          <w:color w:val="auto"/>
          <w:sz w:val="21"/>
          <w:szCs w:val="21"/>
          <w:highlight w:val="none"/>
          <w:u w:val="single"/>
          <w:lang w:eastAsia="zh-CN"/>
        </w:rPr>
        <w:t>广州市裕源实业有限公司2024年车间职业病危害因素检测服务项目</w:t>
      </w:r>
      <w:r>
        <w:rPr>
          <w:rFonts w:hint="eastAsia" w:ascii="宋体" w:hAnsi="宋体"/>
          <w:b/>
          <w:bCs/>
          <w:color w:val="auto"/>
          <w:szCs w:val="21"/>
          <w:highlight w:val="none"/>
          <w:u w:val="single"/>
        </w:rPr>
        <w:t xml:space="preserve"> </w:t>
      </w:r>
      <w:r>
        <w:rPr>
          <w:rFonts w:hint="eastAsia" w:ascii="宋体" w:hAnsi="宋体"/>
          <w:bCs/>
          <w:color w:val="auto"/>
          <w:szCs w:val="21"/>
          <w:highlight w:val="none"/>
        </w:rPr>
        <w:t>的</w:t>
      </w:r>
      <w:r>
        <w:rPr>
          <w:rFonts w:hint="eastAsia" w:ascii="宋体" w:hAnsi="宋体"/>
          <w:color w:val="auto"/>
          <w:szCs w:val="21"/>
          <w:highlight w:val="none"/>
        </w:rPr>
        <w:t>采购公告，本公司（企业）愿意参加竞价，并声明：</w:t>
      </w:r>
    </w:p>
    <w:p>
      <w:pPr>
        <w:snapToGrid w:val="0"/>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一、本公司（企业）</w:t>
      </w:r>
      <w:r>
        <w:rPr>
          <w:rFonts w:hint="eastAsia" w:ascii="宋体" w:hAnsi="宋体"/>
          <w:bCs/>
          <w:color w:val="auto"/>
          <w:szCs w:val="21"/>
          <w:highlight w:val="none"/>
        </w:rPr>
        <w:t>具备《中华人民共和国政府采购法》第二十二条规定的条件：</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（一）具有独立承担民事责任的能力；</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（二）具有良好的商业信誉和健全的财务会计制度；</w:t>
      </w:r>
      <w:r>
        <w:rPr>
          <w:rFonts w:ascii="宋体" w:hAnsi="宋体" w:cs="宋体"/>
          <w:color w:val="auto"/>
          <w:kern w:val="0"/>
          <w:szCs w:val="21"/>
          <w:highlight w:val="none"/>
        </w:rPr>
        <w:t xml:space="preserve"> </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（三）具有履行合同所必需的设备和专业技术能力；</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（四）有依法缴纳税收和社会保障资金的良好记录；</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（五）参加政府采购活动前三年内，在经营活动中没有重大违法记录；</w:t>
      </w:r>
    </w:p>
    <w:p>
      <w:pPr>
        <w:widowControl/>
        <w:spacing w:line="360" w:lineRule="auto"/>
        <w:ind w:firstLine="360"/>
        <w:rPr>
          <w:rFonts w:ascii="宋体" w:hAnsi="宋体" w:cs="宋体"/>
          <w:color w:val="auto"/>
          <w:kern w:val="0"/>
          <w:szCs w:val="21"/>
          <w:highlight w:val="none"/>
        </w:rPr>
      </w:pPr>
      <w:r>
        <w:rPr>
          <w:rFonts w:hint="eastAsia" w:ascii="宋体" w:hAnsi="宋体" w:cs="宋体"/>
          <w:color w:val="auto"/>
          <w:kern w:val="0"/>
          <w:szCs w:val="21"/>
          <w:highlight w:val="none"/>
        </w:rPr>
        <w:t>（六）法律、行政法规规定的其他条件。</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highlight w:val="none"/>
        </w:rPr>
        <w:t>本公司（企业）</w:t>
      </w:r>
      <w:r>
        <w:rPr>
          <w:rFonts w:hint="eastAsia" w:ascii="宋体" w:hAnsi="宋体"/>
          <w:color w:val="auto"/>
          <w:szCs w:val="21"/>
          <w:highlight w:val="none"/>
        </w:rPr>
        <w:t>具有本次采购项目服务能力。</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w:t>
      </w:r>
      <w:r>
        <w:rPr>
          <w:rFonts w:hint="eastAsia" w:ascii="宋体" w:hAnsi="宋体"/>
          <w:color w:val="auto"/>
          <w:highlight w:val="none"/>
        </w:rPr>
        <w:t>本公司（企业）</w:t>
      </w:r>
      <w:r>
        <w:rPr>
          <w:rFonts w:hint="eastAsia" w:ascii="宋体" w:hAnsi="宋体"/>
          <w:color w:val="auto"/>
          <w:szCs w:val="21"/>
          <w:highlight w:val="none"/>
        </w:rPr>
        <w:t>有固定的经营场所，信誉良好、售后维护服务好，并且在经营活动中无严重违法记录。</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四、</w:t>
      </w:r>
      <w:r>
        <w:rPr>
          <w:rFonts w:hint="eastAsia" w:ascii="宋体" w:hAnsi="宋体"/>
          <w:color w:val="auto"/>
          <w:highlight w:val="none"/>
        </w:rPr>
        <w:t>本公司（企业）</w:t>
      </w:r>
      <w:r>
        <w:rPr>
          <w:rFonts w:hint="eastAsia" w:ascii="宋体" w:hAnsi="宋体"/>
          <w:color w:val="auto"/>
          <w:szCs w:val="21"/>
          <w:highlight w:val="none"/>
        </w:rPr>
        <w:t>在本项目中不转包不分包且不联合竞价。</w:t>
      </w:r>
    </w:p>
    <w:p>
      <w:pPr>
        <w:snapToGrid w:val="0"/>
        <w:spacing w:line="360" w:lineRule="auto"/>
        <w:ind w:firstLine="424" w:firstLineChars="202"/>
        <w:rPr>
          <w:rFonts w:ascii="宋体" w:hAnsi="宋体"/>
          <w:color w:val="auto"/>
          <w:szCs w:val="24"/>
          <w:highlight w:val="none"/>
        </w:rPr>
      </w:pPr>
      <w:r>
        <w:rPr>
          <w:rFonts w:hint="eastAsia" w:ascii="宋体" w:hAnsi="宋体"/>
          <w:color w:val="auto"/>
          <w:szCs w:val="24"/>
          <w:highlight w:val="none"/>
          <w:lang w:val="en-US" w:eastAsia="zh-CN"/>
        </w:rPr>
        <w:t>五</w:t>
      </w:r>
      <w:r>
        <w:rPr>
          <w:rFonts w:hint="eastAsia" w:ascii="宋体" w:hAnsi="宋体"/>
          <w:color w:val="auto"/>
          <w:szCs w:val="24"/>
          <w:highlight w:val="none"/>
        </w:rPr>
        <w:t>、本公司（企业）没有为采购项目同一合同项下提供整体设计、规范编制或者项目管理、监理、检测等服务。</w:t>
      </w:r>
    </w:p>
    <w:p>
      <w:pPr>
        <w:snapToGrid w:val="0"/>
        <w:spacing w:line="360" w:lineRule="auto"/>
        <w:ind w:firstLine="424" w:firstLineChars="202"/>
        <w:rPr>
          <w:rFonts w:hint="eastAsia" w:ascii="宋体" w:hAnsi="宋体" w:eastAsia="宋体"/>
          <w:color w:val="auto"/>
          <w:szCs w:val="21"/>
          <w:highlight w:val="none"/>
          <w:lang w:eastAsia="zh-CN"/>
        </w:rPr>
      </w:pPr>
      <w:r>
        <w:rPr>
          <w:rFonts w:hint="eastAsia" w:ascii="宋体" w:hAnsi="宋体"/>
          <w:color w:val="auto"/>
          <w:szCs w:val="24"/>
          <w:highlight w:val="none"/>
          <w:lang w:val="en-US" w:eastAsia="zh-CN"/>
        </w:rPr>
        <w:t>六</w:t>
      </w:r>
      <w:r>
        <w:rPr>
          <w:rFonts w:hint="eastAsia" w:ascii="宋体" w:hAnsi="宋体"/>
          <w:color w:val="auto"/>
          <w:szCs w:val="24"/>
          <w:highlight w:val="none"/>
        </w:rPr>
        <w:t>、本公司（企业）的法定代表人或单位负责人与所参投的本项目其他供应商的法定代表人或单位负责人不为同一人且与其他供应商之间不存在直接控股、管理关系</w:t>
      </w:r>
      <w:r>
        <w:rPr>
          <w:rFonts w:hint="eastAsia" w:ascii="宋体" w:hAnsi="宋体"/>
          <w:color w:val="auto"/>
          <w:szCs w:val="24"/>
          <w:highlight w:val="none"/>
          <w:lang w:eastAsia="zh-CN"/>
        </w:rPr>
        <w:t>。</w:t>
      </w:r>
    </w:p>
    <w:p>
      <w:pPr>
        <w:snapToGrid w:val="0"/>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本公司（企业）承诺在本次采购活动中，如有违法、违规、弄虚作假行为，所造成的损失、不良后果及法律责任，一律由</w:t>
      </w:r>
      <w:r>
        <w:rPr>
          <w:rFonts w:hint="eastAsia" w:ascii="宋体" w:hAnsi="宋体"/>
          <w:color w:val="auto"/>
          <w:highlight w:val="none"/>
        </w:rPr>
        <w:t>本公司（企业）</w:t>
      </w:r>
      <w:r>
        <w:rPr>
          <w:rFonts w:hint="eastAsia" w:ascii="宋体" w:hAnsi="宋体"/>
          <w:color w:val="auto"/>
          <w:szCs w:val="21"/>
          <w:highlight w:val="none"/>
        </w:rPr>
        <w:t>承担。</w:t>
      </w:r>
    </w:p>
    <w:p>
      <w:pPr>
        <w:spacing w:line="360" w:lineRule="auto"/>
        <w:ind w:firstLine="420"/>
        <w:rPr>
          <w:rFonts w:ascii="宋体" w:hAnsi="宋体"/>
          <w:color w:val="auto"/>
          <w:szCs w:val="21"/>
          <w:highlight w:val="none"/>
        </w:rPr>
      </w:pPr>
      <w:r>
        <w:rPr>
          <w:rFonts w:hint="eastAsia" w:ascii="宋体" w:hAnsi="宋体"/>
          <w:color w:val="auto"/>
          <w:szCs w:val="21"/>
          <w:highlight w:val="none"/>
        </w:rPr>
        <w:t>特此声明！</w:t>
      </w:r>
    </w:p>
    <w:p>
      <w:pPr>
        <w:autoSpaceDE w:val="0"/>
        <w:autoSpaceDN w:val="0"/>
        <w:adjustRightInd w:val="0"/>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备注：</w:t>
      </w:r>
    </w:p>
    <w:p>
      <w:pPr>
        <w:numPr>
          <w:ilvl w:val="0"/>
          <w:numId w:val="17"/>
        </w:numPr>
        <w:tabs>
          <w:tab w:val="left" w:pos="1200"/>
        </w:tabs>
        <w:autoSpaceDE w:val="0"/>
        <w:autoSpaceDN w:val="0"/>
        <w:adjustRightInd w:val="0"/>
        <w:spacing w:line="360" w:lineRule="auto"/>
        <w:rPr>
          <w:rFonts w:ascii="宋体" w:hAnsi="宋体"/>
          <w:color w:val="auto"/>
          <w:szCs w:val="21"/>
          <w:highlight w:val="none"/>
        </w:rPr>
      </w:pPr>
      <w:r>
        <w:rPr>
          <w:rFonts w:hint="eastAsia" w:ascii="宋体" w:hAnsi="宋体"/>
          <w:color w:val="auto"/>
          <w:szCs w:val="21"/>
          <w:highlight w:val="none"/>
        </w:rPr>
        <w:t>本声明函必须提供且内容不得擅自删改，否则视为响应无效。</w:t>
      </w:r>
    </w:p>
    <w:p>
      <w:pPr>
        <w:numPr>
          <w:ilvl w:val="0"/>
          <w:numId w:val="17"/>
        </w:numPr>
        <w:tabs>
          <w:tab w:val="left" w:pos="1200"/>
        </w:tabs>
        <w:snapToGrid w:val="0"/>
        <w:spacing w:line="360" w:lineRule="auto"/>
        <w:rPr>
          <w:rFonts w:ascii="宋体" w:hAnsi="宋体"/>
          <w:color w:val="auto"/>
          <w:szCs w:val="21"/>
          <w:highlight w:val="none"/>
        </w:rPr>
      </w:pPr>
      <w:r>
        <w:rPr>
          <w:rFonts w:hint="eastAsia" w:ascii="宋体" w:hAnsi="宋体"/>
          <w:color w:val="auto"/>
          <w:szCs w:val="21"/>
          <w:highlight w:val="none"/>
        </w:rPr>
        <w:t>本声明函如有虚假或与事实不符的，作无效报价处理。</w:t>
      </w:r>
    </w:p>
    <w:p>
      <w:pPr>
        <w:pStyle w:val="30"/>
        <w:spacing w:line="360" w:lineRule="auto"/>
        <w:rPr>
          <w:color w:val="auto"/>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pPr>
        <w:rPr>
          <w:color w:val="auto"/>
          <w:highlight w:val="none"/>
          <w:u w:val="none" w:color="auto"/>
        </w:rPr>
      </w:pPr>
    </w:p>
    <w:bookmarkEnd w:id="0"/>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decimal"/>
      <w:lvlText w:val="%2."/>
      <w:lvlJc w:val="left"/>
      <w:pPr>
        <w:ind w:left="846" w:hanging="420"/>
      </w:pPr>
      <w:rPr>
        <w:rFonts w:hint="default" w:ascii="宋体" w:hAnsi="宋体" w:eastAsia="宋体" w:cs="宋体"/>
        <w:sz w:val="21"/>
        <w:szCs w:val="21"/>
      </w:rPr>
    </w:lvl>
    <w:lvl w:ilvl="2" w:tentative="0">
      <w:start w:val="1"/>
      <w:numFmt w:val="lowerRoman"/>
      <w:lvlText w:val="%3."/>
      <w:lvlJc w:val="right"/>
      <w:pPr>
        <w:ind w:left="1260" w:hanging="420"/>
      </w:pPr>
      <w:rPr>
        <w:rFonts w:hint="eastAsia"/>
      </w:rPr>
    </w:lvl>
    <w:lvl w:ilvl="3" w:tentative="0">
      <w:start w:val="4"/>
      <w:numFmt w:val="japaneseCounting"/>
      <w:lvlText w:val="%4、"/>
      <w:lvlJc w:val="left"/>
      <w:pPr>
        <w:ind w:left="862" w:hanging="72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0000005"/>
    <w:multiLevelType w:val="multilevel"/>
    <w:tmpl w:val="00000005"/>
    <w:lvl w:ilvl="0" w:tentative="0">
      <w:start w:val="1"/>
      <w:numFmt w:val="decimal"/>
      <w:lvlText w:val="%1."/>
      <w:lvlJc w:val="left"/>
      <w:pPr>
        <w:ind w:left="420" w:hanging="420"/>
      </w:pPr>
      <w:rPr>
        <w:rFonts w:hint="eastAsia"/>
      </w:rPr>
    </w:lvl>
    <w:lvl w:ilvl="1" w:tentative="0">
      <w:start w:val="3"/>
      <w:numFmt w:val="japaneseCounting"/>
      <w:lvlText w:val="%2、"/>
      <w:lvlJc w:val="left"/>
      <w:pPr>
        <w:ind w:left="450" w:hanging="450"/>
      </w:pPr>
      <w:rPr>
        <w:rFonts w:hint="default"/>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0000008"/>
    <w:multiLevelType w:val="multilevel"/>
    <w:tmpl w:val="00000008"/>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4">
    <w:nsid w:val="00000009"/>
    <w:multiLevelType w:val="multilevel"/>
    <w:tmpl w:val="00000009"/>
    <w:lvl w:ilvl="0" w:tentative="0">
      <w:start w:val="1"/>
      <w:numFmt w:val="chineseCountingThousand"/>
      <w:suff w:val="nothing"/>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000000B"/>
    <w:multiLevelType w:val="multilevel"/>
    <w:tmpl w:val="0000000B"/>
    <w:lvl w:ilvl="0" w:tentative="0">
      <w:start w:val="1"/>
      <w:numFmt w:val="decimal"/>
      <w:lvlText w:val="%1."/>
      <w:lvlJc w:val="left"/>
      <w:pPr>
        <w:ind w:left="704" w:hanging="420"/>
      </w:pPr>
      <w:rPr>
        <w:rFonts w:hint="eastAsia"/>
      </w:rPr>
    </w:lvl>
    <w:lvl w:ilvl="1" w:tentative="0">
      <w:start w:val="1"/>
      <w:numFmt w:val="lowerLetter"/>
      <w:lvlText w:val="%2)"/>
      <w:lvlJc w:val="left"/>
      <w:pPr>
        <w:ind w:left="1544" w:hanging="420"/>
      </w:pPr>
      <w:rPr>
        <w:rFonts w:hint="eastAsia"/>
      </w:rPr>
    </w:lvl>
    <w:lvl w:ilvl="2" w:tentative="0">
      <w:start w:val="1"/>
      <w:numFmt w:val="lowerRoman"/>
      <w:lvlText w:val="%3."/>
      <w:lvlJc w:val="right"/>
      <w:pPr>
        <w:ind w:left="1964" w:hanging="420"/>
      </w:pPr>
      <w:rPr>
        <w:rFonts w:hint="eastAsia"/>
      </w:rPr>
    </w:lvl>
    <w:lvl w:ilvl="3" w:tentative="0">
      <w:start w:val="1"/>
      <w:numFmt w:val="decimal"/>
      <w:lvlText w:val="%4."/>
      <w:lvlJc w:val="left"/>
      <w:pPr>
        <w:ind w:left="2384" w:hanging="420"/>
      </w:pPr>
      <w:rPr>
        <w:rFonts w:hint="eastAsia"/>
      </w:rPr>
    </w:lvl>
    <w:lvl w:ilvl="4" w:tentative="0">
      <w:start w:val="1"/>
      <w:numFmt w:val="lowerLetter"/>
      <w:lvlText w:val="%5)"/>
      <w:lvlJc w:val="left"/>
      <w:pPr>
        <w:ind w:left="2804" w:hanging="420"/>
      </w:pPr>
      <w:rPr>
        <w:rFonts w:hint="eastAsia"/>
      </w:rPr>
    </w:lvl>
    <w:lvl w:ilvl="5" w:tentative="0">
      <w:start w:val="1"/>
      <w:numFmt w:val="lowerRoman"/>
      <w:lvlText w:val="%6."/>
      <w:lvlJc w:val="right"/>
      <w:pPr>
        <w:ind w:left="3224" w:hanging="420"/>
      </w:pPr>
      <w:rPr>
        <w:rFonts w:hint="eastAsia"/>
      </w:rPr>
    </w:lvl>
    <w:lvl w:ilvl="6" w:tentative="0">
      <w:start w:val="1"/>
      <w:numFmt w:val="decimal"/>
      <w:lvlText w:val="%7."/>
      <w:lvlJc w:val="left"/>
      <w:pPr>
        <w:ind w:left="3644" w:hanging="420"/>
      </w:pPr>
      <w:rPr>
        <w:rFonts w:hint="eastAsia"/>
      </w:rPr>
    </w:lvl>
    <w:lvl w:ilvl="7" w:tentative="0">
      <w:start w:val="1"/>
      <w:numFmt w:val="lowerLetter"/>
      <w:lvlText w:val="%8)"/>
      <w:lvlJc w:val="left"/>
      <w:pPr>
        <w:ind w:left="4064" w:hanging="420"/>
      </w:pPr>
      <w:rPr>
        <w:rFonts w:hint="eastAsia"/>
      </w:rPr>
    </w:lvl>
    <w:lvl w:ilvl="8" w:tentative="0">
      <w:start w:val="1"/>
      <w:numFmt w:val="lowerRoman"/>
      <w:lvlText w:val="%9."/>
      <w:lvlJc w:val="right"/>
      <w:pPr>
        <w:ind w:left="4484" w:hanging="420"/>
      </w:pPr>
      <w:rPr>
        <w:rFonts w:hint="eastAsia"/>
      </w:rPr>
    </w:lvl>
  </w:abstractNum>
  <w:abstractNum w:abstractNumId="6">
    <w:nsid w:val="0000000C"/>
    <w:multiLevelType w:val="multilevel"/>
    <w:tmpl w:val="0000000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000000E"/>
    <w:multiLevelType w:val="multilevel"/>
    <w:tmpl w:val="0000000E"/>
    <w:lvl w:ilvl="0" w:tentative="0">
      <w:start w:val="1"/>
      <w:numFmt w:val="decimal"/>
      <w:suff w:val="nothing"/>
      <w:lvlText w:val="%1."/>
      <w:lvlJc w:val="left"/>
      <w:pPr>
        <w:ind w:left="420" w:hanging="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8">
    <w:nsid w:val="00000011"/>
    <w:multiLevelType w:val="multilevel"/>
    <w:tmpl w:val="0000001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0000012"/>
    <w:multiLevelType w:val="multilevel"/>
    <w:tmpl w:val="00000012"/>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0">
    <w:nsid w:val="00000014"/>
    <w:multiLevelType w:val="multilevel"/>
    <w:tmpl w:val="00000014"/>
    <w:lvl w:ilvl="0" w:tentative="0">
      <w:start w:val="1"/>
      <w:numFmt w:val="decimal"/>
      <w:lvlText w:val="%1."/>
      <w:lvlJc w:val="left"/>
      <w:pPr>
        <w:ind w:left="987" w:hanging="420"/>
      </w:pPr>
      <w:rPr>
        <w:rFonts w:hint="eastAsia"/>
      </w:rPr>
    </w:lvl>
    <w:lvl w:ilvl="1" w:tentative="0">
      <w:start w:val="1"/>
      <w:numFmt w:val="lowerLetter"/>
      <w:lvlText w:val="%2)"/>
      <w:lvlJc w:val="left"/>
      <w:pPr>
        <w:ind w:left="1827" w:hanging="420"/>
      </w:pPr>
      <w:rPr>
        <w:rFonts w:hint="eastAsia"/>
      </w:rPr>
    </w:lvl>
    <w:lvl w:ilvl="2" w:tentative="0">
      <w:start w:val="1"/>
      <w:numFmt w:val="lowerRoman"/>
      <w:lvlText w:val="%3."/>
      <w:lvlJc w:val="right"/>
      <w:pPr>
        <w:ind w:left="2247" w:hanging="420"/>
      </w:pPr>
      <w:rPr>
        <w:rFonts w:hint="eastAsia"/>
      </w:rPr>
    </w:lvl>
    <w:lvl w:ilvl="3" w:tentative="0">
      <w:start w:val="1"/>
      <w:numFmt w:val="decimal"/>
      <w:lvlText w:val="%4."/>
      <w:lvlJc w:val="left"/>
      <w:pPr>
        <w:ind w:left="2667" w:hanging="420"/>
      </w:pPr>
      <w:rPr>
        <w:rFonts w:hint="eastAsia"/>
      </w:rPr>
    </w:lvl>
    <w:lvl w:ilvl="4" w:tentative="0">
      <w:start w:val="1"/>
      <w:numFmt w:val="lowerLetter"/>
      <w:lvlText w:val="%5)"/>
      <w:lvlJc w:val="left"/>
      <w:pPr>
        <w:ind w:left="3087" w:hanging="420"/>
      </w:pPr>
      <w:rPr>
        <w:rFonts w:hint="eastAsia"/>
      </w:rPr>
    </w:lvl>
    <w:lvl w:ilvl="5" w:tentative="0">
      <w:start w:val="1"/>
      <w:numFmt w:val="lowerRoman"/>
      <w:lvlText w:val="%6."/>
      <w:lvlJc w:val="right"/>
      <w:pPr>
        <w:ind w:left="3507" w:hanging="420"/>
      </w:pPr>
      <w:rPr>
        <w:rFonts w:hint="eastAsia"/>
      </w:rPr>
    </w:lvl>
    <w:lvl w:ilvl="6" w:tentative="0">
      <w:start w:val="1"/>
      <w:numFmt w:val="decimal"/>
      <w:lvlText w:val="%7."/>
      <w:lvlJc w:val="left"/>
      <w:pPr>
        <w:ind w:left="3927" w:hanging="420"/>
      </w:pPr>
      <w:rPr>
        <w:rFonts w:hint="eastAsia"/>
      </w:rPr>
    </w:lvl>
    <w:lvl w:ilvl="7" w:tentative="0">
      <w:start w:val="1"/>
      <w:numFmt w:val="lowerLetter"/>
      <w:lvlText w:val="%8)"/>
      <w:lvlJc w:val="left"/>
      <w:pPr>
        <w:ind w:left="4347" w:hanging="420"/>
      </w:pPr>
      <w:rPr>
        <w:rFonts w:hint="eastAsia"/>
      </w:rPr>
    </w:lvl>
    <w:lvl w:ilvl="8" w:tentative="0">
      <w:start w:val="1"/>
      <w:numFmt w:val="lowerRoman"/>
      <w:lvlText w:val="%9."/>
      <w:lvlJc w:val="right"/>
      <w:pPr>
        <w:ind w:left="4767" w:hanging="420"/>
      </w:pPr>
      <w:rPr>
        <w:rFonts w:hint="eastAsia"/>
      </w:rPr>
    </w:lvl>
  </w:abstractNum>
  <w:abstractNum w:abstractNumId="11">
    <w:nsid w:val="00000018"/>
    <w:multiLevelType w:val="multilevel"/>
    <w:tmpl w:val="00000018"/>
    <w:lvl w:ilvl="0" w:tentative="0">
      <w:start w:val="1"/>
      <w:numFmt w:val="decimal"/>
      <w:lvlText w:val="%1."/>
      <w:lvlJc w:val="left"/>
      <w:pPr>
        <w:ind w:left="987" w:hanging="420"/>
      </w:pPr>
      <w:rPr>
        <w:rFonts w:hint="eastAsia"/>
        <w:color w:val="auto"/>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
    <w:nsid w:val="00000019"/>
    <w:multiLevelType w:val="multilevel"/>
    <w:tmpl w:val="00000019"/>
    <w:lvl w:ilvl="0" w:tentative="0">
      <w:start w:val="1"/>
      <w:numFmt w:val="decimal"/>
      <w:lvlText w:val="%1."/>
      <w:lvlJc w:val="left"/>
      <w:pPr>
        <w:ind w:left="426" w:hanging="420"/>
      </w:pPr>
      <w:rPr>
        <w:rFonts w:hint="eastAsia"/>
      </w:rPr>
    </w:lvl>
    <w:lvl w:ilvl="1" w:tentative="0">
      <w:start w:val="1"/>
      <w:numFmt w:val="lowerLetter"/>
      <w:lvlText w:val="%2)"/>
      <w:lvlJc w:val="left"/>
      <w:pPr>
        <w:ind w:left="846" w:hanging="420"/>
      </w:pPr>
      <w:rPr>
        <w:rFonts w:hint="eastAsia"/>
      </w:rPr>
    </w:lvl>
    <w:lvl w:ilvl="2" w:tentative="0">
      <w:start w:val="1"/>
      <w:numFmt w:val="lowerRoman"/>
      <w:lvlText w:val="%3."/>
      <w:lvlJc w:val="right"/>
      <w:pPr>
        <w:ind w:left="1266" w:hanging="420"/>
      </w:pPr>
      <w:rPr>
        <w:rFonts w:hint="eastAsia"/>
      </w:rPr>
    </w:lvl>
    <w:lvl w:ilvl="3" w:tentative="0">
      <w:start w:val="1"/>
      <w:numFmt w:val="decimal"/>
      <w:lvlText w:val="%4."/>
      <w:lvlJc w:val="left"/>
      <w:pPr>
        <w:ind w:left="1686" w:hanging="420"/>
      </w:pPr>
      <w:rPr>
        <w:rFonts w:hint="eastAsia"/>
      </w:rPr>
    </w:lvl>
    <w:lvl w:ilvl="4" w:tentative="0">
      <w:start w:val="1"/>
      <w:numFmt w:val="lowerLetter"/>
      <w:lvlText w:val="%5)"/>
      <w:lvlJc w:val="left"/>
      <w:pPr>
        <w:ind w:left="2106" w:hanging="420"/>
      </w:pPr>
      <w:rPr>
        <w:rFonts w:hint="eastAsia"/>
      </w:rPr>
    </w:lvl>
    <w:lvl w:ilvl="5" w:tentative="0">
      <w:start w:val="1"/>
      <w:numFmt w:val="lowerRoman"/>
      <w:lvlText w:val="%6."/>
      <w:lvlJc w:val="right"/>
      <w:pPr>
        <w:ind w:left="2526" w:hanging="420"/>
      </w:pPr>
      <w:rPr>
        <w:rFonts w:hint="eastAsia"/>
      </w:rPr>
    </w:lvl>
    <w:lvl w:ilvl="6" w:tentative="0">
      <w:start w:val="1"/>
      <w:numFmt w:val="decimal"/>
      <w:lvlText w:val="%7."/>
      <w:lvlJc w:val="left"/>
      <w:pPr>
        <w:ind w:left="2946" w:hanging="420"/>
      </w:pPr>
      <w:rPr>
        <w:rFonts w:hint="eastAsia"/>
      </w:rPr>
    </w:lvl>
    <w:lvl w:ilvl="7" w:tentative="0">
      <w:start w:val="1"/>
      <w:numFmt w:val="lowerLetter"/>
      <w:lvlText w:val="%8)"/>
      <w:lvlJc w:val="left"/>
      <w:pPr>
        <w:ind w:left="3366" w:hanging="420"/>
      </w:pPr>
      <w:rPr>
        <w:rFonts w:hint="eastAsia"/>
      </w:rPr>
    </w:lvl>
    <w:lvl w:ilvl="8" w:tentative="0">
      <w:start w:val="1"/>
      <w:numFmt w:val="lowerRoman"/>
      <w:lvlText w:val="%9."/>
      <w:lvlJc w:val="right"/>
      <w:pPr>
        <w:ind w:left="3786" w:hanging="420"/>
      </w:pPr>
      <w:rPr>
        <w:rFonts w:hint="eastAsia"/>
      </w:rPr>
    </w:lvl>
  </w:abstractNum>
  <w:abstractNum w:abstractNumId="13">
    <w:nsid w:val="03DD5FD5"/>
    <w:multiLevelType w:val="multilevel"/>
    <w:tmpl w:val="03DD5FD5"/>
    <w:lvl w:ilvl="0" w:tentative="0">
      <w:start w:val="1"/>
      <w:numFmt w:val="decimal"/>
      <w:lvlText w:val="%1."/>
      <w:lvlJc w:val="left"/>
      <w:pPr>
        <w:tabs>
          <w:tab w:val="left" w:pos="851"/>
        </w:tabs>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F5943F0"/>
    <w:multiLevelType w:val="multilevel"/>
    <w:tmpl w:val="7F5943F0"/>
    <w:lvl w:ilvl="0" w:tentative="0">
      <w:start w:val="1"/>
      <w:numFmt w:val="decimal"/>
      <w:lvlText w:val="%1."/>
      <w:lvlJc w:val="left"/>
      <w:pPr>
        <w:ind w:left="846" w:hanging="420"/>
      </w:pPr>
      <w:rPr>
        <w:rFonts w:hint="eastAsia"/>
      </w:rPr>
    </w:lvl>
    <w:lvl w:ilvl="1" w:tentative="0">
      <w:start w:val="1"/>
      <w:numFmt w:val="lowerLetter"/>
      <w:lvlText w:val="%2)"/>
      <w:lvlJc w:val="left"/>
      <w:pPr>
        <w:ind w:left="1686" w:hanging="420"/>
      </w:pPr>
      <w:rPr>
        <w:rFonts w:hint="eastAsia"/>
      </w:rPr>
    </w:lvl>
    <w:lvl w:ilvl="2" w:tentative="0">
      <w:start w:val="1"/>
      <w:numFmt w:val="lowerRoman"/>
      <w:lvlText w:val="%3."/>
      <w:lvlJc w:val="right"/>
      <w:pPr>
        <w:ind w:left="2106" w:hanging="420"/>
      </w:pPr>
      <w:rPr>
        <w:rFonts w:hint="eastAsia"/>
      </w:rPr>
    </w:lvl>
    <w:lvl w:ilvl="3" w:tentative="0">
      <w:start w:val="1"/>
      <w:numFmt w:val="decimal"/>
      <w:lvlText w:val="%4."/>
      <w:lvlJc w:val="left"/>
      <w:pPr>
        <w:ind w:left="2526" w:hanging="420"/>
      </w:pPr>
      <w:rPr>
        <w:rFonts w:hint="eastAsia"/>
      </w:rPr>
    </w:lvl>
    <w:lvl w:ilvl="4" w:tentative="0">
      <w:start w:val="1"/>
      <w:numFmt w:val="lowerLetter"/>
      <w:lvlText w:val="%5)"/>
      <w:lvlJc w:val="left"/>
      <w:pPr>
        <w:ind w:left="2946" w:hanging="420"/>
      </w:pPr>
      <w:rPr>
        <w:rFonts w:hint="eastAsia"/>
      </w:rPr>
    </w:lvl>
    <w:lvl w:ilvl="5" w:tentative="0">
      <w:start w:val="1"/>
      <w:numFmt w:val="lowerRoman"/>
      <w:lvlText w:val="%6."/>
      <w:lvlJc w:val="right"/>
      <w:pPr>
        <w:ind w:left="3366" w:hanging="420"/>
      </w:pPr>
      <w:rPr>
        <w:rFonts w:hint="eastAsia"/>
      </w:rPr>
    </w:lvl>
    <w:lvl w:ilvl="6" w:tentative="0">
      <w:start w:val="1"/>
      <w:numFmt w:val="decimal"/>
      <w:lvlText w:val="%7."/>
      <w:lvlJc w:val="left"/>
      <w:pPr>
        <w:ind w:left="3786" w:hanging="420"/>
      </w:pPr>
      <w:rPr>
        <w:rFonts w:hint="eastAsia"/>
      </w:rPr>
    </w:lvl>
    <w:lvl w:ilvl="7" w:tentative="0">
      <w:start w:val="1"/>
      <w:numFmt w:val="lowerLetter"/>
      <w:lvlText w:val="%8)"/>
      <w:lvlJc w:val="left"/>
      <w:pPr>
        <w:ind w:left="4206" w:hanging="420"/>
      </w:pPr>
      <w:rPr>
        <w:rFonts w:hint="eastAsia"/>
      </w:rPr>
    </w:lvl>
    <w:lvl w:ilvl="8" w:tentative="0">
      <w:start w:val="1"/>
      <w:numFmt w:val="lowerRoman"/>
      <w:lvlText w:val="%9."/>
      <w:lvlJc w:val="right"/>
      <w:pPr>
        <w:ind w:left="4626" w:hanging="420"/>
      </w:pPr>
      <w:rPr>
        <w:rFonts w:hint="eastAsia"/>
      </w:rPr>
    </w:lvl>
  </w:abstractNum>
  <w:abstractNum w:abstractNumId="16">
    <w:nsid w:val="7FCF06F5"/>
    <w:multiLevelType w:val="singleLevel"/>
    <w:tmpl w:val="7FCF06F5"/>
    <w:lvl w:ilvl="0" w:tentative="0">
      <w:start w:val="1"/>
      <w:numFmt w:val="decimal"/>
      <w:suff w:val="nothing"/>
      <w:lvlText w:val="%1、"/>
      <w:lvlJc w:val="left"/>
    </w:lvl>
  </w:abstractNum>
  <w:num w:numId="1">
    <w:abstractNumId w:val="8"/>
  </w:num>
  <w:num w:numId="2">
    <w:abstractNumId w:val="4"/>
  </w:num>
  <w:num w:numId="3">
    <w:abstractNumId w:val="5"/>
  </w:num>
  <w:num w:numId="4">
    <w:abstractNumId w:val="1"/>
  </w:num>
  <w:num w:numId="5">
    <w:abstractNumId w:val="11"/>
  </w:num>
  <w:num w:numId="6">
    <w:abstractNumId w:val="10"/>
  </w:num>
  <w:num w:numId="7">
    <w:abstractNumId w:val="13"/>
  </w:num>
  <w:num w:numId="8">
    <w:abstractNumId w:val="15"/>
  </w:num>
  <w:num w:numId="9">
    <w:abstractNumId w:val="6"/>
  </w:num>
  <w:num w:numId="10">
    <w:abstractNumId w:val="12"/>
  </w:num>
  <w:num w:numId="11">
    <w:abstractNumId w:val="2"/>
  </w:num>
  <w:num w:numId="12">
    <w:abstractNumId w:val="7"/>
  </w:num>
  <w:num w:numId="13">
    <w:abstractNumId w:val="0"/>
  </w:num>
  <w:num w:numId="14">
    <w:abstractNumId w:val="16"/>
  </w:num>
  <w:num w:numId="15">
    <w:abstractNumId w:val="14"/>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zM3MzE3ZjRkN2VmNDQ5NmMzZDdjMmIwMDZkZGIifQ=="/>
  </w:docVars>
  <w:rsids>
    <w:rsidRoot w:val="00A270E2"/>
    <w:rsid w:val="00017670"/>
    <w:rsid w:val="00023AA4"/>
    <w:rsid w:val="00042DDB"/>
    <w:rsid w:val="00044A1D"/>
    <w:rsid w:val="000468C2"/>
    <w:rsid w:val="00052424"/>
    <w:rsid w:val="00065E0A"/>
    <w:rsid w:val="00067858"/>
    <w:rsid w:val="000716A8"/>
    <w:rsid w:val="00074549"/>
    <w:rsid w:val="00077398"/>
    <w:rsid w:val="00086A5E"/>
    <w:rsid w:val="00087FF8"/>
    <w:rsid w:val="000939A1"/>
    <w:rsid w:val="00095761"/>
    <w:rsid w:val="000A7413"/>
    <w:rsid w:val="000B2814"/>
    <w:rsid w:val="000D02F5"/>
    <w:rsid w:val="000D4443"/>
    <w:rsid w:val="000D4E1E"/>
    <w:rsid w:val="000E0125"/>
    <w:rsid w:val="000E508C"/>
    <w:rsid w:val="000F59EB"/>
    <w:rsid w:val="00105415"/>
    <w:rsid w:val="001152D5"/>
    <w:rsid w:val="001163C8"/>
    <w:rsid w:val="0012164B"/>
    <w:rsid w:val="0012260A"/>
    <w:rsid w:val="0013155A"/>
    <w:rsid w:val="0013614E"/>
    <w:rsid w:val="00140659"/>
    <w:rsid w:val="0015059F"/>
    <w:rsid w:val="00151494"/>
    <w:rsid w:val="00156815"/>
    <w:rsid w:val="00157EC7"/>
    <w:rsid w:val="0016095F"/>
    <w:rsid w:val="00163D85"/>
    <w:rsid w:val="001756EE"/>
    <w:rsid w:val="00183D02"/>
    <w:rsid w:val="00187595"/>
    <w:rsid w:val="00193A42"/>
    <w:rsid w:val="00194475"/>
    <w:rsid w:val="001A5E83"/>
    <w:rsid w:val="001B4BCB"/>
    <w:rsid w:val="001B51C6"/>
    <w:rsid w:val="001B5547"/>
    <w:rsid w:val="001C07F8"/>
    <w:rsid w:val="001C0AEF"/>
    <w:rsid w:val="001C36A3"/>
    <w:rsid w:val="001C4DFB"/>
    <w:rsid w:val="001D39F1"/>
    <w:rsid w:val="001D6A93"/>
    <w:rsid w:val="001E0AB3"/>
    <w:rsid w:val="001E2D98"/>
    <w:rsid w:val="001E5703"/>
    <w:rsid w:val="001E7CE3"/>
    <w:rsid w:val="002177F1"/>
    <w:rsid w:val="002254CF"/>
    <w:rsid w:val="00245704"/>
    <w:rsid w:val="002459A4"/>
    <w:rsid w:val="00264126"/>
    <w:rsid w:val="00270DF9"/>
    <w:rsid w:val="00272F2E"/>
    <w:rsid w:val="0028091D"/>
    <w:rsid w:val="00285C22"/>
    <w:rsid w:val="0029632E"/>
    <w:rsid w:val="002A0626"/>
    <w:rsid w:val="002B3317"/>
    <w:rsid w:val="002B3547"/>
    <w:rsid w:val="002B510B"/>
    <w:rsid w:val="002C0655"/>
    <w:rsid w:val="002C2A0D"/>
    <w:rsid w:val="002E059A"/>
    <w:rsid w:val="00303835"/>
    <w:rsid w:val="00306D47"/>
    <w:rsid w:val="00307A95"/>
    <w:rsid w:val="00311896"/>
    <w:rsid w:val="003142CE"/>
    <w:rsid w:val="00316479"/>
    <w:rsid w:val="00316D89"/>
    <w:rsid w:val="0031717E"/>
    <w:rsid w:val="003270FC"/>
    <w:rsid w:val="003311B0"/>
    <w:rsid w:val="003410B8"/>
    <w:rsid w:val="00357CA4"/>
    <w:rsid w:val="00382451"/>
    <w:rsid w:val="003926A1"/>
    <w:rsid w:val="00393777"/>
    <w:rsid w:val="003A1B36"/>
    <w:rsid w:val="003A367A"/>
    <w:rsid w:val="003A46FF"/>
    <w:rsid w:val="003B2765"/>
    <w:rsid w:val="003B3FE0"/>
    <w:rsid w:val="003B6027"/>
    <w:rsid w:val="003C5690"/>
    <w:rsid w:val="003C57B0"/>
    <w:rsid w:val="003C6145"/>
    <w:rsid w:val="003C63A7"/>
    <w:rsid w:val="003D0B92"/>
    <w:rsid w:val="003D3782"/>
    <w:rsid w:val="003D6606"/>
    <w:rsid w:val="003E52B0"/>
    <w:rsid w:val="003E6546"/>
    <w:rsid w:val="003E6C23"/>
    <w:rsid w:val="003F5EA9"/>
    <w:rsid w:val="003F70B3"/>
    <w:rsid w:val="003F7365"/>
    <w:rsid w:val="00400D0D"/>
    <w:rsid w:val="00421329"/>
    <w:rsid w:val="004223B7"/>
    <w:rsid w:val="00424318"/>
    <w:rsid w:val="00434CB3"/>
    <w:rsid w:val="004535DD"/>
    <w:rsid w:val="00491E11"/>
    <w:rsid w:val="004A04F0"/>
    <w:rsid w:val="004A4C2A"/>
    <w:rsid w:val="004B4748"/>
    <w:rsid w:val="004B74B5"/>
    <w:rsid w:val="004C38C0"/>
    <w:rsid w:val="004C4E5C"/>
    <w:rsid w:val="004C53FC"/>
    <w:rsid w:val="004C768E"/>
    <w:rsid w:val="004D09A2"/>
    <w:rsid w:val="004D1058"/>
    <w:rsid w:val="004D2CD1"/>
    <w:rsid w:val="004E65CE"/>
    <w:rsid w:val="004E6A86"/>
    <w:rsid w:val="004F5177"/>
    <w:rsid w:val="004F7541"/>
    <w:rsid w:val="00502600"/>
    <w:rsid w:val="00503244"/>
    <w:rsid w:val="0051383A"/>
    <w:rsid w:val="00515EA4"/>
    <w:rsid w:val="00525027"/>
    <w:rsid w:val="00526898"/>
    <w:rsid w:val="005313F4"/>
    <w:rsid w:val="00536D77"/>
    <w:rsid w:val="00542CE1"/>
    <w:rsid w:val="00551E7D"/>
    <w:rsid w:val="00553177"/>
    <w:rsid w:val="00556B70"/>
    <w:rsid w:val="00557AFA"/>
    <w:rsid w:val="00571166"/>
    <w:rsid w:val="0057190A"/>
    <w:rsid w:val="0058126D"/>
    <w:rsid w:val="00582F63"/>
    <w:rsid w:val="00583A25"/>
    <w:rsid w:val="005844F9"/>
    <w:rsid w:val="00585A62"/>
    <w:rsid w:val="00591CB7"/>
    <w:rsid w:val="005A2B26"/>
    <w:rsid w:val="005B0543"/>
    <w:rsid w:val="005B349A"/>
    <w:rsid w:val="005C16E6"/>
    <w:rsid w:val="005C50E3"/>
    <w:rsid w:val="005C6232"/>
    <w:rsid w:val="005C71A9"/>
    <w:rsid w:val="005F5BD6"/>
    <w:rsid w:val="005F65CD"/>
    <w:rsid w:val="00600099"/>
    <w:rsid w:val="00612E88"/>
    <w:rsid w:val="00627FCF"/>
    <w:rsid w:val="00631CEC"/>
    <w:rsid w:val="00645611"/>
    <w:rsid w:val="00652A99"/>
    <w:rsid w:val="00677577"/>
    <w:rsid w:val="0068360F"/>
    <w:rsid w:val="00694E6F"/>
    <w:rsid w:val="006B1319"/>
    <w:rsid w:val="006B1AB3"/>
    <w:rsid w:val="006B39CA"/>
    <w:rsid w:val="006B5B2F"/>
    <w:rsid w:val="006C02D3"/>
    <w:rsid w:val="006C0392"/>
    <w:rsid w:val="006D4318"/>
    <w:rsid w:val="006D62E7"/>
    <w:rsid w:val="006E366A"/>
    <w:rsid w:val="006E3A27"/>
    <w:rsid w:val="006E4E4D"/>
    <w:rsid w:val="006E7F07"/>
    <w:rsid w:val="00706602"/>
    <w:rsid w:val="007214E5"/>
    <w:rsid w:val="00722C4C"/>
    <w:rsid w:val="00724845"/>
    <w:rsid w:val="0072647E"/>
    <w:rsid w:val="00733BDD"/>
    <w:rsid w:val="0074243D"/>
    <w:rsid w:val="00744679"/>
    <w:rsid w:val="00784702"/>
    <w:rsid w:val="007969B0"/>
    <w:rsid w:val="00796EFE"/>
    <w:rsid w:val="007A0B4B"/>
    <w:rsid w:val="007A5883"/>
    <w:rsid w:val="007A6F63"/>
    <w:rsid w:val="007C2B3B"/>
    <w:rsid w:val="007C791E"/>
    <w:rsid w:val="007D33D2"/>
    <w:rsid w:val="007D367E"/>
    <w:rsid w:val="007E0188"/>
    <w:rsid w:val="007E3465"/>
    <w:rsid w:val="00805BF1"/>
    <w:rsid w:val="00813C12"/>
    <w:rsid w:val="0082439A"/>
    <w:rsid w:val="00827B75"/>
    <w:rsid w:val="00832A60"/>
    <w:rsid w:val="00834635"/>
    <w:rsid w:val="00850E02"/>
    <w:rsid w:val="00857B1B"/>
    <w:rsid w:val="0086328C"/>
    <w:rsid w:val="00864BF0"/>
    <w:rsid w:val="00866D38"/>
    <w:rsid w:val="00867E0A"/>
    <w:rsid w:val="00873155"/>
    <w:rsid w:val="00881AFB"/>
    <w:rsid w:val="008838AB"/>
    <w:rsid w:val="00884459"/>
    <w:rsid w:val="008903FB"/>
    <w:rsid w:val="008A4CF0"/>
    <w:rsid w:val="008A73C7"/>
    <w:rsid w:val="008B0F74"/>
    <w:rsid w:val="008B60AE"/>
    <w:rsid w:val="008E0552"/>
    <w:rsid w:val="008E0AD5"/>
    <w:rsid w:val="008E40D2"/>
    <w:rsid w:val="009017A7"/>
    <w:rsid w:val="00901B2F"/>
    <w:rsid w:val="00924B96"/>
    <w:rsid w:val="00925DEC"/>
    <w:rsid w:val="00930502"/>
    <w:rsid w:val="009351DA"/>
    <w:rsid w:val="00937EC0"/>
    <w:rsid w:val="00974419"/>
    <w:rsid w:val="00977CD8"/>
    <w:rsid w:val="00981AD2"/>
    <w:rsid w:val="00985195"/>
    <w:rsid w:val="0099215A"/>
    <w:rsid w:val="009A0F1A"/>
    <w:rsid w:val="009C3C5C"/>
    <w:rsid w:val="009C3D36"/>
    <w:rsid w:val="009C5F6F"/>
    <w:rsid w:val="009E2BDA"/>
    <w:rsid w:val="009E47CD"/>
    <w:rsid w:val="00A20757"/>
    <w:rsid w:val="00A241B9"/>
    <w:rsid w:val="00A270E2"/>
    <w:rsid w:val="00A32AE6"/>
    <w:rsid w:val="00A35E03"/>
    <w:rsid w:val="00A42B91"/>
    <w:rsid w:val="00A455B5"/>
    <w:rsid w:val="00A52794"/>
    <w:rsid w:val="00A565E0"/>
    <w:rsid w:val="00A70F42"/>
    <w:rsid w:val="00A727B2"/>
    <w:rsid w:val="00A729FA"/>
    <w:rsid w:val="00A74B2D"/>
    <w:rsid w:val="00A8296E"/>
    <w:rsid w:val="00A87581"/>
    <w:rsid w:val="00A93EA2"/>
    <w:rsid w:val="00AA0C2E"/>
    <w:rsid w:val="00AB0D14"/>
    <w:rsid w:val="00AB72C4"/>
    <w:rsid w:val="00AB7322"/>
    <w:rsid w:val="00AC50F3"/>
    <w:rsid w:val="00AC559B"/>
    <w:rsid w:val="00AD053D"/>
    <w:rsid w:val="00AD0A01"/>
    <w:rsid w:val="00AD4608"/>
    <w:rsid w:val="00AD4DC7"/>
    <w:rsid w:val="00AE4793"/>
    <w:rsid w:val="00AE77CE"/>
    <w:rsid w:val="00AF10E0"/>
    <w:rsid w:val="00AF1AFC"/>
    <w:rsid w:val="00AF70FD"/>
    <w:rsid w:val="00B27D74"/>
    <w:rsid w:val="00B320EE"/>
    <w:rsid w:val="00B328D8"/>
    <w:rsid w:val="00B3429E"/>
    <w:rsid w:val="00B46A57"/>
    <w:rsid w:val="00B528A6"/>
    <w:rsid w:val="00B53877"/>
    <w:rsid w:val="00B548DA"/>
    <w:rsid w:val="00B60214"/>
    <w:rsid w:val="00B72484"/>
    <w:rsid w:val="00B72FCC"/>
    <w:rsid w:val="00B738ED"/>
    <w:rsid w:val="00B87630"/>
    <w:rsid w:val="00B91F12"/>
    <w:rsid w:val="00B94CC0"/>
    <w:rsid w:val="00BA3086"/>
    <w:rsid w:val="00BA6136"/>
    <w:rsid w:val="00BB0215"/>
    <w:rsid w:val="00BB18FA"/>
    <w:rsid w:val="00BB3B4C"/>
    <w:rsid w:val="00BB4E50"/>
    <w:rsid w:val="00BC1448"/>
    <w:rsid w:val="00BC16DE"/>
    <w:rsid w:val="00BD0750"/>
    <w:rsid w:val="00BD5A8E"/>
    <w:rsid w:val="00BE2675"/>
    <w:rsid w:val="00BE6F90"/>
    <w:rsid w:val="00BF1563"/>
    <w:rsid w:val="00C02DC5"/>
    <w:rsid w:val="00C04704"/>
    <w:rsid w:val="00C1490C"/>
    <w:rsid w:val="00C152A5"/>
    <w:rsid w:val="00C44A80"/>
    <w:rsid w:val="00C456E7"/>
    <w:rsid w:val="00C47D65"/>
    <w:rsid w:val="00C509A0"/>
    <w:rsid w:val="00C5150F"/>
    <w:rsid w:val="00C57D11"/>
    <w:rsid w:val="00C602CA"/>
    <w:rsid w:val="00C62BF5"/>
    <w:rsid w:val="00C64869"/>
    <w:rsid w:val="00C65BDB"/>
    <w:rsid w:val="00C70F64"/>
    <w:rsid w:val="00C75897"/>
    <w:rsid w:val="00C75A09"/>
    <w:rsid w:val="00C84688"/>
    <w:rsid w:val="00C84E1B"/>
    <w:rsid w:val="00C8657F"/>
    <w:rsid w:val="00C979FF"/>
    <w:rsid w:val="00CA32AA"/>
    <w:rsid w:val="00CA36AF"/>
    <w:rsid w:val="00CC7A24"/>
    <w:rsid w:val="00CD4E21"/>
    <w:rsid w:val="00CD6376"/>
    <w:rsid w:val="00CE0B49"/>
    <w:rsid w:val="00CE3686"/>
    <w:rsid w:val="00CF3104"/>
    <w:rsid w:val="00CF5077"/>
    <w:rsid w:val="00CF6F47"/>
    <w:rsid w:val="00D057E4"/>
    <w:rsid w:val="00D221DB"/>
    <w:rsid w:val="00D24F84"/>
    <w:rsid w:val="00D27A31"/>
    <w:rsid w:val="00D50D2E"/>
    <w:rsid w:val="00D63ED5"/>
    <w:rsid w:val="00D661D7"/>
    <w:rsid w:val="00D8180C"/>
    <w:rsid w:val="00D84753"/>
    <w:rsid w:val="00D871C8"/>
    <w:rsid w:val="00DB301B"/>
    <w:rsid w:val="00DC0624"/>
    <w:rsid w:val="00DC32EB"/>
    <w:rsid w:val="00DC5A2B"/>
    <w:rsid w:val="00DD3A1E"/>
    <w:rsid w:val="00DE4E1F"/>
    <w:rsid w:val="00DE5DEE"/>
    <w:rsid w:val="00DF10FE"/>
    <w:rsid w:val="00E0161C"/>
    <w:rsid w:val="00E020C3"/>
    <w:rsid w:val="00E23AC3"/>
    <w:rsid w:val="00E30FAC"/>
    <w:rsid w:val="00E34268"/>
    <w:rsid w:val="00E41002"/>
    <w:rsid w:val="00E45A34"/>
    <w:rsid w:val="00E47E57"/>
    <w:rsid w:val="00E53CB7"/>
    <w:rsid w:val="00E54A53"/>
    <w:rsid w:val="00E64D57"/>
    <w:rsid w:val="00E66DAD"/>
    <w:rsid w:val="00E71DEA"/>
    <w:rsid w:val="00E76DE4"/>
    <w:rsid w:val="00E8449B"/>
    <w:rsid w:val="00EB41E9"/>
    <w:rsid w:val="00EE5037"/>
    <w:rsid w:val="00F11320"/>
    <w:rsid w:val="00F21D04"/>
    <w:rsid w:val="00F31DF0"/>
    <w:rsid w:val="00F3609F"/>
    <w:rsid w:val="00F50327"/>
    <w:rsid w:val="00F54080"/>
    <w:rsid w:val="00F67FD4"/>
    <w:rsid w:val="00F843A1"/>
    <w:rsid w:val="00F84E4C"/>
    <w:rsid w:val="00F93A1D"/>
    <w:rsid w:val="00FA2457"/>
    <w:rsid w:val="00FA5782"/>
    <w:rsid w:val="00FB61AF"/>
    <w:rsid w:val="00FB6AF5"/>
    <w:rsid w:val="00FC62A9"/>
    <w:rsid w:val="00FD5545"/>
    <w:rsid w:val="00FE2D9C"/>
    <w:rsid w:val="00FF0DFC"/>
    <w:rsid w:val="00FF4F01"/>
    <w:rsid w:val="00FF74A9"/>
    <w:rsid w:val="011614FB"/>
    <w:rsid w:val="02076F1C"/>
    <w:rsid w:val="024737BC"/>
    <w:rsid w:val="03FE7D4C"/>
    <w:rsid w:val="053578FC"/>
    <w:rsid w:val="05760640"/>
    <w:rsid w:val="05C173E2"/>
    <w:rsid w:val="05C81985"/>
    <w:rsid w:val="061E5687"/>
    <w:rsid w:val="079254DA"/>
    <w:rsid w:val="07CF5DE6"/>
    <w:rsid w:val="08AA0601"/>
    <w:rsid w:val="08B576D2"/>
    <w:rsid w:val="0B4B3878"/>
    <w:rsid w:val="0BA92DF2"/>
    <w:rsid w:val="0C432748"/>
    <w:rsid w:val="0C5409B0"/>
    <w:rsid w:val="0C5B1B72"/>
    <w:rsid w:val="0D456241"/>
    <w:rsid w:val="0DBD4BE7"/>
    <w:rsid w:val="0E35096D"/>
    <w:rsid w:val="0F6C03BE"/>
    <w:rsid w:val="0F953DB9"/>
    <w:rsid w:val="0FC2223F"/>
    <w:rsid w:val="10C5422A"/>
    <w:rsid w:val="10F17525"/>
    <w:rsid w:val="12A957B3"/>
    <w:rsid w:val="12C10A21"/>
    <w:rsid w:val="136336B0"/>
    <w:rsid w:val="13CC58CF"/>
    <w:rsid w:val="13D616E2"/>
    <w:rsid w:val="14750D5A"/>
    <w:rsid w:val="147D6BCA"/>
    <w:rsid w:val="1504137A"/>
    <w:rsid w:val="157601E9"/>
    <w:rsid w:val="15AF54A9"/>
    <w:rsid w:val="15DD0556"/>
    <w:rsid w:val="15FA6724"/>
    <w:rsid w:val="16361726"/>
    <w:rsid w:val="164E6A70"/>
    <w:rsid w:val="165E7FEF"/>
    <w:rsid w:val="16760A4F"/>
    <w:rsid w:val="16C86822"/>
    <w:rsid w:val="183B1275"/>
    <w:rsid w:val="188D1AD1"/>
    <w:rsid w:val="18B2778A"/>
    <w:rsid w:val="19C239FC"/>
    <w:rsid w:val="1BAD5FE6"/>
    <w:rsid w:val="1BDC68CC"/>
    <w:rsid w:val="1BDE43F2"/>
    <w:rsid w:val="1C085913"/>
    <w:rsid w:val="1C6F7740"/>
    <w:rsid w:val="1D9D544F"/>
    <w:rsid w:val="1F0B0F33"/>
    <w:rsid w:val="1F152820"/>
    <w:rsid w:val="1F515BB6"/>
    <w:rsid w:val="1FFC753C"/>
    <w:rsid w:val="203266EE"/>
    <w:rsid w:val="21521B0A"/>
    <w:rsid w:val="219E3CB7"/>
    <w:rsid w:val="21AD0AEE"/>
    <w:rsid w:val="22FB4B19"/>
    <w:rsid w:val="23072480"/>
    <w:rsid w:val="23662977"/>
    <w:rsid w:val="236A1E49"/>
    <w:rsid w:val="23F92711"/>
    <w:rsid w:val="249575E9"/>
    <w:rsid w:val="24AD52A9"/>
    <w:rsid w:val="24D942F0"/>
    <w:rsid w:val="24DB0068"/>
    <w:rsid w:val="25141432"/>
    <w:rsid w:val="25BE719C"/>
    <w:rsid w:val="26722306"/>
    <w:rsid w:val="26753BA5"/>
    <w:rsid w:val="27197B4D"/>
    <w:rsid w:val="27906CB2"/>
    <w:rsid w:val="27BA523B"/>
    <w:rsid w:val="27D05536"/>
    <w:rsid w:val="28301492"/>
    <w:rsid w:val="289360AA"/>
    <w:rsid w:val="289B1BD8"/>
    <w:rsid w:val="29902824"/>
    <w:rsid w:val="2A224043"/>
    <w:rsid w:val="2AEC32A4"/>
    <w:rsid w:val="2B0705B1"/>
    <w:rsid w:val="2B8F395A"/>
    <w:rsid w:val="2C0D314C"/>
    <w:rsid w:val="2C510660"/>
    <w:rsid w:val="2D1227E2"/>
    <w:rsid w:val="2D83129D"/>
    <w:rsid w:val="2E641740"/>
    <w:rsid w:val="2E984014"/>
    <w:rsid w:val="2F194CF3"/>
    <w:rsid w:val="2F2820FC"/>
    <w:rsid w:val="30A12166"/>
    <w:rsid w:val="30F73365"/>
    <w:rsid w:val="31B1462B"/>
    <w:rsid w:val="31EA18EB"/>
    <w:rsid w:val="325368E9"/>
    <w:rsid w:val="32683557"/>
    <w:rsid w:val="32B06690"/>
    <w:rsid w:val="32E97DF4"/>
    <w:rsid w:val="332F3783"/>
    <w:rsid w:val="34000F51"/>
    <w:rsid w:val="342C7F98"/>
    <w:rsid w:val="34702C2B"/>
    <w:rsid w:val="34996060"/>
    <w:rsid w:val="34AD39FE"/>
    <w:rsid w:val="34B8182C"/>
    <w:rsid w:val="34B955A4"/>
    <w:rsid w:val="34EC4A66"/>
    <w:rsid w:val="34F565DC"/>
    <w:rsid w:val="35D84D60"/>
    <w:rsid w:val="36032F7B"/>
    <w:rsid w:val="360F1920"/>
    <w:rsid w:val="366E2E6A"/>
    <w:rsid w:val="36D87F64"/>
    <w:rsid w:val="36F32FEF"/>
    <w:rsid w:val="371A67CE"/>
    <w:rsid w:val="372431A9"/>
    <w:rsid w:val="37AE6BA2"/>
    <w:rsid w:val="3A0177D1"/>
    <w:rsid w:val="3AE952B8"/>
    <w:rsid w:val="3CA01866"/>
    <w:rsid w:val="3CCD7E3F"/>
    <w:rsid w:val="3CE81C52"/>
    <w:rsid w:val="3D8C1AA8"/>
    <w:rsid w:val="3DB35D08"/>
    <w:rsid w:val="402B1A4C"/>
    <w:rsid w:val="405D39DE"/>
    <w:rsid w:val="40664A21"/>
    <w:rsid w:val="408B7E3C"/>
    <w:rsid w:val="411249BA"/>
    <w:rsid w:val="413B434C"/>
    <w:rsid w:val="417137CD"/>
    <w:rsid w:val="419D0727"/>
    <w:rsid w:val="41B4616B"/>
    <w:rsid w:val="42E8391A"/>
    <w:rsid w:val="430F68C7"/>
    <w:rsid w:val="444D2A0A"/>
    <w:rsid w:val="449F150A"/>
    <w:rsid w:val="44D00886"/>
    <w:rsid w:val="46B51386"/>
    <w:rsid w:val="47495932"/>
    <w:rsid w:val="48850056"/>
    <w:rsid w:val="48C730DB"/>
    <w:rsid w:val="496F6E7E"/>
    <w:rsid w:val="4A62155C"/>
    <w:rsid w:val="4B315A3D"/>
    <w:rsid w:val="4C013661"/>
    <w:rsid w:val="4C2F6420"/>
    <w:rsid w:val="4C3E48B5"/>
    <w:rsid w:val="4C6360CA"/>
    <w:rsid w:val="4CD07C03"/>
    <w:rsid w:val="4D0A29E9"/>
    <w:rsid w:val="4E2A47AB"/>
    <w:rsid w:val="4EB175C0"/>
    <w:rsid w:val="4F245FE4"/>
    <w:rsid w:val="4F31438E"/>
    <w:rsid w:val="4FAB04B3"/>
    <w:rsid w:val="4FE63D4E"/>
    <w:rsid w:val="50487B81"/>
    <w:rsid w:val="505C7A00"/>
    <w:rsid w:val="506A211C"/>
    <w:rsid w:val="51ED6B61"/>
    <w:rsid w:val="52462715"/>
    <w:rsid w:val="52486B25"/>
    <w:rsid w:val="528F7E0D"/>
    <w:rsid w:val="52F12681"/>
    <w:rsid w:val="52F91536"/>
    <w:rsid w:val="53957258"/>
    <w:rsid w:val="53F927C2"/>
    <w:rsid w:val="541B7F5F"/>
    <w:rsid w:val="55450A62"/>
    <w:rsid w:val="55821CB6"/>
    <w:rsid w:val="55A77D7B"/>
    <w:rsid w:val="560E2D5F"/>
    <w:rsid w:val="56101070"/>
    <w:rsid w:val="5612303A"/>
    <w:rsid w:val="564B20A8"/>
    <w:rsid w:val="565876BB"/>
    <w:rsid w:val="56636025"/>
    <w:rsid w:val="567D5FDA"/>
    <w:rsid w:val="56E85B49"/>
    <w:rsid w:val="56EF512A"/>
    <w:rsid w:val="570B7A8A"/>
    <w:rsid w:val="571050A0"/>
    <w:rsid w:val="58374AF3"/>
    <w:rsid w:val="59197F80"/>
    <w:rsid w:val="59205A6E"/>
    <w:rsid w:val="595C45CC"/>
    <w:rsid w:val="59701E26"/>
    <w:rsid w:val="598002BB"/>
    <w:rsid w:val="5A9E02C7"/>
    <w:rsid w:val="5AED3541"/>
    <w:rsid w:val="5AF2343A"/>
    <w:rsid w:val="5B1D0885"/>
    <w:rsid w:val="5B61290C"/>
    <w:rsid w:val="5B9904A9"/>
    <w:rsid w:val="5BA04F28"/>
    <w:rsid w:val="5C4D7CBA"/>
    <w:rsid w:val="5CC11316"/>
    <w:rsid w:val="5CC20BEA"/>
    <w:rsid w:val="5EC7698C"/>
    <w:rsid w:val="5FBC6DF6"/>
    <w:rsid w:val="60C70EC5"/>
    <w:rsid w:val="61177EB1"/>
    <w:rsid w:val="619C5EAE"/>
    <w:rsid w:val="61AB60F1"/>
    <w:rsid w:val="61C3168D"/>
    <w:rsid w:val="62E01DCA"/>
    <w:rsid w:val="6393508F"/>
    <w:rsid w:val="653B2C51"/>
    <w:rsid w:val="65731720"/>
    <w:rsid w:val="671D539B"/>
    <w:rsid w:val="67B83777"/>
    <w:rsid w:val="68662D72"/>
    <w:rsid w:val="68C3521F"/>
    <w:rsid w:val="68F42C0B"/>
    <w:rsid w:val="69513A22"/>
    <w:rsid w:val="69DE390E"/>
    <w:rsid w:val="69E00902"/>
    <w:rsid w:val="6A010B74"/>
    <w:rsid w:val="6A1C2F1B"/>
    <w:rsid w:val="6A730C65"/>
    <w:rsid w:val="6B872190"/>
    <w:rsid w:val="6BF25EDD"/>
    <w:rsid w:val="6CB25212"/>
    <w:rsid w:val="6E470F4F"/>
    <w:rsid w:val="6FAD05E7"/>
    <w:rsid w:val="702A28D7"/>
    <w:rsid w:val="707D5081"/>
    <w:rsid w:val="71F252A8"/>
    <w:rsid w:val="71FA6539"/>
    <w:rsid w:val="72164ECC"/>
    <w:rsid w:val="72F26668"/>
    <w:rsid w:val="73E13BF4"/>
    <w:rsid w:val="749809E1"/>
    <w:rsid w:val="763C2C1C"/>
    <w:rsid w:val="76586912"/>
    <w:rsid w:val="76FA1F58"/>
    <w:rsid w:val="774E334F"/>
    <w:rsid w:val="77511122"/>
    <w:rsid w:val="776B5F81"/>
    <w:rsid w:val="777D20D6"/>
    <w:rsid w:val="77B21A7E"/>
    <w:rsid w:val="783E7E92"/>
    <w:rsid w:val="78A04C36"/>
    <w:rsid w:val="799466AC"/>
    <w:rsid w:val="7ADB1338"/>
    <w:rsid w:val="7B6A2721"/>
    <w:rsid w:val="7C492879"/>
    <w:rsid w:val="7CD442F6"/>
    <w:rsid w:val="7CF60710"/>
    <w:rsid w:val="7D1E1A15"/>
    <w:rsid w:val="7D831878"/>
    <w:rsid w:val="7D851A94"/>
    <w:rsid w:val="7E0D3F64"/>
    <w:rsid w:val="7EB95409"/>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2"/>
    <w:autoRedefine/>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szCs w:val="21"/>
    </w:rPr>
  </w:style>
  <w:style w:type="paragraph" w:styleId="4">
    <w:name w:val="annotation text"/>
    <w:basedOn w:val="1"/>
    <w:link w:val="23"/>
    <w:autoRedefine/>
    <w:qFormat/>
    <w:uiPriority w:val="99"/>
    <w:pPr>
      <w:jc w:val="left"/>
    </w:pPr>
  </w:style>
  <w:style w:type="paragraph" w:styleId="5">
    <w:name w:val="Body Text Indent"/>
    <w:basedOn w:val="1"/>
    <w:autoRedefine/>
    <w:unhideWhenUsed/>
    <w:qFormat/>
    <w:uiPriority w:val="0"/>
    <w:pPr>
      <w:spacing w:after="120"/>
      <w:ind w:left="420" w:leftChars="200"/>
    </w:pPr>
  </w:style>
  <w:style w:type="paragraph" w:styleId="6">
    <w:name w:val="Plain Text"/>
    <w:basedOn w:val="1"/>
    <w:link w:val="24"/>
    <w:autoRedefine/>
    <w:qFormat/>
    <w:uiPriority w:val="0"/>
    <w:rPr>
      <w:rFonts w:ascii="宋体" w:hAnsi="Courier New"/>
      <w:kern w:val="0"/>
      <w:sz w:val="20"/>
      <w:szCs w:val="21"/>
      <w:lang w:val="zh-CN"/>
    </w:rPr>
  </w:style>
  <w:style w:type="paragraph" w:styleId="7">
    <w:name w:val="Balloon Text"/>
    <w:basedOn w:val="1"/>
    <w:link w:val="25"/>
    <w:autoRedefine/>
    <w:qFormat/>
    <w:uiPriority w:val="99"/>
    <w:rPr>
      <w:sz w:val="18"/>
      <w:szCs w:val="18"/>
    </w:rPr>
  </w:style>
  <w:style w:type="paragraph" w:styleId="8">
    <w:name w:val="footer"/>
    <w:basedOn w:val="1"/>
    <w:link w:val="26"/>
    <w:autoRedefine/>
    <w:qFormat/>
    <w:uiPriority w:val="99"/>
    <w:pPr>
      <w:tabs>
        <w:tab w:val="center" w:pos="4153"/>
        <w:tab w:val="right" w:pos="8306"/>
      </w:tabs>
      <w:snapToGrid w:val="0"/>
      <w:jc w:val="left"/>
    </w:pPr>
    <w:rPr>
      <w:sz w:val="18"/>
      <w:szCs w:val="18"/>
    </w:rPr>
  </w:style>
  <w:style w:type="paragraph" w:styleId="9">
    <w:name w:val="header"/>
    <w:basedOn w:val="1"/>
    <w:link w:val="27"/>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spacing w:before="120" w:after="120"/>
      <w:jc w:val="left"/>
    </w:pPr>
    <w:rPr>
      <w:b/>
      <w:bCs/>
      <w:caps/>
      <w:sz w:val="20"/>
      <w:szCs w:val="20"/>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8"/>
    <w:autoRedefine/>
    <w:qFormat/>
    <w:uiPriority w:val="10"/>
    <w:pPr>
      <w:spacing w:before="240" w:after="60"/>
      <w:jc w:val="center"/>
      <w:outlineLvl w:val="0"/>
    </w:pPr>
    <w:rPr>
      <w:rFonts w:ascii="Cambria" w:hAnsi="Cambria"/>
      <w:b/>
      <w:bCs/>
      <w:kern w:val="0"/>
      <w:sz w:val="32"/>
      <w:szCs w:val="32"/>
      <w:lang w:val="zh-CN"/>
    </w:rPr>
  </w:style>
  <w:style w:type="paragraph" w:styleId="13">
    <w:name w:val="annotation subject"/>
    <w:basedOn w:val="4"/>
    <w:next w:val="4"/>
    <w:link w:val="29"/>
    <w:autoRedefine/>
    <w:qFormat/>
    <w:uiPriority w:val="99"/>
    <w:rPr>
      <w:b/>
      <w:bCs/>
    </w:rPr>
  </w:style>
  <w:style w:type="paragraph" w:styleId="14">
    <w:name w:val="Body Text First Indent 2"/>
    <w:basedOn w:val="5"/>
    <w:autoRedefine/>
    <w:qFormat/>
    <w:uiPriority w:val="0"/>
    <w:pPr>
      <w:ind w:firstLine="420" w:firstLineChars="200"/>
    </w:p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22"/>
    <w:rPr>
      <w:b/>
      <w:bCs/>
    </w:rPr>
  </w:style>
  <w:style w:type="character" w:styleId="19">
    <w:name w:val="Emphasis"/>
    <w:basedOn w:val="17"/>
    <w:autoRedefine/>
    <w:qFormat/>
    <w:uiPriority w:val="0"/>
    <w:rPr>
      <w:i/>
      <w:iCs/>
    </w:rPr>
  </w:style>
  <w:style w:type="character" w:styleId="20">
    <w:name w:val="Hyperlink"/>
    <w:basedOn w:val="17"/>
    <w:autoRedefine/>
    <w:qFormat/>
    <w:uiPriority w:val="99"/>
    <w:rPr>
      <w:color w:val="0000FF"/>
      <w:u w:val="single"/>
    </w:rPr>
  </w:style>
  <w:style w:type="character" w:styleId="21">
    <w:name w:val="annotation reference"/>
    <w:basedOn w:val="17"/>
    <w:autoRedefine/>
    <w:qFormat/>
    <w:uiPriority w:val="99"/>
    <w:rPr>
      <w:sz w:val="21"/>
      <w:szCs w:val="21"/>
    </w:rPr>
  </w:style>
  <w:style w:type="character" w:customStyle="1" w:styleId="22">
    <w:name w:val="标题 2 Char"/>
    <w:basedOn w:val="17"/>
    <w:link w:val="2"/>
    <w:autoRedefine/>
    <w:qFormat/>
    <w:uiPriority w:val="0"/>
    <w:rPr>
      <w:rFonts w:ascii="Arial" w:hAnsi="Arial" w:eastAsia="黑体" w:cs="Times New Roman"/>
      <w:b/>
      <w:bCs/>
      <w:kern w:val="0"/>
      <w:sz w:val="32"/>
      <w:szCs w:val="32"/>
      <w:lang w:val="zh-CN" w:eastAsia="zh-CN"/>
    </w:rPr>
  </w:style>
  <w:style w:type="character" w:customStyle="1" w:styleId="23">
    <w:name w:val="批注文字 Char"/>
    <w:basedOn w:val="17"/>
    <w:link w:val="4"/>
    <w:autoRedefine/>
    <w:qFormat/>
    <w:uiPriority w:val="99"/>
    <w:rPr>
      <w:rFonts w:ascii="Times New Roman" w:hAnsi="Times New Roman" w:eastAsia="宋体" w:cs="Times New Roman"/>
    </w:rPr>
  </w:style>
  <w:style w:type="character" w:customStyle="1" w:styleId="24">
    <w:name w:val="纯文本 Char"/>
    <w:basedOn w:val="17"/>
    <w:link w:val="6"/>
    <w:autoRedefine/>
    <w:qFormat/>
    <w:uiPriority w:val="0"/>
    <w:rPr>
      <w:rFonts w:ascii="宋体" w:hAnsi="Courier New" w:eastAsia="宋体" w:cs="Times New Roman"/>
      <w:kern w:val="0"/>
      <w:sz w:val="20"/>
      <w:szCs w:val="21"/>
      <w:lang w:val="zh-CN" w:eastAsia="zh-CN"/>
    </w:rPr>
  </w:style>
  <w:style w:type="character" w:customStyle="1" w:styleId="25">
    <w:name w:val="批注框文本 Char"/>
    <w:basedOn w:val="17"/>
    <w:link w:val="7"/>
    <w:autoRedefine/>
    <w:qFormat/>
    <w:uiPriority w:val="99"/>
    <w:rPr>
      <w:rFonts w:ascii="Times New Roman" w:hAnsi="Times New Roman" w:eastAsia="宋体" w:cs="Times New Roman"/>
      <w:sz w:val="18"/>
      <w:szCs w:val="18"/>
    </w:rPr>
  </w:style>
  <w:style w:type="character" w:customStyle="1" w:styleId="26">
    <w:name w:val="页脚 Char"/>
    <w:basedOn w:val="17"/>
    <w:link w:val="8"/>
    <w:autoRedefine/>
    <w:qFormat/>
    <w:uiPriority w:val="99"/>
    <w:rPr>
      <w:sz w:val="18"/>
      <w:szCs w:val="18"/>
    </w:rPr>
  </w:style>
  <w:style w:type="character" w:customStyle="1" w:styleId="27">
    <w:name w:val="页眉 Char"/>
    <w:basedOn w:val="17"/>
    <w:link w:val="9"/>
    <w:autoRedefine/>
    <w:qFormat/>
    <w:uiPriority w:val="99"/>
    <w:rPr>
      <w:sz w:val="18"/>
      <w:szCs w:val="18"/>
    </w:rPr>
  </w:style>
  <w:style w:type="character" w:customStyle="1" w:styleId="28">
    <w:name w:val="标题 Char"/>
    <w:basedOn w:val="17"/>
    <w:link w:val="12"/>
    <w:autoRedefine/>
    <w:qFormat/>
    <w:uiPriority w:val="10"/>
    <w:rPr>
      <w:rFonts w:ascii="Cambria" w:hAnsi="Cambria" w:eastAsia="宋体" w:cs="Times New Roman"/>
      <w:b/>
      <w:bCs/>
      <w:kern w:val="0"/>
      <w:sz w:val="32"/>
      <w:szCs w:val="32"/>
      <w:lang w:val="zh-CN" w:eastAsia="zh-CN"/>
    </w:rPr>
  </w:style>
  <w:style w:type="character" w:customStyle="1" w:styleId="29">
    <w:name w:val="批注主题 Char"/>
    <w:basedOn w:val="23"/>
    <w:link w:val="13"/>
    <w:autoRedefine/>
    <w:qFormat/>
    <w:uiPriority w:val="99"/>
    <w:rPr>
      <w:rFonts w:ascii="Times New Roman" w:hAnsi="Times New Roman" w:eastAsia="宋体" w:cs="Times New Roman"/>
      <w:b/>
      <w:bCs/>
    </w:rPr>
  </w:style>
  <w:style w:type="paragraph" w:customStyle="1" w:styleId="30">
    <w:name w:val="列出段落1"/>
    <w:basedOn w:val="1"/>
    <w:link w:val="31"/>
    <w:autoRedefine/>
    <w:qFormat/>
    <w:uiPriority w:val="34"/>
    <w:pPr>
      <w:ind w:firstLine="420" w:firstLineChars="200"/>
    </w:pPr>
  </w:style>
  <w:style w:type="character" w:customStyle="1" w:styleId="31">
    <w:name w:val="列出段落 Char"/>
    <w:link w:val="30"/>
    <w:autoRedefine/>
    <w:qFormat/>
    <w:uiPriority w:val="34"/>
    <w:rPr>
      <w:rFonts w:ascii="Times New Roman" w:hAnsi="Times New Roman" w:eastAsia="宋体" w:cs="Times New Roman"/>
    </w:rPr>
  </w:style>
  <w:style w:type="paragraph" w:customStyle="1" w:styleId="32">
    <w:name w:val="_Style 28"/>
    <w:basedOn w:val="1"/>
    <w:next w:val="30"/>
    <w:autoRedefine/>
    <w:qFormat/>
    <w:uiPriority w:val="99"/>
    <w:pPr>
      <w:ind w:firstLine="420" w:firstLineChars="200"/>
    </w:pPr>
  </w:style>
  <w:style w:type="paragraph" w:customStyle="1" w:styleId="33">
    <w:name w:val="列出段落11"/>
    <w:basedOn w:val="1"/>
    <w:link w:val="34"/>
    <w:autoRedefine/>
    <w:qFormat/>
    <w:uiPriority w:val="0"/>
    <w:pPr>
      <w:ind w:firstLine="420" w:firstLineChars="200"/>
    </w:pPr>
    <w:rPr>
      <w:rFonts w:ascii="Calibri" w:hAnsi="Calibri" w:cs="宋体"/>
    </w:rPr>
  </w:style>
  <w:style w:type="character" w:customStyle="1" w:styleId="34">
    <w:name w:val="List Paragraph Char"/>
    <w:link w:val="33"/>
    <w:autoRedefine/>
    <w:qFormat/>
    <w:uiPriority w:val="0"/>
  </w:style>
  <w:style w:type="paragraph" w:customStyle="1" w:styleId="35">
    <w:name w:val="_Style 281"/>
    <w:basedOn w:val="1"/>
    <w:next w:val="30"/>
    <w:autoRedefine/>
    <w:qFormat/>
    <w:uiPriority w:val="34"/>
    <w:pPr>
      <w:ind w:firstLine="420" w:firstLineChars="200"/>
    </w:pPr>
    <w:rPr>
      <w:rFonts w:eastAsia="等线"/>
    </w:rPr>
  </w:style>
  <w:style w:type="paragraph" w:customStyle="1" w:styleId="36">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37">
    <w:name w:val="_Style 30"/>
    <w:basedOn w:val="1"/>
    <w:next w:val="30"/>
    <w:link w:val="38"/>
    <w:autoRedefine/>
    <w:qFormat/>
    <w:uiPriority w:val="34"/>
    <w:pPr>
      <w:ind w:firstLine="420" w:firstLineChars="200"/>
    </w:pPr>
    <w:rPr>
      <w:rFonts w:ascii="Calibri" w:hAnsi="Calibri" w:cs="宋体"/>
    </w:rPr>
  </w:style>
  <w:style w:type="character" w:customStyle="1" w:styleId="38">
    <w:name w:val="列出段落 Char2"/>
    <w:link w:val="37"/>
    <w:autoRedefine/>
    <w:qFormat/>
    <w:uiPriority w:val="34"/>
    <w:rPr>
      <w:rFonts w:ascii="Calibri" w:hAnsi="Calibri"/>
      <w:kern w:val="2"/>
      <w:sz w:val="21"/>
      <w:szCs w:val="22"/>
    </w:rPr>
  </w:style>
  <w:style w:type="character" w:customStyle="1" w:styleId="39">
    <w:name w:val="批注文字 字符"/>
    <w:autoRedefine/>
    <w:qFormat/>
    <w:uiPriority w:val="0"/>
    <w:rPr>
      <w:kern w:val="2"/>
      <w:sz w:val="21"/>
      <w:szCs w:val="24"/>
    </w:rPr>
  </w:style>
  <w:style w:type="paragraph" w:customStyle="1" w:styleId="4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1">
    <w:name w:val="表格内文字"/>
    <w:basedOn w:val="1"/>
    <w:autoRedefine/>
    <w:qFormat/>
    <w:uiPriority w:val="0"/>
    <w:pPr>
      <w:spacing w:line="300" w:lineRule="atLeast"/>
      <w:ind w:left="60" w:leftChars="-10" w:hanging="81" w:hangingChars="45"/>
      <w:jc w:val="center"/>
    </w:pPr>
    <w:rPr>
      <w:rFonts w:ascii="Arial" w:hAnsi="Arial" w:eastAsia="仿宋_GB2312" w:cs="Arial"/>
      <w:bCs/>
      <w:kern w:val="0"/>
      <w:sz w:val="18"/>
      <w:szCs w:val="18"/>
    </w:rPr>
  </w:style>
  <w:style w:type="paragraph" w:customStyle="1" w:styleId="42">
    <w:name w:val="表头文字"/>
    <w:basedOn w:val="1"/>
    <w:autoRedefine/>
    <w:qFormat/>
    <w:uiPriority w:val="0"/>
    <w:pPr>
      <w:spacing w:line="300" w:lineRule="atLeast"/>
      <w:jc w:val="center"/>
    </w:pPr>
    <w:rPr>
      <w:rFonts w:eastAsia="仿宋_GB2312"/>
      <w:sz w:val="18"/>
      <w:szCs w:val="20"/>
    </w:rPr>
  </w:style>
  <w:style w:type="character" w:customStyle="1" w:styleId="43">
    <w:name w:val="列表段落 字符"/>
    <w:autoRedefine/>
    <w:qFormat/>
    <w:uiPriority w:val="0"/>
    <w:rPr>
      <w:kern w:val="2"/>
      <w:sz w:val="21"/>
      <w:szCs w:val="22"/>
    </w:rPr>
  </w:style>
  <w:style w:type="character" w:customStyle="1" w:styleId="44">
    <w:name w:val="font81"/>
    <w:basedOn w:val="17"/>
    <w:autoRedefine/>
    <w:qFormat/>
    <w:uiPriority w:val="0"/>
    <w:rPr>
      <w:rFonts w:hint="eastAsia" w:ascii="宋体" w:hAnsi="宋体" w:eastAsia="宋体"/>
      <w:b/>
      <w:bCs/>
      <w:color w:val="000000"/>
      <w:sz w:val="30"/>
      <w:szCs w:val="30"/>
      <w:u w:val="none"/>
    </w:rPr>
  </w:style>
  <w:style w:type="character" w:customStyle="1" w:styleId="45">
    <w:name w:val="font101"/>
    <w:basedOn w:val="17"/>
    <w:autoRedefine/>
    <w:qFormat/>
    <w:uiPriority w:val="0"/>
    <w:rPr>
      <w:rFonts w:hint="default" w:ascii="PingFang SC" w:hAnsi="PingFang SC"/>
      <w:b/>
      <w:bCs/>
      <w:color w:val="000000"/>
      <w:sz w:val="30"/>
      <w:szCs w:val="30"/>
      <w:u w:val="none"/>
    </w:rPr>
  </w:style>
  <w:style w:type="paragraph" w:customStyle="1" w:styleId="46">
    <w:name w:val="列表段落1"/>
    <w:basedOn w:val="1"/>
    <w:autoRedefine/>
    <w:qFormat/>
    <w:uiPriority w:val="0"/>
    <w:pPr>
      <w:ind w:firstLine="420" w:firstLineChars="200"/>
    </w:pPr>
    <w:rPr>
      <w:rFonts w:ascii="Calibri" w:hAnsi="Calibri"/>
      <w:szCs w:val="24"/>
    </w:rPr>
  </w:style>
  <w:style w:type="paragraph" w:customStyle="1" w:styleId="47">
    <w:name w:val="修订2"/>
    <w:autoRedefine/>
    <w:hidden/>
    <w:semiHidden/>
    <w:qFormat/>
    <w:uiPriority w:val="99"/>
    <w:rPr>
      <w:rFonts w:ascii="Times New Roman" w:hAnsi="Times New Roman" w:eastAsia="宋体" w:cs="Times New Roman"/>
      <w:kern w:val="2"/>
      <w:sz w:val="21"/>
      <w:szCs w:val="22"/>
      <w:lang w:val="en-US" w:eastAsia="zh-CN" w:bidi="ar-SA"/>
    </w:rPr>
  </w:style>
  <w:style w:type="paragraph" w:styleId="48">
    <w:name w:val="List Paragraph"/>
    <w:basedOn w:val="1"/>
    <w:autoRedefine/>
    <w:qFormat/>
    <w:uiPriority w:val="34"/>
    <w:pPr>
      <w:ind w:firstLine="420" w:firstLineChars="200"/>
    </w:pPr>
  </w:style>
  <w:style w:type="paragraph" w:customStyle="1" w:styleId="49">
    <w:name w:val="表格文字"/>
    <w:basedOn w:val="1"/>
    <w:autoRedefine/>
    <w:qFormat/>
    <w:uiPriority w:val="0"/>
    <w:pPr>
      <w:spacing w:before="25" w:after="25"/>
    </w:pPr>
    <w:rPr>
      <w:bCs/>
      <w:spacing w:val="10"/>
      <w:sz w:val="24"/>
      <w:szCs w:val="20"/>
    </w:rPr>
  </w:style>
  <w:style w:type="paragraph" w:customStyle="1" w:styleId="50">
    <w:name w:val="图"/>
    <w:basedOn w:val="1"/>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51">
    <w:name w:val="正文正"/>
    <w:basedOn w:val="1"/>
    <w:autoRedefine/>
    <w:qFormat/>
    <w:uiPriority w:val="0"/>
    <w:pPr>
      <w:spacing w:line="560" w:lineRule="exact"/>
      <w:ind w:firstLine="561"/>
    </w:pPr>
    <w:rPr>
      <w:rFonts w:ascii="Calibri" w:hAnsi="Calibri"/>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FE4C0-0D34-4D40-9BAC-4C42D66F56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5076</Words>
  <Characters>5156</Characters>
  <Lines>44</Lines>
  <Paragraphs>12</Paragraphs>
  <TotalTime>0</TotalTime>
  <ScaleCrop>false</ScaleCrop>
  <LinksUpToDate>false</LinksUpToDate>
  <CharactersWithSpaces>5631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2022-10-09T16:37:00Z</dcterms:created>
  <dc:creator>Administrator</dc:creator>
  <cp:lastModifiedBy>爱睡觉的考拉</cp:lastModifiedBy>
  <dcterms:modified xsi:type="dcterms:W3CDTF">2024-04-02T08:55:47Z</dcterms:modified>
  <cp:revision>519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F0BB3E033A764215B04058CFE0E76A27_13</vt:lpwstr>
  </property>
</Properties>
</file>