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2196">
      <w:pPr>
        <w:snapToGrid w:val="0"/>
        <w:spacing w:before="156" w:beforeLines="50"/>
        <w:jc w:val="center"/>
        <w:rPr>
          <w:rFonts w:hint="eastAsia" w:ascii="宋体" w:hAnsi="宋体" w:eastAsia="宋体" w:cs="Times New Roman"/>
          <w:b/>
          <w:color w:val="auto"/>
          <w:sz w:val="84"/>
          <w:szCs w:val="84"/>
          <w:highlight w:val="none"/>
        </w:rPr>
      </w:pPr>
      <w:bookmarkStart w:id="79" w:name="_GoBack"/>
    </w:p>
    <w:p w14:paraId="68E53F0C">
      <w:pPr>
        <w:snapToGrid w:val="0"/>
        <w:spacing w:before="156" w:beforeLines="50"/>
        <w:jc w:val="center"/>
        <w:rPr>
          <w:rFonts w:ascii="Times New Roman" w:hAnsi="Times New Roman" w:eastAsia="宋体" w:cs="Times New Roman"/>
          <w:b/>
          <w:color w:val="auto"/>
          <w:sz w:val="84"/>
          <w:szCs w:val="84"/>
          <w:highlight w:val="none"/>
        </w:rPr>
      </w:pPr>
    </w:p>
    <w:p w14:paraId="3DB09B1B">
      <w:pPr>
        <w:snapToGrid w:val="0"/>
        <w:spacing w:before="156" w:beforeLines="50"/>
        <w:jc w:val="center"/>
        <w:rPr>
          <w:rFonts w:ascii="Times New Roman" w:hAnsi="Times New Roman" w:eastAsia="宋体" w:cs="Times New Roman"/>
          <w:b/>
          <w:bCs/>
          <w:color w:val="auto"/>
          <w:sz w:val="84"/>
          <w:szCs w:val="84"/>
          <w:highlight w:val="none"/>
        </w:rPr>
      </w:pPr>
      <w:r>
        <w:rPr>
          <w:rFonts w:hint="eastAsia" w:ascii="Times New Roman" w:hAnsi="Times New Roman" w:eastAsia="宋体" w:cs="Times New Roman"/>
          <w:b/>
          <w:color w:val="auto"/>
          <w:sz w:val="84"/>
          <w:szCs w:val="84"/>
          <w:highlight w:val="none"/>
        </w:rPr>
        <w:t>比价</w:t>
      </w:r>
      <w:r>
        <w:rPr>
          <w:rFonts w:ascii="Times New Roman" w:hAnsi="Times New Roman" w:eastAsia="宋体" w:cs="Times New Roman"/>
          <w:b/>
          <w:color w:val="auto"/>
          <w:sz w:val="84"/>
          <w:szCs w:val="84"/>
          <w:highlight w:val="none"/>
        </w:rPr>
        <w:t>文件</w:t>
      </w:r>
    </w:p>
    <w:p w14:paraId="3B3B3C4A">
      <w:pPr>
        <w:spacing w:line="360" w:lineRule="auto"/>
        <w:jc w:val="center"/>
        <w:rPr>
          <w:rFonts w:ascii="Times New Roman" w:hAnsi="Times New Roman" w:eastAsia="宋体" w:cs="Times New Roman"/>
          <w:b/>
          <w:bCs/>
          <w:color w:val="auto"/>
          <w:sz w:val="24"/>
          <w:szCs w:val="24"/>
          <w:highlight w:val="none"/>
        </w:rPr>
      </w:pPr>
    </w:p>
    <w:p w14:paraId="6A84C8C8">
      <w:pPr>
        <w:spacing w:line="360" w:lineRule="auto"/>
        <w:rPr>
          <w:rFonts w:ascii="Times New Roman" w:hAnsi="Times New Roman" w:eastAsia="宋体" w:cs="Times New Roman"/>
          <w:color w:val="auto"/>
          <w:sz w:val="30"/>
          <w:szCs w:val="30"/>
          <w:highlight w:val="none"/>
        </w:rPr>
      </w:pPr>
    </w:p>
    <w:p w14:paraId="0317A210">
      <w:pPr>
        <w:spacing w:line="360" w:lineRule="auto"/>
        <w:rPr>
          <w:rFonts w:ascii="Times New Roman" w:hAnsi="Times New Roman" w:eastAsia="宋体" w:cs="Times New Roman"/>
          <w:color w:val="auto"/>
          <w:sz w:val="30"/>
          <w:szCs w:val="30"/>
          <w:highlight w:val="none"/>
        </w:rPr>
      </w:pPr>
    </w:p>
    <w:p w14:paraId="3CB0E786">
      <w:pPr>
        <w:spacing w:line="360" w:lineRule="auto"/>
        <w:rPr>
          <w:rFonts w:ascii="Times New Roman" w:hAnsi="Times New Roman" w:eastAsia="宋体" w:cs="Times New Roman"/>
          <w:color w:val="auto"/>
          <w:sz w:val="30"/>
          <w:szCs w:val="30"/>
          <w:highlight w:val="none"/>
        </w:rPr>
      </w:pPr>
    </w:p>
    <w:p w14:paraId="69AEE3DC">
      <w:pPr>
        <w:spacing w:line="360" w:lineRule="auto"/>
        <w:rPr>
          <w:rFonts w:ascii="Times New Roman" w:hAnsi="Times New Roman" w:eastAsia="宋体" w:cs="Times New Roman"/>
          <w:color w:val="auto"/>
          <w:sz w:val="30"/>
          <w:szCs w:val="30"/>
          <w:highlight w:val="none"/>
        </w:rPr>
      </w:pPr>
    </w:p>
    <w:p w14:paraId="75685A24">
      <w:pPr>
        <w:spacing w:line="360" w:lineRule="auto"/>
        <w:jc w:val="left"/>
        <w:rPr>
          <w:rFonts w:ascii="Times New Roman" w:hAnsi="Times New Roman" w:eastAsia="宋体" w:cs="Times New Roman"/>
          <w:b/>
          <w:bCs/>
          <w:color w:val="auto"/>
          <w:sz w:val="28"/>
          <w:szCs w:val="32"/>
          <w:highlight w:val="none"/>
        </w:rPr>
      </w:pPr>
      <w:r>
        <w:rPr>
          <w:rFonts w:ascii="Times New Roman" w:hAnsi="Times New Roman" w:eastAsia="宋体" w:cs="Times New Roman"/>
          <w:b/>
          <w:bCs/>
          <w:color w:val="auto"/>
          <w:sz w:val="28"/>
          <w:szCs w:val="32"/>
          <w:highlight w:val="none"/>
        </w:rPr>
        <w:t>采购方式：</w:t>
      </w:r>
      <w:r>
        <w:rPr>
          <w:rFonts w:hint="eastAsia" w:ascii="Times New Roman" w:hAnsi="Times New Roman" w:eastAsia="宋体" w:cs="Times New Roman"/>
          <w:b/>
          <w:bCs/>
          <w:color w:val="auto"/>
          <w:sz w:val="28"/>
          <w:szCs w:val="32"/>
          <w:highlight w:val="none"/>
        </w:rPr>
        <w:t>比价</w:t>
      </w:r>
    </w:p>
    <w:p w14:paraId="3F571482">
      <w:pPr>
        <w:spacing w:line="360" w:lineRule="auto"/>
        <w:jc w:val="left"/>
        <w:rPr>
          <w:rFonts w:hint="eastAsia" w:ascii="Times New Roman" w:hAnsi="Times New Roman" w:eastAsia="宋体" w:cs="Times New Roman"/>
          <w:b/>
          <w:bCs/>
          <w:color w:val="auto"/>
          <w:sz w:val="28"/>
          <w:szCs w:val="32"/>
          <w:highlight w:val="none"/>
          <w:lang w:eastAsia="zh-CN"/>
        </w:rPr>
      </w:pPr>
      <w:r>
        <w:rPr>
          <w:rFonts w:ascii="Times New Roman" w:hAnsi="Times New Roman" w:eastAsia="宋体" w:cs="Times New Roman"/>
          <w:b/>
          <w:bCs/>
          <w:color w:val="auto"/>
          <w:sz w:val="28"/>
          <w:szCs w:val="32"/>
          <w:highlight w:val="none"/>
        </w:rPr>
        <w:t>项目名称：</w:t>
      </w:r>
      <w:r>
        <w:rPr>
          <w:rFonts w:hint="eastAsia" w:ascii="Times New Roman" w:hAnsi="Times New Roman" w:eastAsia="宋体" w:cs="Times New Roman"/>
          <w:b/>
          <w:bCs/>
          <w:color w:val="auto"/>
          <w:sz w:val="28"/>
          <w:szCs w:val="32"/>
          <w:highlight w:val="none"/>
          <w:lang w:eastAsia="zh-CN"/>
        </w:rPr>
        <w:t>回旋水域清淤整治工程</w:t>
      </w:r>
    </w:p>
    <w:p w14:paraId="0ABA9BC4">
      <w:pPr>
        <w:snapToGrid w:val="0"/>
        <w:spacing w:before="156" w:beforeLines="50" w:after="156" w:afterLines="50" w:line="360" w:lineRule="auto"/>
        <w:jc w:val="center"/>
        <w:rPr>
          <w:rFonts w:ascii="Times New Roman" w:hAnsi="Times New Roman" w:eastAsia="宋体" w:cs="Times New Roman"/>
          <w:color w:val="auto"/>
          <w:sz w:val="30"/>
          <w:szCs w:val="30"/>
          <w:highlight w:val="none"/>
        </w:rPr>
      </w:pPr>
    </w:p>
    <w:p w14:paraId="33F66E31">
      <w:pPr>
        <w:autoSpaceDE w:val="0"/>
        <w:autoSpaceDN w:val="0"/>
        <w:adjustRightInd w:val="0"/>
        <w:snapToGrid w:val="0"/>
        <w:spacing w:before="156" w:beforeLines="50" w:after="156" w:afterLines="50" w:line="360" w:lineRule="auto"/>
        <w:jc w:val="center"/>
        <w:rPr>
          <w:rFonts w:ascii="Times New Roman" w:hAnsi="Times New Roman" w:eastAsia="宋体" w:cs="Times New Roman"/>
          <w:color w:val="auto"/>
          <w:kern w:val="0"/>
          <w:sz w:val="30"/>
          <w:szCs w:val="30"/>
          <w:highlight w:val="none"/>
        </w:rPr>
      </w:pPr>
    </w:p>
    <w:p w14:paraId="0FEE2C4A">
      <w:pPr>
        <w:autoSpaceDE w:val="0"/>
        <w:autoSpaceDN w:val="0"/>
        <w:adjustRightInd w:val="0"/>
        <w:snapToGrid w:val="0"/>
        <w:spacing w:before="156" w:beforeLines="50" w:after="156" w:afterLines="50" w:line="360" w:lineRule="auto"/>
        <w:jc w:val="left"/>
        <w:rPr>
          <w:rFonts w:ascii="Times New Roman" w:hAnsi="Times New Roman" w:eastAsia="宋体" w:cs="Times New Roman"/>
          <w:color w:val="auto"/>
          <w:kern w:val="0"/>
          <w:sz w:val="30"/>
          <w:szCs w:val="30"/>
          <w:highlight w:val="none"/>
        </w:rPr>
      </w:pPr>
    </w:p>
    <w:p w14:paraId="3F25C83B">
      <w:pPr>
        <w:autoSpaceDE w:val="0"/>
        <w:autoSpaceDN w:val="0"/>
        <w:adjustRightInd w:val="0"/>
        <w:snapToGrid w:val="0"/>
        <w:spacing w:line="360" w:lineRule="auto"/>
        <w:jc w:val="center"/>
        <w:rPr>
          <w:rFonts w:ascii="Times New Roman" w:hAnsi="Times New Roman" w:eastAsia="宋体" w:cs="Times New Roman"/>
          <w:b/>
          <w:bCs/>
          <w:color w:val="auto"/>
          <w:sz w:val="28"/>
          <w:szCs w:val="32"/>
          <w:highlight w:val="none"/>
        </w:rPr>
      </w:pPr>
    </w:p>
    <w:p w14:paraId="277F65DD">
      <w:pPr>
        <w:autoSpaceDE w:val="0"/>
        <w:autoSpaceDN w:val="0"/>
        <w:adjustRightInd w:val="0"/>
        <w:snapToGrid w:val="0"/>
        <w:spacing w:line="360" w:lineRule="auto"/>
        <w:jc w:val="center"/>
        <w:rPr>
          <w:rFonts w:ascii="Times New Roman" w:hAnsi="Times New Roman" w:eastAsia="宋体" w:cs="Times New Roman"/>
          <w:b/>
          <w:bCs/>
          <w:color w:val="auto"/>
          <w:sz w:val="28"/>
          <w:szCs w:val="32"/>
          <w:highlight w:val="none"/>
        </w:rPr>
      </w:pPr>
      <w:r>
        <w:rPr>
          <w:rFonts w:ascii="Times New Roman" w:hAnsi="Times New Roman" w:eastAsia="宋体" w:cs="Times New Roman"/>
          <w:b/>
          <w:bCs/>
          <w:color w:val="auto"/>
          <w:sz w:val="28"/>
          <w:szCs w:val="32"/>
          <w:highlight w:val="none"/>
        </w:rPr>
        <w:t>交通运输部南海航海保障中心广州航标处</w:t>
      </w:r>
    </w:p>
    <w:p w14:paraId="5D738E60">
      <w:pPr>
        <w:autoSpaceDE w:val="0"/>
        <w:autoSpaceDN w:val="0"/>
        <w:adjustRightInd w:val="0"/>
        <w:snapToGrid w:val="0"/>
        <w:spacing w:line="360" w:lineRule="auto"/>
        <w:jc w:val="center"/>
        <w:rPr>
          <w:rFonts w:ascii="Times New Roman" w:hAnsi="Times New Roman" w:eastAsia="宋体" w:cs="Times New Roman"/>
          <w:b/>
          <w:color w:val="auto"/>
          <w:sz w:val="28"/>
          <w:highlight w:val="none"/>
        </w:rPr>
      </w:pPr>
      <w:r>
        <w:rPr>
          <w:rFonts w:hint="eastAsia" w:ascii="Times New Roman" w:hAnsi="Times New Roman" w:eastAsia="宋体" w:cs="Times New Roman"/>
          <w:b/>
          <w:color w:val="auto"/>
          <w:sz w:val="28"/>
          <w:highlight w:val="none"/>
        </w:rPr>
        <w:t>采联国际招标采购集团有限公司</w:t>
      </w:r>
    </w:p>
    <w:p w14:paraId="3529D078">
      <w:pPr>
        <w:autoSpaceDE w:val="0"/>
        <w:autoSpaceDN w:val="0"/>
        <w:adjustRightInd w:val="0"/>
        <w:snapToGrid w:val="0"/>
        <w:spacing w:line="360" w:lineRule="auto"/>
        <w:jc w:val="center"/>
        <w:rPr>
          <w:rFonts w:ascii="Times New Roman" w:hAnsi="Times New Roman" w:eastAsia="宋体" w:cs="Times New Roman"/>
          <w:b/>
          <w:color w:val="auto"/>
          <w:sz w:val="28"/>
          <w:highlight w:val="none"/>
        </w:rPr>
      </w:pPr>
      <w:bookmarkStart w:id="0" w:name="PO_te_文件编制日期_5_1"/>
      <w:r>
        <w:rPr>
          <w:rFonts w:hint="eastAsia" w:ascii="Times New Roman" w:hAnsi="Times New Roman" w:eastAsia="宋体" w:cs="Times New Roman"/>
          <w:b/>
          <w:color w:val="auto"/>
          <w:sz w:val="28"/>
          <w:highlight w:val="none"/>
        </w:rPr>
        <w:t>二零二五年</w:t>
      </w:r>
      <w:r>
        <w:rPr>
          <w:rFonts w:hint="eastAsia" w:ascii="Times New Roman" w:hAnsi="Times New Roman" w:eastAsia="宋体" w:cs="Times New Roman"/>
          <w:b/>
          <w:color w:val="auto"/>
          <w:sz w:val="28"/>
          <w:highlight w:val="none"/>
          <w:lang w:val="en-US" w:eastAsia="zh-CN"/>
        </w:rPr>
        <w:t>十</w:t>
      </w:r>
      <w:r>
        <w:rPr>
          <w:rFonts w:hint="eastAsia" w:ascii="Times New Roman" w:hAnsi="Times New Roman" w:eastAsia="宋体" w:cs="Times New Roman"/>
          <w:b/>
          <w:color w:val="auto"/>
          <w:sz w:val="28"/>
          <w:highlight w:val="none"/>
        </w:rPr>
        <w:t>月</w:t>
      </w:r>
      <w:bookmarkEnd w:id="0"/>
    </w:p>
    <w:p w14:paraId="202F4C09">
      <w:pPr>
        <w:autoSpaceDE w:val="0"/>
        <w:autoSpaceDN w:val="0"/>
        <w:adjustRightInd w:val="0"/>
        <w:snapToGrid w:val="0"/>
        <w:spacing w:line="360" w:lineRule="auto"/>
        <w:ind w:left="420" w:firstLine="420"/>
        <w:jc w:val="center"/>
        <w:rPr>
          <w:rFonts w:ascii="Times New Roman" w:hAnsi="Times New Roman" w:eastAsia="宋体" w:cs="Times New Roman"/>
          <w:color w:val="auto"/>
          <w:sz w:val="28"/>
          <w:highlight w:val="none"/>
        </w:rPr>
      </w:pPr>
    </w:p>
    <w:p w14:paraId="5184B0D6">
      <w:pPr>
        <w:autoSpaceDE w:val="0"/>
        <w:autoSpaceDN w:val="0"/>
        <w:adjustRightInd w:val="0"/>
        <w:snapToGrid w:val="0"/>
        <w:spacing w:line="360" w:lineRule="auto"/>
        <w:ind w:left="420" w:firstLine="420"/>
        <w:jc w:val="center"/>
        <w:rPr>
          <w:rFonts w:ascii="Times New Roman" w:hAnsi="Times New Roman" w:eastAsia="宋体" w:cs="Times New Roman"/>
          <w:b/>
          <w:bCs/>
          <w:color w:val="auto"/>
          <w:sz w:val="28"/>
          <w:szCs w:val="32"/>
          <w:highlight w:val="none"/>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p w14:paraId="6A80EB17">
      <w:pPr>
        <w:pStyle w:val="2"/>
        <w:numPr>
          <w:ilvl w:val="0"/>
          <w:numId w:val="0"/>
        </w:numPr>
        <w:tabs>
          <w:tab w:val="left" w:pos="0"/>
          <w:tab w:val="left" w:pos="3165"/>
          <w:tab w:val="center" w:pos="4153"/>
        </w:tabs>
        <w:autoSpaceDE w:val="0"/>
        <w:autoSpaceDN w:val="0"/>
        <w:adjustRightInd w:val="0"/>
        <w:spacing w:before="0" w:after="0" w:line="360" w:lineRule="auto"/>
        <w:ind w:left="288"/>
        <w:jc w:val="center"/>
        <w:rPr>
          <w:rFonts w:ascii="Times New Roman" w:hAnsi="Times New Roman" w:eastAsia="方正小标宋_GBK" w:cs="方正小标宋_GBK"/>
          <w:b w:val="0"/>
          <w:bCs w:val="0"/>
          <w:color w:val="auto"/>
          <w:highlight w:val="none"/>
        </w:rPr>
      </w:pPr>
      <w:bookmarkStart w:id="1" w:name="PO_t_第一章采购公告_1"/>
      <w:r>
        <w:rPr>
          <w:rFonts w:hint="eastAsia" w:ascii="宋体" w:hAnsi="宋体" w:eastAsia="宋体" w:cs="宋体"/>
          <w:color w:val="auto"/>
          <w:sz w:val="32"/>
          <w:szCs w:val="32"/>
          <w:highlight w:val="none"/>
        </w:rPr>
        <w:t xml:space="preserve">第一章 </w:t>
      </w:r>
      <w:r>
        <w:rPr>
          <w:rFonts w:hint="eastAsia" w:ascii="宋体" w:hAnsi="宋体" w:eastAsia="宋体" w:cs="宋体"/>
          <w:color w:val="auto"/>
          <w:kern w:val="2"/>
          <w:sz w:val="32"/>
          <w:szCs w:val="32"/>
          <w:highlight w:val="none"/>
        </w:rPr>
        <w:t>采 购 公 告</w:t>
      </w:r>
    </w:p>
    <w:bookmarkEnd w:id="1"/>
    <w:p w14:paraId="6EC7BA07">
      <w:pPr>
        <w:pBdr>
          <w:top w:val="single" w:color="auto" w:sz="4" w:space="1"/>
          <w:left w:val="single" w:color="auto" w:sz="4" w:space="4"/>
          <w:bottom w:val="single" w:color="auto" w:sz="4" w:space="1"/>
          <w:right w:val="single" w:color="auto" w:sz="4" w:space="4"/>
        </w:pBd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7F38953A">
      <w:pPr>
        <w:pBdr>
          <w:top w:val="single" w:color="auto" w:sz="4" w:space="1"/>
          <w:left w:val="single" w:color="auto" w:sz="4" w:space="4"/>
          <w:bottom w:val="single" w:color="auto" w:sz="4" w:space="1"/>
          <w:right w:val="single" w:color="auto" w:sz="4" w:space="4"/>
        </w:pBdr>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回旋水域清淤整治工程</w:t>
      </w:r>
      <w:r>
        <w:rPr>
          <w:rFonts w:hint="eastAsia" w:ascii="宋体" w:hAnsi="宋体" w:eastAsia="宋体" w:cs="宋体"/>
          <w:color w:val="auto"/>
          <w:szCs w:val="21"/>
          <w:highlight w:val="none"/>
        </w:rPr>
        <w:t>的潜在供应商应在云采链线上采购一体化平台</w:t>
      </w:r>
      <w:r>
        <w:rPr>
          <w:rFonts w:hint="eastAsia" w:ascii="宋体" w:hAnsi="宋体" w:eastAsia="宋体" w:cs="宋体"/>
          <w:color w:val="auto"/>
          <w:szCs w:val="21"/>
          <w:highlight w:val="none"/>
          <w:u w:val="single"/>
        </w:rPr>
        <w:t>https://www.choicelink.cn</w:t>
      </w:r>
      <w:r>
        <w:rPr>
          <w:rFonts w:hint="eastAsia" w:ascii="宋体" w:hAnsi="宋体" w:eastAsia="宋体" w:cs="宋体"/>
          <w:color w:val="auto"/>
          <w:szCs w:val="21"/>
          <w:highlight w:val="none"/>
        </w:rPr>
        <w:t>获取比价文件，并于</w:t>
      </w:r>
      <w:r>
        <w:rPr>
          <w:rFonts w:hint="eastAsia" w:ascii="宋体" w:hAnsi="宋体" w:eastAsia="宋体" w:cs="宋体"/>
          <w:color w:val="auto"/>
          <w:szCs w:val="21"/>
          <w:highlight w:val="none"/>
          <w:u w:val="single"/>
        </w:rPr>
        <w:t>2025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点00分（</w:t>
      </w:r>
      <w:r>
        <w:rPr>
          <w:rFonts w:hint="eastAsia" w:ascii="宋体" w:hAnsi="宋体" w:eastAsia="宋体" w:cs="宋体"/>
          <w:bCs/>
          <w:color w:val="auto"/>
          <w:szCs w:val="21"/>
          <w:highlight w:val="none"/>
        </w:rPr>
        <w:t>北京时间）前递交响应文件</w:t>
      </w:r>
      <w:r>
        <w:rPr>
          <w:rFonts w:hint="eastAsia" w:ascii="宋体" w:hAnsi="宋体" w:eastAsia="宋体" w:cs="宋体"/>
          <w:color w:val="auto"/>
          <w:szCs w:val="21"/>
          <w:highlight w:val="none"/>
        </w:rPr>
        <w:t>。</w:t>
      </w:r>
    </w:p>
    <w:p w14:paraId="38C1C77C">
      <w:pPr>
        <w:pStyle w:val="3"/>
        <w:adjustRightInd w:val="0"/>
        <w:snapToGrid w:val="0"/>
        <w:spacing w:before="0" w:after="0" w:line="360" w:lineRule="auto"/>
        <w:rPr>
          <w:rFonts w:hint="eastAsia" w:ascii="宋体" w:hAnsi="宋体" w:eastAsia="宋体" w:cs="宋体"/>
          <w:bCs w:val="0"/>
          <w:color w:val="auto"/>
          <w:sz w:val="21"/>
          <w:szCs w:val="21"/>
          <w:highlight w:val="none"/>
        </w:rPr>
      </w:pPr>
      <w:bookmarkStart w:id="2" w:name="_Toc28359079"/>
      <w:bookmarkStart w:id="3" w:name="_Toc28359002"/>
      <w:bookmarkStart w:id="4" w:name="_Toc35393621"/>
      <w:bookmarkStart w:id="5" w:name="_Toc35393790"/>
      <w:bookmarkStart w:id="6" w:name="PO_t_采购基本情况_2"/>
      <w:bookmarkStart w:id="7" w:name="_Hlk24379207"/>
      <w:r>
        <w:rPr>
          <w:rFonts w:hint="eastAsia" w:ascii="宋体" w:hAnsi="宋体" w:eastAsia="宋体" w:cs="宋体"/>
          <w:bCs w:val="0"/>
          <w:color w:val="auto"/>
          <w:sz w:val="21"/>
          <w:szCs w:val="21"/>
          <w:highlight w:val="none"/>
        </w:rPr>
        <w:t>一、采购基本情况</w:t>
      </w:r>
      <w:bookmarkEnd w:id="2"/>
      <w:bookmarkEnd w:id="3"/>
      <w:bookmarkEnd w:id="4"/>
      <w:bookmarkEnd w:id="5"/>
    </w:p>
    <w:bookmarkEnd w:id="6"/>
    <w:p w14:paraId="7D0EABCC">
      <w:pPr>
        <w:adjustRightInd w:val="0"/>
        <w:snapToGrid w:val="0"/>
        <w:spacing w:line="360" w:lineRule="auto"/>
        <w:ind w:firstLine="424"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采购名称：</w:t>
      </w:r>
      <w:r>
        <w:rPr>
          <w:rFonts w:hint="eastAsia" w:ascii="宋体" w:hAnsi="宋体" w:eastAsia="宋体" w:cs="宋体"/>
          <w:color w:val="auto"/>
          <w:szCs w:val="21"/>
          <w:highlight w:val="none"/>
          <w:lang w:eastAsia="zh-CN"/>
        </w:rPr>
        <w:t>回旋水域清淤整治工程</w:t>
      </w:r>
    </w:p>
    <w:p w14:paraId="36E1A373">
      <w:pPr>
        <w:adjustRightInd w:val="0"/>
        <w:snapToGrid w:val="0"/>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采购方式：☑比价 □竞价 □综合评选</w:t>
      </w:r>
    </w:p>
    <w:bookmarkEnd w:id="7"/>
    <w:p w14:paraId="094853D0">
      <w:pPr>
        <w:adjustRightInd w:val="0"/>
        <w:snapToGrid w:val="0"/>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最高限价：人民币</w:t>
      </w:r>
      <w:bookmarkStart w:id="8" w:name="PO_te_采购预算_7_1"/>
      <w:bookmarkEnd w:id="8"/>
      <w:r>
        <w:rPr>
          <w:rFonts w:hint="eastAsia" w:ascii="宋体" w:hAnsi="宋体" w:eastAsia="宋体" w:cs="宋体"/>
          <w:color w:val="auto"/>
          <w:szCs w:val="21"/>
          <w:highlight w:val="none"/>
          <w:lang w:val="en-US" w:eastAsia="zh-CN"/>
        </w:rPr>
        <w:t>487000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p>
    <w:p w14:paraId="36C40EA8">
      <w:pPr>
        <w:adjustRightInd w:val="0"/>
        <w:snapToGrid w:val="0"/>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bl>
      <w:tblPr>
        <w:tblStyle w:val="17"/>
        <w:tblW w:w="478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491"/>
        <w:gridCol w:w="1423"/>
        <w:gridCol w:w="4248"/>
      </w:tblGrid>
      <w:tr w14:paraId="654C0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3110" w:type="dxa"/>
            <w:shd w:val="clear" w:color="auto" w:fill="EEECE1"/>
            <w:vAlign w:val="center"/>
          </w:tcPr>
          <w:p w14:paraId="1A73106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采购内容</w:t>
            </w:r>
          </w:p>
        </w:tc>
        <w:tc>
          <w:tcPr>
            <w:tcW w:w="1267" w:type="dxa"/>
            <w:shd w:val="clear" w:color="auto" w:fill="EEECE1"/>
            <w:vAlign w:val="center"/>
          </w:tcPr>
          <w:p w14:paraId="4B4A3E2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3783" w:type="dxa"/>
            <w:shd w:val="clear" w:color="auto" w:fill="EEECE1"/>
            <w:vAlign w:val="center"/>
          </w:tcPr>
          <w:p w14:paraId="7A3F311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项目工期</w:t>
            </w:r>
          </w:p>
        </w:tc>
      </w:tr>
      <w:tr w14:paraId="0C38D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jc w:val="center"/>
        </w:trPr>
        <w:tc>
          <w:tcPr>
            <w:tcW w:w="3110" w:type="dxa"/>
            <w:vAlign w:val="center"/>
          </w:tcPr>
          <w:p w14:paraId="3000F2A7">
            <w:pPr>
              <w:jc w:val="center"/>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eastAsia="zh-CN"/>
              </w:rPr>
              <w:t>回旋水域清淤整治工程</w:t>
            </w:r>
          </w:p>
        </w:tc>
        <w:tc>
          <w:tcPr>
            <w:tcW w:w="1267" w:type="dxa"/>
            <w:vAlign w:val="center"/>
          </w:tcPr>
          <w:p w14:paraId="2F69D0BA">
            <w:pPr>
              <w:jc w:val="center"/>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项</w:t>
            </w:r>
          </w:p>
        </w:tc>
        <w:tc>
          <w:tcPr>
            <w:tcW w:w="3783" w:type="dxa"/>
            <w:vAlign w:val="center"/>
          </w:tcPr>
          <w:p w14:paraId="0979442B">
            <w:pPr>
              <w:pStyle w:val="25"/>
              <w:snapToGrid w:val="0"/>
              <w:ind w:firstLine="0" w:firstLineChars="0"/>
              <w:jc w:val="center"/>
              <w:rPr>
                <w:rFonts w:hint="eastAsia" w:ascii="宋体" w:hAnsi="宋体" w:eastAsia="宋体" w:cs="宋体"/>
                <w:color w:val="auto"/>
                <w:szCs w:val="21"/>
                <w:highlight w:val="none"/>
              </w:rPr>
            </w:pPr>
            <w:r>
              <w:rPr>
                <w:rFonts w:hint="eastAsia" w:asciiTheme="minorEastAsia" w:hAnsiTheme="minorEastAsia" w:eastAsiaTheme="minorEastAsia"/>
                <w:snapToGrid/>
                <w:color w:val="auto"/>
                <w:spacing w:val="0"/>
                <w:kern w:val="2"/>
                <w:sz w:val="21"/>
                <w:szCs w:val="21"/>
                <w:highlight w:val="none"/>
              </w:rPr>
              <w:t>自合同签订之日起</w:t>
            </w:r>
            <w:r>
              <w:rPr>
                <w:rFonts w:hint="eastAsia" w:asciiTheme="minorEastAsia" w:hAnsiTheme="minorEastAsia" w:eastAsiaTheme="minorEastAsia"/>
                <w:snapToGrid/>
                <w:color w:val="auto"/>
                <w:spacing w:val="0"/>
                <w:kern w:val="2"/>
                <w:sz w:val="21"/>
                <w:szCs w:val="21"/>
                <w:highlight w:val="none"/>
                <w:u w:val="single"/>
                <w:lang w:val="en-US" w:eastAsia="zh-CN"/>
              </w:rPr>
              <w:t>40</w:t>
            </w:r>
            <w:r>
              <w:rPr>
                <w:rFonts w:hint="eastAsia" w:asciiTheme="minorEastAsia" w:hAnsiTheme="minorEastAsia" w:eastAsiaTheme="minorEastAsia"/>
                <w:snapToGrid/>
                <w:color w:val="auto"/>
                <w:spacing w:val="0"/>
                <w:kern w:val="2"/>
                <w:sz w:val="21"/>
                <w:szCs w:val="21"/>
                <w:highlight w:val="none"/>
              </w:rPr>
              <w:t>个日历天</w:t>
            </w:r>
          </w:p>
        </w:tc>
      </w:tr>
    </w:tbl>
    <w:p w14:paraId="7C57C0F7">
      <w:pPr>
        <w:adjustRightInd w:val="0"/>
        <w:snapToGrid w:val="0"/>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本项目不接受联合体响应。</w:t>
      </w:r>
    </w:p>
    <w:p w14:paraId="4D92C475">
      <w:pPr>
        <w:pStyle w:val="3"/>
        <w:numPr>
          <w:ilvl w:val="0"/>
          <w:numId w:val="3"/>
        </w:numPr>
        <w:adjustRightInd w:val="0"/>
        <w:snapToGrid w:val="0"/>
        <w:spacing w:before="0" w:after="0" w:line="360" w:lineRule="auto"/>
        <w:rPr>
          <w:rFonts w:hint="eastAsia" w:ascii="宋体" w:hAnsi="宋体" w:eastAsia="宋体" w:cs="宋体"/>
          <w:bCs w:val="0"/>
          <w:color w:val="auto"/>
          <w:sz w:val="21"/>
          <w:szCs w:val="21"/>
          <w:highlight w:val="none"/>
        </w:rPr>
      </w:pPr>
      <w:bookmarkStart w:id="9" w:name="PO_t_供应商的资格要求_3"/>
      <w:r>
        <w:rPr>
          <w:rFonts w:hint="eastAsia" w:ascii="宋体" w:hAnsi="宋体" w:eastAsia="宋体" w:cs="宋体"/>
          <w:bCs w:val="0"/>
          <w:color w:val="auto"/>
          <w:sz w:val="21"/>
          <w:szCs w:val="21"/>
          <w:highlight w:val="none"/>
        </w:rPr>
        <w:t>供应商的资格要求</w:t>
      </w:r>
    </w:p>
    <w:bookmarkEnd w:id="9"/>
    <w:p w14:paraId="1AB7A1E8">
      <w:pPr>
        <w:pStyle w:val="25"/>
        <w:widowControl/>
        <w:numPr>
          <w:ilvl w:val="0"/>
          <w:numId w:val="4"/>
        </w:numPr>
        <w:spacing w:line="360" w:lineRule="auto"/>
        <w:ind w:hanging="5" w:firstLineChars="0"/>
        <w:jc w:val="left"/>
        <w:outlineLvl w:val="0"/>
        <w:rPr>
          <w:rFonts w:ascii="Times New Roman" w:hAnsi="Times New Roman" w:cs="Times New Roman"/>
          <w:color w:val="auto"/>
          <w:kern w:val="0"/>
          <w:szCs w:val="20"/>
          <w:highlight w:val="none"/>
        </w:rPr>
      </w:pPr>
      <w:r>
        <w:rPr>
          <w:rFonts w:ascii="Times New Roman" w:hAnsi="Times New Roman" w:cs="Times New Roman"/>
          <w:color w:val="auto"/>
          <w:kern w:val="0"/>
          <w:szCs w:val="20"/>
          <w:highlight w:val="none"/>
        </w:rPr>
        <w:t>供应商提供在中华人民共和国境内注册的法人或其他组织的营业执照或事业单位法</w:t>
      </w:r>
      <w:r>
        <w:rPr>
          <w:rFonts w:hint="eastAsia" w:ascii="Times New Roman" w:hAnsi="Times New Roman" w:cs="Times New Roman"/>
          <w:color w:val="auto"/>
          <w:kern w:val="0"/>
          <w:szCs w:val="20"/>
          <w:highlight w:val="none"/>
          <w:lang w:val="en-US" w:eastAsia="zh-CN"/>
        </w:rPr>
        <w:t xml:space="preserve"> </w:t>
      </w:r>
    </w:p>
    <w:p w14:paraId="128798BE">
      <w:pPr>
        <w:pStyle w:val="25"/>
        <w:widowControl/>
        <w:numPr>
          <w:ilvl w:val="0"/>
          <w:numId w:val="0"/>
        </w:numPr>
        <w:spacing w:line="360" w:lineRule="auto"/>
        <w:ind w:left="636" w:leftChars="300" w:firstLine="0" w:firstLineChars="0"/>
        <w:jc w:val="left"/>
        <w:outlineLvl w:val="0"/>
        <w:rPr>
          <w:rFonts w:ascii="Times New Roman" w:hAnsi="Times New Roman" w:cs="Times New Roman"/>
          <w:color w:val="auto"/>
          <w:kern w:val="0"/>
          <w:szCs w:val="20"/>
          <w:highlight w:val="none"/>
        </w:rPr>
      </w:pPr>
      <w:r>
        <w:rPr>
          <w:rFonts w:ascii="Times New Roman" w:hAnsi="Times New Roman" w:cs="Times New Roman"/>
          <w:color w:val="auto"/>
          <w:kern w:val="0"/>
          <w:szCs w:val="20"/>
          <w:highlight w:val="none"/>
        </w:rPr>
        <w:t>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010C232">
      <w:pPr>
        <w:pStyle w:val="25"/>
        <w:widowControl/>
        <w:numPr>
          <w:ilvl w:val="0"/>
          <w:numId w:val="4"/>
        </w:numPr>
        <w:spacing w:line="360" w:lineRule="auto"/>
        <w:ind w:hanging="5" w:firstLineChars="0"/>
        <w:jc w:val="left"/>
        <w:outlineLvl w:val="0"/>
        <w:rPr>
          <w:rFonts w:ascii="Times New Roman" w:hAnsi="Times New Roman" w:cs="Times New Roman"/>
          <w:color w:val="auto"/>
          <w:kern w:val="0"/>
          <w:szCs w:val="20"/>
          <w:highlight w:val="none"/>
        </w:rPr>
      </w:pPr>
      <w:r>
        <w:rPr>
          <w:rFonts w:ascii="Times New Roman" w:hAnsi="Times New Roman" w:cs="Times New Roman"/>
          <w:color w:val="auto"/>
          <w:kern w:val="0"/>
          <w:szCs w:val="20"/>
          <w:highlight w:val="none"/>
        </w:rPr>
        <w:t>供应商符合《中华人民共和国政府采购法》的第二十二条规定，</w:t>
      </w:r>
      <w:r>
        <w:rPr>
          <w:rFonts w:hint="eastAsia" w:ascii="Times New Roman" w:hAnsi="Times New Roman" w:cs="Times New Roman"/>
          <w:color w:val="auto"/>
          <w:kern w:val="0"/>
          <w:szCs w:val="20"/>
          <w:highlight w:val="none"/>
        </w:rPr>
        <w:t>近三年经营活动中没</w:t>
      </w:r>
    </w:p>
    <w:p w14:paraId="76FB7B80">
      <w:pPr>
        <w:pStyle w:val="25"/>
        <w:widowControl/>
        <w:numPr>
          <w:ilvl w:val="0"/>
          <w:numId w:val="0"/>
        </w:numPr>
        <w:spacing w:line="360" w:lineRule="auto"/>
        <w:ind w:left="636" w:leftChars="300" w:firstLine="0" w:firstLineChars="0"/>
        <w:jc w:val="left"/>
        <w:outlineLvl w:val="0"/>
        <w:rPr>
          <w:rFonts w:ascii="Times New Roman" w:hAnsi="Times New Roman" w:cs="Times New Roman"/>
          <w:color w:val="auto"/>
          <w:kern w:val="0"/>
          <w:szCs w:val="20"/>
          <w:highlight w:val="none"/>
        </w:rPr>
      </w:pPr>
      <w:r>
        <w:rPr>
          <w:rFonts w:hint="eastAsia" w:ascii="Times New Roman" w:hAnsi="Times New Roman" w:cs="Times New Roman"/>
          <w:color w:val="auto"/>
          <w:kern w:val="0"/>
          <w:szCs w:val="20"/>
          <w:highlight w:val="none"/>
        </w:rPr>
        <w:t>有重大违法记录，</w:t>
      </w:r>
      <w:r>
        <w:rPr>
          <w:rFonts w:ascii="Times New Roman" w:hAnsi="Times New Roman" w:cs="Times New Roman"/>
          <w:color w:val="auto"/>
          <w:kern w:val="0"/>
          <w:szCs w:val="20"/>
          <w:highlight w:val="none"/>
        </w:rPr>
        <w:t>本项目不允许分包转包，不接受联合</w:t>
      </w:r>
      <w:r>
        <w:rPr>
          <w:rFonts w:hint="eastAsia" w:ascii="Times New Roman" w:hAnsi="Times New Roman" w:cs="Times New Roman"/>
          <w:color w:val="auto"/>
          <w:kern w:val="0"/>
          <w:szCs w:val="20"/>
          <w:highlight w:val="none"/>
        </w:rPr>
        <w:t>比价</w:t>
      </w:r>
      <w:r>
        <w:rPr>
          <w:rFonts w:ascii="Times New Roman" w:hAnsi="Times New Roman" w:cs="Times New Roman"/>
          <w:color w:val="auto"/>
          <w:kern w:val="0"/>
          <w:szCs w:val="20"/>
          <w:highlight w:val="none"/>
        </w:rPr>
        <w:t>；提供供应商资格声明函，</w:t>
      </w:r>
      <w:r>
        <w:rPr>
          <w:rFonts w:ascii="Times New Roman" w:hAnsi="Times New Roman" w:cs="Times New Roman"/>
          <w:b/>
          <w:bCs/>
          <w:color w:val="auto"/>
          <w:kern w:val="0"/>
          <w:szCs w:val="20"/>
          <w:highlight w:val="none"/>
        </w:rPr>
        <w:t>格式详见附件</w:t>
      </w:r>
      <w:r>
        <w:rPr>
          <w:rFonts w:ascii="Times New Roman" w:hAnsi="Times New Roman" w:cs="Times New Roman"/>
          <w:color w:val="auto"/>
          <w:kern w:val="0"/>
          <w:szCs w:val="20"/>
          <w:highlight w:val="none"/>
        </w:rPr>
        <w:t>。</w:t>
      </w:r>
    </w:p>
    <w:p w14:paraId="36A9880B">
      <w:pPr>
        <w:pStyle w:val="25"/>
        <w:widowControl/>
        <w:numPr>
          <w:ilvl w:val="0"/>
          <w:numId w:val="4"/>
        </w:numPr>
        <w:spacing w:line="360" w:lineRule="auto"/>
        <w:ind w:hanging="5" w:firstLineChars="0"/>
        <w:jc w:val="left"/>
        <w:outlineLvl w:val="0"/>
        <w:rPr>
          <w:rFonts w:ascii="Times New Roman" w:hAnsi="Times New Roman" w:cs="Times New Roman"/>
          <w:color w:val="auto"/>
          <w:kern w:val="0"/>
          <w:szCs w:val="20"/>
          <w:highlight w:val="none"/>
        </w:rPr>
      </w:pPr>
      <w:r>
        <w:rPr>
          <w:rFonts w:ascii="Times New Roman" w:hAnsi="Times New Roman" w:cs="Times New Roman"/>
          <w:color w:val="auto"/>
          <w:kern w:val="0"/>
          <w:szCs w:val="20"/>
          <w:highlight w:val="none"/>
        </w:rPr>
        <w:t>供应商完全响应本项目用户需求的条款、内容及要求的，提供用户需求书响应声明函，</w:t>
      </w:r>
    </w:p>
    <w:p w14:paraId="28BDCC78">
      <w:pPr>
        <w:pStyle w:val="25"/>
        <w:widowControl/>
        <w:numPr>
          <w:ilvl w:val="0"/>
          <w:numId w:val="0"/>
        </w:numPr>
        <w:spacing w:line="360" w:lineRule="auto"/>
        <w:ind w:left="420" w:leftChars="0" w:firstLine="212" w:firstLineChars="100"/>
        <w:jc w:val="left"/>
        <w:outlineLvl w:val="0"/>
        <w:rPr>
          <w:rFonts w:ascii="Times New Roman" w:hAnsi="Times New Roman" w:cs="Times New Roman"/>
          <w:color w:val="auto"/>
          <w:kern w:val="0"/>
          <w:szCs w:val="20"/>
          <w:highlight w:val="none"/>
        </w:rPr>
      </w:pPr>
      <w:r>
        <w:rPr>
          <w:rFonts w:ascii="Times New Roman" w:hAnsi="Times New Roman" w:cs="Times New Roman"/>
          <w:b/>
          <w:bCs/>
          <w:color w:val="auto"/>
          <w:kern w:val="0"/>
          <w:szCs w:val="20"/>
          <w:highlight w:val="none"/>
        </w:rPr>
        <w:t>格式详见附件</w:t>
      </w:r>
      <w:r>
        <w:rPr>
          <w:rFonts w:ascii="Times New Roman" w:hAnsi="Times New Roman" w:cs="Times New Roman"/>
          <w:color w:val="auto"/>
          <w:kern w:val="0"/>
          <w:szCs w:val="20"/>
          <w:highlight w:val="none"/>
        </w:rPr>
        <w:t>。</w:t>
      </w:r>
    </w:p>
    <w:p w14:paraId="6A362185">
      <w:pPr>
        <w:pStyle w:val="25"/>
        <w:widowControl/>
        <w:numPr>
          <w:ilvl w:val="0"/>
          <w:numId w:val="4"/>
        </w:numPr>
        <w:spacing w:line="360" w:lineRule="auto"/>
        <w:ind w:hanging="5" w:firstLineChars="0"/>
        <w:jc w:val="left"/>
        <w:outlineLvl w:val="0"/>
        <w:rPr>
          <w:rFonts w:hint="eastAsia" w:ascii="Times New Roman" w:hAnsi="Times New Roman" w:cs="Times New Roman"/>
          <w:color w:val="auto"/>
          <w:kern w:val="0"/>
          <w:szCs w:val="20"/>
          <w:highlight w:val="none"/>
          <w:u w:val="single"/>
        </w:rPr>
      </w:pPr>
      <w:r>
        <w:rPr>
          <w:rFonts w:hint="eastAsia" w:ascii="Times New Roman" w:hAnsi="Times New Roman" w:cs="Times New Roman"/>
          <w:color w:val="auto"/>
          <w:kern w:val="0"/>
          <w:szCs w:val="20"/>
          <w:highlight w:val="none"/>
          <w:u w:val="single"/>
          <w:lang w:val="en-US" w:eastAsia="zh-CN"/>
        </w:rPr>
        <w:t xml:space="preserve">供应商具有监管部门颁发的有效航道工程专业承包三级及以上资质，提供对应证明文件复印件 </w:t>
      </w:r>
    </w:p>
    <w:p w14:paraId="690A6018">
      <w:pPr>
        <w:pStyle w:val="25"/>
        <w:widowControl/>
        <w:numPr>
          <w:numId w:val="0"/>
        </w:numPr>
        <w:spacing w:line="360" w:lineRule="auto"/>
        <w:ind w:left="420" w:leftChars="0" w:firstLine="212" w:firstLineChars="100"/>
        <w:jc w:val="left"/>
        <w:outlineLvl w:val="0"/>
        <w:rPr>
          <w:rFonts w:hint="eastAsia" w:ascii="Times New Roman" w:hAnsi="Times New Roman" w:cs="Times New Roman"/>
          <w:color w:val="auto"/>
          <w:kern w:val="0"/>
          <w:szCs w:val="20"/>
          <w:highlight w:val="none"/>
          <w:u w:val="single"/>
        </w:rPr>
      </w:pPr>
      <w:r>
        <w:rPr>
          <w:rFonts w:hint="eastAsia" w:ascii="Times New Roman" w:hAnsi="Times New Roman" w:cs="Times New Roman"/>
          <w:color w:val="auto"/>
          <w:kern w:val="0"/>
          <w:szCs w:val="20"/>
          <w:highlight w:val="none"/>
          <w:u w:val="single"/>
          <w:lang w:val="en-US" w:eastAsia="zh-CN"/>
        </w:rPr>
        <w:t>（如国家另有规定的，则从其规定）</w:t>
      </w:r>
      <w:r>
        <w:rPr>
          <w:rFonts w:hint="eastAsia" w:ascii="Times New Roman" w:hAnsi="Times New Roman" w:cs="Times New Roman"/>
          <w:color w:val="auto"/>
          <w:kern w:val="0"/>
          <w:szCs w:val="20"/>
          <w:highlight w:val="none"/>
          <w:u w:val="single"/>
        </w:rPr>
        <w:t>。</w:t>
      </w:r>
    </w:p>
    <w:p w14:paraId="6A101E07">
      <w:pPr>
        <w:pStyle w:val="25"/>
        <w:widowControl/>
        <w:numPr>
          <w:ilvl w:val="0"/>
          <w:numId w:val="4"/>
        </w:numPr>
        <w:spacing w:line="360" w:lineRule="auto"/>
        <w:ind w:hanging="5" w:firstLineChars="0"/>
        <w:jc w:val="left"/>
        <w:outlineLvl w:val="0"/>
        <w:rPr>
          <w:rFonts w:hint="eastAsia" w:ascii="Times New Roman" w:hAnsi="Times New Roman" w:cs="Times New Roman"/>
          <w:color w:val="auto"/>
          <w:kern w:val="0"/>
          <w:szCs w:val="20"/>
          <w:highlight w:val="none"/>
        </w:rPr>
      </w:pPr>
      <w:r>
        <w:rPr>
          <w:rFonts w:hint="eastAsia" w:ascii="Times New Roman" w:hAnsi="Times New Roman" w:cs="Times New Roman"/>
          <w:color w:val="auto"/>
          <w:kern w:val="0"/>
          <w:szCs w:val="20"/>
          <w:highlight w:val="none"/>
          <w:lang w:val="en-US" w:eastAsia="zh-CN"/>
        </w:rPr>
        <w:t>供应商具有监管部门颁发的有效</w:t>
      </w:r>
      <w:r>
        <w:rPr>
          <w:rFonts w:hint="eastAsia" w:ascii="Times New Roman" w:hAnsi="Times New Roman" w:cs="Times New Roman"/>
          <w:color w:val="auto"/>
          <w:kern w:val="0"/>
          <w:szCs w:val="20"/>
          <w:highlight w:val="none"/>
        </w:rPr>
        <w:t>《安全生产许可证》</w:t>
      </w:r>
      <w:r>
        <w:rPr>
          <w:rFonts w:hint="eastAsia" w:ascii="Times New Roman" w:hAnsi="Times New Roman" w:cs="Times New Roman"/>
          <w:color w:val="auto"/>
          <w:kern w:val="0"/>
          <w:szCs w:val="20"/>
          <w:highlight w:val="none"/>
          <w:lang w:eastAsia="zh-CN"/>
        </w:rPr>
        <w:t>，</w:t>
      </w:r>
      <w:r>
        <w:rPr>
          <w:rFonts w:hint="eastAsia" w:ascii="Times New Roman" w:hAnsi="Times New Roman" w:cs="Times New Roman"/>
          <w:color w:val="auto"/>
          <w:kern w:val="0"/>
          <w:szCs w:val="20"/>
          <w:highlight w:val="none"/>
        </w:rPr>
        <w:t>提供</w:t>
      </w:r>
      <w:r>
        <w:rPr>
          <w:rFonts w:hint="eastAsia" w:ascii="Times New Roman" w:hAnsi="Times New Roman" w:cs="Times New Roman"/>
          <w:color w:val="auto"/>
          <w:kern w:val="0"/>
          <w:szCs w:val="20"/>
          <w:highlight w:val="none"/>
          <w:lang w:val="en-US" w:eastAsia="zh-CN"/>
        </w:rPr>
        <w:t>对应证明文件</w:t>
      </w:r>
      <w:r>
        <w:rPr>
          <w:rFonts w:hint="eastAsia" w:ascii="Times New Roman" w:hAnsi="Times New Roman" w:cs="Times New Roman"/>
          <w:color w:val="auto"/>
          <w:kern w:val="0"/>
          <w:szCs w:val="20"/>
          <w:highlight w:val="none"/>
        </w:rPr>
        <w:t>复印件</w:t>
      </w:r>
      <w:r>
        <w:rPr>
          <w:rFonts w:hint="eastAsia" w:ascii="Times New Roman" w:hAnsi="Times New Roman" w:cs="Times New Roman"/>
          <w:color w:val="auto"/>
          <w:kern w:val="0"/>
          <w:szCs w:val="20"/>
          <w:highlight w:val="none"/>
          <w:lang w:eastAsia="zh-CN"/>
        </w:rPr>
        <w:t>（</w:t>
      </w:r>
      <w:r>
        <w:rPr>
          <w:rFonts w:hint="eastAsia" w:ascii="Times New Roman" w:hAnsi="Times New Roman" w:cs="Times New Roman"/>
          <w:color w:val="auto"/>
          <w:kern w:val="0"/>
          <w:szCs w:val="20"/>
          <w:highlight w:val="none"/>
        </w:rPr>
        <w:t>如</w:t>
      </w:r>
    </w:p>
    <w:p w14:paraId="520F2DD7">
      <w:pPr>
        <w:pStyle w:val="25"/>
        <w:widowControl/>
        <w:numPr>
          <w:ilvl w:val="0"/>
          <w:numId w:val="0"/>
        </w:numPr>
        <w:spacing w:line="360" w:lineRule="auto"/>
        <w:ind w:left="420" w:leftChars="0" w:firstLine="212" w:firstLineChars="100"/>
        <w:jc w:val="left"/>
        <w:outlineLvl w:val="0"/>
        <w:rPr>
          <w:rFonts w:hint="eastAsia" w:ascii="Times New Roman" w:hAnsi="Times New Roman" w:cs="Times New Roman"/>
          <w:color w:val="auto"/>
          <w:kern w:val="0"/>
          <w:szCs w:val="20"/>
          <w:highlight w:val="none"/>
        </w:rPr>
      </w:pPr>
      <w:r>
        <w:rPr>
          <w:rFonts w:hint="eastAsia" w:ascii="Times New Roman" w:hAnsi="Times New Roman" w:cs="Times New Roman"/>
          <w:color w:val="auto"/>
          <w:kern w:val="0"/>
          <w:szCs w:val="20"/>
          <w:highlight w:val="none"/>
        </w:rPr>
        <w:t>国家另有规定的，则从其规定</w:t>
      </w:r>
      <w:r>
        <w:rPr>
          <w:rFonts w:hint="eastAsia" w:ascii="Times New Roman" w:hAnsi="Times New Roman" w:cs="Times New Roman"/>
          <w:color w:val="auto"/>
          <w:kern w:val="0"/>
          <w:szCs w:val="20"/>
          <w:highlight w:val="none"/>
          <w:lang w:eastAsia="zh-CN"/>
        </w:rPr>
        <w:t>）</w:t>
      </w:r>
      <w:r>
        <w:rPr>
          <w:rFonts w:hint="eastAsia" w:ascii="Times New Roman" w:hAnsi="Times New Roman" w:cs="Times New Roman"/>
          <w:color w:val="auto"/>
          <w:kern w:val="0"/>
          <w:szCs w:val="20"/>
          <w:highlight w:val="none"/>
        </w:rPr>
        <w:t>。</w:t>
      </w:r>
    </w:p>
    <w:p w14:paraId="1459F1E3">
      <w:pPr>
        <w:pStyle w:val="3"/>
        <w:adjustRightInd w:val="0"/>
        <w:snapToGrid w:val="0"/>
        <w:spacing w:before="0" w:after="0" w:line="360" w:lineRule="auto"/>
        <w:rPr>
          <w:rFonts w:hint="eastAsia" w:ascii="宋体" w:hAnsi="宋体" w:eastAsia="宋体" w:cs="宋体"/>
          <w:bCs w:val="0"/>
          <w:color w:val="auto"/>
          <w:sz w:val="21"/>
          <w:szCs w:val="21"/>
          <w:highlight w:val="none"/>
        </w:rPr>
      </w:pPr>
      <w:bookmarkStart w:id="10" w:name="_Toc35393623"/>
      <w:bookmarkStart w:id="11" w:name="_Toc28359081"/>
      <w:bookmarkStart w:id="12" w:name="_Toc35393792"/>
      <w:bookmarkStart w:id="13" w:name="_Toc28359004"/>
      <w:bookmarkStart w:id="14" w:name="PO_t_获取采购文件及咨询事宜_4"/>
      <w:r>
        <w:rPr>
          <w:rFonts w:hint="eastAsia" w:ascii="宋体" w:hAnsi="宋体" w:eastAsia="宋体" w:cs="宋体"/>
          <w:bCs w:val="0"/>
          <w:color w:val="auto"/>
          <w:sz w:val="21"/>
          <w:szCs w:val="21"/>
          <w:highlight w:val="none"/>
        </w:rPr>
        <w:t>三、获取</w:t>
      </w:r>
      <w:bookmarkEnd w:id="10"/>
      <w:bookmarkEnd w:id="11"/>
      <w:bookmarkEnd w:id="12"/>
      <w:bookmarkEnd w:id="13"/>
      <w:r>
        <w:rPr>
          <w:rFonts w:hint="eastAsia" w:ascii="宋体" w:hAnsi="宋体" w:eastAsia="宋体" w:cs="宋体"/>
          <w:bCs w:val="0"/>
          <w:color w:val="auto"/>
          <w:sz w:val="21"/>
          <w:szCs w:val="21"/>
          <w:highlight w:val="none"/>
        </w:rPr>
        <w:t>比价文件及咨询事宜</w:t>
      </w:r>
    </w:p>
    <w:bookmarkEnd w:id="14"/>
    <w:p w14:paraId="59A14038">
      <w:pPr>
        <w:adjustRightInd w:val="0"/>
        <w:snapToGrid w:val="0"/>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获取文件时间：</w:t>
      </w:r>
      <w:r>
        <w:rPr>
          <w:rFonts w:hint="eastAsia" w:ascii="宋体" w:hAnsi="宋体" w:eastAsia="宋体" w:cs="宋体"/>
          <w:color w:val="auto"/>
          <w:szCs w:val="21"/>
          <w:highlight w:val="none"/>
          <w:u w:val="single"/>
        </w:rPr>
        <w:t>2025年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27</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2025年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29</w:t>
      </w:r>
      <w:r>
        <w:rPr>
          <w:rFonts w:hint="eastAsia" w:ascii="宋体" w:hAnsi="宋体" w:eastAsia="宋体" w:cs="宋体"/>
          <w:color w:val="auto"/>
          <w:szCs w:val="21"/>
          <w:highlight w:val="none"/>
          <w:u w:val="single"/>
        </w:rPr>
        <w:t>日</w:t>
      </w:r>
    </w:p>
    <w:p w14:paraId="1A298B5F">
      <w:pPr>
        <w:adjustRightInd w:val="0"/>
        <w:snapToGrid w:val="0"/>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地址：云采链线上采购一体化平台</w:t>
      </w:r>
      <w:r>
        <w:rPr>
          <w:rFonts w:hint="eastAsia" w:ascii="宋体" w:hAnsi="宋体" w:eastAsia="宋体" w:cs="宋体"/>
          <w:color w:val="auto"/>
          <w:szCs w:val="21"/>
          <w:highlight w:val="none"/>
          <w:u w:val="single"/>
        </w:rPr>
        <w:t>https://www.choicelink.cn/</w:t>
      </w:r>
    </w:p>
    <w:p w14:paraId="46D48BFC">
      <w:pPr>
        <w:adjustRightInd w:val="0"/>
        <w:snapToGrid w:val="0"/>
        <w:spacing w:line="360" w:lineRule="auto"/>
        <w:ind w:firstLine="424"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李女士</w:t>
      </w:r>
    </w:p>
    <w:p w14:paraId="630B1F88">
      <w:pPr>
        <w:adjustRightInd w:val="0"/>
        <w:snapToGrid w:val="0"/>
        <w:spacing w:line="360" w:lineRule="auto"/>
        <w:ind w:firstLine="424"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联系方式：020-87622828</w:t>
      </w:r>
    </w:p>
    <w:p w14:paraId="3CC58E35">
      <w:pPr>
        <w:pStyle w:val="3"/>
        <w:adjustRightInd w:val="0"/>
        <w:snapToGrid w:val="0"/>
        <w:spacing w:before="0" w:after="0" w:line="360" w:lineRule="auto"/>
        <w:rPr>
          <w:rFonts w:hint="eastAsia" w:ascii="宋体" w:hAnsi="宋体" w:eastAsia="宋体" w:cs="宋体"/>
          <w:bCs w:val="0"/>
          <w:color w:val="auto"/>
          <w:sz w:val="21"/>
          <w:szCs w:val="21"/>
          <w:highlight w:val="none"/>
        </w:rPr>
      </w:pPr>
      <w:bookmarkStart w:id="15" w:name="_Toc28359084"/>
      <w:bookmarkStart w:id="16" w:name="_Toc28359007"/>
      <w:bookmarkStart w:id="17" w:name="_Toc35393625"/>
      <w:bookmarkStart w:id="18" w:name="_Toc35393794"/>
      <w:bookmarkStart w:id="19" w:name="PO_t_公告期限_5"/>
      <w:r>
        <w:rPr>
          <w:rFonts w:hint="eastAsia" w:ascii="宋体" w:hAnsi="宋体" w:eastAsia="宋体" w:cs="宋体"/>
          <w:bCs w:val="0"/>
          <w:color w:val="auto"/>
          <w:sz w:val="21"/>
          <w:szCs w:val="21"/>
          <w:highlight w:val="none"/>
        </w:rPr>
        <w:t>四、公告期限</w:t>
      </w:r>
      <w:bookmarkEnd w:id="15"/>
      <w:bookmarkEnd w:id="16"/>
      <w:bookmarkEnd w:id="17"/>
      <w:bookmarkEnd w:id="18"/>
    </w:p>
    <w:bookmarkEnd w:id="19"/>
    <w:p w14:paraId="01ED4D04">
      <w:pPr>
        <w:adjustRightInd w:val="0"/>
        <w:snapToGrid w:val="0"/>
        <w:spacing w:line="360" w:lineRule="auto"/>
        <w:ind w:firstLine="424"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07B04A0E">
      <w:pPr>
        <w:pStyle w:val="3"/>
        <w:adjustRightInd w:val="0"/>
        <w:snapToGrid w:val="0"/>
        <w:spacing w:before="0" w:after="0" w:line="360" w:lineRule="auto"/>
        <w:rPr>
          <w:rFonts w:hint="eastAsia" w:ascii="宋体" w:hAnsi="宋体" w:eastAsia="宋体" w:cs="宋体"/>
          <w:bCs w:val="0"/>
          <w:color w:val="auto"/>
          <w:sz w:val="21"/>
          <w:szCs w:val="21"/>
          <w:highlight w:val="none"/>
        </w:rPr>
      </w:pPr>
      <w:bookmarkStart w:id="20" w:name="_Toc35393795"/>
      <w:bookmarkStart w:id="21" w:name="_Toc35393626"/>
      <w:bookmarkStart w:id="22" w:name="PO_t_其他补充事宜_6"/>
      <w:r>
        <w:rPr>
          <w:rFonts w:hint="eastAsia" w:ascii="宋体" w:hAnsi="宋体" w:eastAsia="宋体" w:cs="宋体"/>
          <w:bCs w:val="0"/>
          <w:color w:val="auto"/>
          <w:sz w:val="21"/>
          <w:szCs w:val="21"/>
          <w:highlight w:val="none"/>
        </w:rPr>
        <w:t>五、其他补充事宜</w:t>
      </w:r>
      <w:bookmarkEnd w:id="20"/>
      <w:bookmarkEnd w:id="21"/>
    </w:p>
    <w:bookmarkEnd w:id="22"/>
    <w:p w14:paraId="1115A606">
      <w:pPr>
        <w:rPr>
          <w:rFonts w:ascii="Times New Roman" w:hAnsi="Times New Roman" w:cs="Times New Roman"/>
          <w:color w:val="auto"/>
          <w:highlight w:val="none"/>
        </w:rPr>
      </w:pPr>
      <w:r>
        <w:rPr>
          <w:rFonts w:hint="eastAsia" w:ascii="宋体" w:hAnsi="宋体" w:eastAsia="宋体" w:cs="宋体"/>
          <w:color w:val="auto"/>
          <w:kern w:val="0"/>
          <w:szCs w:val="21"/>
          <w:highlight w:val="none"/>
        </w:rPr>
        <w:t xml:space="preserve">    /</w:t>
      </w:r>
    </w:p>
    <w:p w14:paraId="068F01BA">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3741E0B9">
      <w:pPr>
        <w:pStyle w:val="14"/>
        <w:spacing w:before="0" w:after="0"/>
        <w:rPr>
          <w:rFonts w:ascii="Times New Roman" w:hAnsi="Times New Roman" w:cs="Times New Roman"/>
          <w:color w:val="auto"/>
          <w:highlight w:val="none"/>
        </w:rPr>
      </w:pPr>
      <w:bookmarkStart w:id="23" w:name="PO_t_第二章比价须知_7"/>
      <w:r>
        <w:rPr>
          <w:rFonts w:ascii="Times New Roman" w:hAnsi="Times New Roman" w:cs="Times New Roman"/>
          <w:color w:val="auto"/>
          <w:highlight w:val="none"/>
        </w:rPr>
        <w:t>第</w:t>
      </w:r>
      <w:r>
        <w:rPr>
          <w:rFonts w:hint="eastAsia" w:ascii="Times New Roman" w:hAnsi="Times New Roman" w:cs="Times New Roman"/>
          <w:color w:val="auto"/>
          <w:highlight w:val="none"/>
        </w:rPr>
        <w:t>二</w:t>
      </w:r>
      <w:r>
        <w:rPr>
          <w:rFonts w:ascii="Times New Roman" w:hAnsi="Times New Roman" w:cs="Times New Roman"/>
          <w:color w:val="auto"/>
          <w:highlight w:val="none"/>
        </w:rPr>
        <w:t xml:space="preserve">章 </w:t>
      </w:r>
      <w:r>
        <w:rPr>
          <w:rFonts w:hint="eastAsia" w:ascii="Times New Roman" w:hAnsi="Times New Roman" w:cs="Times New Roman"/>
          <w:color w:val="auto"/>
          <w:highlight w:val="none"/>
        </w:rPr>
        <w:t>比价</w:t>
      </w:r>
      <w:r>
        <w:rPr>
          <w:rFonts w:ascii="Times New Roman" w:hAnsi="Times New Roman" w:cs="Times New Roman"/>
          <w:color w:val="auto"/>
          <w:highlight w:val="none"/>
        </w:rPr>
        <w:t>须知</w:t>
      </w:r>
    </w:p>
    <w:bookmarkEnd w:id="23"/>
    <w:p w14:paraId="7556F87A">
      <w:pPr>
        <w:pStyle w:val="25"/>
        <w:numPr>
          <w:ilvl w:val="0"/>
          <w:numId w:val="5"/>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本项目通过云采链线上采购一体化平台进行</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参与比价</w:t>
      </w:r>
      <w:r>
        <w:rPr>
          <w:rFonts w:ascii="Times New Roman" w:hAnsi="Times New Roman" w:eastAsia="宋体" w:cs="Times New Roman"/>
          <w:color w:val="auto"/>
          <w:szCs w:val="21"/>
          <w:highlight w:val="none"/>
        </w:rPr>
        <w:t>的供应商必须登录平台进行注册，注册成功后方可参与项目</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w:t>
      </w:r>
    </w:p>
    <w:p w14:paraId="24874B9F">
      <w:pPr>
        <w:pStyle w:val="25"/>
        <w:numPr>
          <w:ilvl w:val="0"/>
          <w:numId w:val="5"/>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语言要求</w:t>
      </w:r>
    </w:p>
    <w:p w14:paraId="756CCA6E">
      <w:pPr>
        <w:spacing w:line="360" w:lineRule="auto"/>
        <w:ind w:left="424" w:left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699EDC96">
      <w:pPr>
        <w:pStyle w:val="25"/>
        <w:numPr>
          <w:ilvl w:val="0"/>
          <w:numId w:val="5"/>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b/>
          <w:bCs/>
          <w:color w:val="auto"/>
          <w:szCs w:val="21"/>
          <w:highlight w:val="none"/>
        </w:rPr>
        <w:t>在云采链平台参与为项目</w:t>
      </w:r>
      <w:r>
        <w:rPr>
          <w:rFonts w:hint="eastAsia" w:ascii="Times New Roman" w:hAnsi="Times New Roman" w:eastAsia="宋体" w:cs="Times New Roman"/>
          <w:b/>
          <w:bCs/>
          <w:color w:val="auto"/>
          <w:szCs w:val="21"/>
          <w:highlight w:val="none"/>
        </w:rPr>
        <w:t>比价</w:t>
      </w:r>
      <w:r>
        <w:rPr>
          <w:rFonts w:ascii="Times New Roman" w:hAnsi="Times New Roman" w:eastAsia="宋体" w:cs="Times New Roman"/>
          <w:b/>
          <w:bCs/>
          <w:color w:val="auto"/>
          <w:szCs w:val="21"/>
          <w:highlight w:val="none"/>
        </w:rPr>
        <w:t>后放弃成交资格超过三次（含三次）的供应商连同该供应商同一法人名下所有公司将被列入平台黑名单，永久不得参与平台的项目</w:t>
      </w:r>
      <w:r>
        <w:rPr>
          <w:rFonts w:hint="eastAsia" w:ascii="Times New Roman" w:hAnsi="Times New Roman" w:eastAsia="宋体" w:cs="Times New Roman"/>
          <w:b/>
          <w:bCs/>
          <w:color w:val="auto"/>
          <w:szCs w:val="21"/>
          <w:highlight w:val="none"/>
        </w:rPr>
        <w:t>比价</w:t>
      </w:r>
      <w:r>
        <w:rPr>
          <w:rFonts w:ascii="Times New Roman" w:hAnsi="Times New Roman" w:eastAsia="宋体" w:cs="Times New Roman"/>
          <w:b/>
          <w:bCs/>
          <w:color w:val="auto"/>
          <w:szCs w:val="21"/>
          <w:highlight w:val="none"/>
        </w:rPr>
        <w:t xml:space="preserve">。                                                                                                                                                                                                                                                                                                                                                                                                                                    </w:t>
      </w:r>
    </w:p>
    <w:p w14:paraId="0E8165CC">
      <w:pPr>
        <w:pStyle w:val="25"/>
        <w:numPr>
          <w:ilvl w:val="0"/>
          <w:numId w:val="5"/>
        </w:numPr>
        <w:spacing w:line="360" w:lineRule="auto"/>
        <w:ind w:firstLineChars="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比价</w:t>
      </w:r>
      <w:r>
        <w:rPr>
          <w:rFonts w:ascii="Times New Roman" w:hAnsi="Times New Roman" w:eastAsia="宋体" w:cs="Times New Roman"/>
          <w:color w:val="auto"/>
          <w:highlight w:val="none"/>
        </w:rPr>
        <w:t>须知</w:t>
      </w:r>
    </w:p>
    <w:p w14:paraId="152B0DE4">
      <w:pPr>
        <w:pStyle w:val="25"/>
        <w:numPr>
          <w:ilvl w:val="0"/>
          <w:numId w:val="6"/>
        </w:numPr>
        <w:spacing w:line="360" w:lineRule="auto"/>
        <w:ind w:firstLineChars="0"/>
        <w:rPr>
          <w:rFonts w:ascii="Times New Roman" w:hAnsi="Times New Roman" w:eastAsia="宋体" w:cs="Times New Roman"/>
          <w:b/>
          <w:color w:val="auto"/>
          <w:highlight w:val="none"/>
        </w:rPr>
      </w:pPr>
      <w:r>
        <w:rPr>
          <w:rStyle w:val="20"/>
          <w:rFonts w:hint="eastAsia" w:ascii="Times New Roman" w:hAnsi="Times New Roman" w:eastAsia="宋体" w:cs="Times New Roman"/>
          <w:bCs w:val="0"/>
          <w:color w:val="auto"/>
          <w:highlight w:val="none"/>
        </w:rPr>
        <w:t>比价</w:t>
      </w:r>
      <w:r>
        <w:rPr>
          <w:rStyle w:val="20"/>
          <w:rFonts w:ascii="Times New Roman" w:hAnsi="Times New Roman" w:eastAsia="宋体" w:cs="Times New Roman"/>
          <w:bCs w:val="0"/>
          <w:color w:val="auto"/>
          <w:highlight w:val="none"/>
        </w:rPr>
        <w:t>说明</w:t>
      </w:r>
    </w:p>
    <w:p w14:paraId="4215265C">
      <w:pPr>
        <w:pStyle w:val="25"/>
        <w:numPr>
          <w:ilvl w:val="0"/>
          <w:numId w:val="7"/>
        </w:numPr>
        <w:tabs>
          <w:tab w:val="left" w:pos="851"/>
        </w:tabs>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的供应商应承担所有与准备和参加</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有关的费用，不</w:t>
      </w:r>
      <w:r>
        <w:rPr>
          <w:rFonts w:ascii="Times New Roman" w:hAnsi="Times New Roman" w:eastAsia="宋体" w:cs="Times New Roman"/>
          <w:color w:val="auto"/>
          <w:szCs w:val="21"/>
          <w:highlight w:val="none"/>
          <w:lang w:eastAsia="zh-TW"/>
        </w:rPr>
        <w:t>论</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lang w:eastAsia="zh-TW"/>
        </w:rPr>
        <w:t>的结果如何</w:t>
      </w:r>
      <w:r>
        <w:rPr>
          <w:rFonts w:ascii="Times New Roman" w:hAnsi="Times New Roman" w:eastAsia="宋体" w:cs="Times New Roman"/>
          <w:color w:val="auto"/>
          <w:szCs w:val="21"/>
          <w:highlight w:val="none"/>
        </w:rPr>
        <w:t>，采购</w:t>
      </w:r>
      <w:r>
        <w:rPr>
          <w:rFonts w:ascii="Times New Roman" w:hAnsi="Times New Roman" w:eastAsia="宋体" w:cs="Times New Roman"/>
          <w:color w:val="auto"/>
          <w:szCs w:val="21"/>
          <w:highlight w:val="none"/>
          <w:lang w:eastAsia="zh-TW"/>
        </w:rPr>
        <w:t>人</w:t>
      </w:r>
      <w:r>
        <w:rPr>
          <w:rFonts w:ascii="Times New Roman" w:hAnsi="Times New Roman" w:eastAsia="宋体" w:cs="Times New Roman"/>
          <w:color w:val="auto"/>
          <w:szCs w:val="21"/>
          <w:highlight w:val="none"/>
        </w:rPr>
        <w:t>和</w:t>
      </w:r>
    </w:p>
    <w:p w14:paraId="0C118AA6">
      <w:pPr>
        <w:pStyle w:val="25"/>
        <w:numPr>
          <w:ilvl w:val="0"/>
          <w:numId w:val="0"/>
        </w:numPr>
        <w:tabs>
          <w:tab w:val="left" w:pos="851"/>
        </w:tabs>
        <w:spacing w:line="360" w:lineRule="auto"/>
        <w:ind w:left="420" w:leftChars="0" w:firstLine="212" w:firstLineChars="1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lang w:eastAsia="zh-TW"/>
        </w:rPr>
        <w:t>代理机构均无义务和责任承担这些费用</w:t>
      </w:r>
      <w:r>
        <w:rPr>
          <w:rFonts w:ascii="Times New Roman" w:hAnsi="Times New Roman" w:eastAsia="宋体" w:cs="Times New Roman"/>
          <w:color w:val="auto"/>
          <w:szCs w:val="21"/>
          <w:highlight w:val="none"/>
        </w:rPr>
        <w:t>。</w:t>
      </w:r>
    </w:p>
    <w:p w14:paraId="48B1E235">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w:t>
      </w:r>
      <w:r>
        <w:rPr>
          <w:rFonts w:ascii="Times New Roman" w:hAnsi="Times New Roman" w:eastAsia="宋体" w:cs="Times New Roman"/>
          <w:bCs/>
          <w:color w:val="auto"/>
          <w:szCs w:val="21"/>
          <w:highlight w:val="none"/>
        </w:rPr>
        <w:t>供应商必须按</w:t>
      </w:r>
      <w:r>
        <w:rPr>
          <w:rFonts w:hint="eastAsia" w:ascii="Times New Roman" w:hAnsi="Times New Roman" w:eastAsia="宋体" w:cs="Times New Roman"/>
          <w:bCs/>
          <w:color w:val="auto"/>
          <w:szCs w:val="21"/>
          <w:highlight w:val="none"/>
        </w:rPr>
        <w:t>比价</w:t>
      </w:r>
      <w:r>
        <w:rPr>
          <w:rFonts w:ascii="Times New Roman" w:hAnsi="Times New Roman" w:eastAsia="宋体" w:cs="Times New Roman"/>
          <w:bCs/>
          <w:color w:val="auto"/>
          <w:szCs w:val="21"/>
          <w:highlight w:val="none"/>
        </w:rPr>
        <w:t>附件的格式填写，不得随意增加或删除表格内容。除单价、金额</w:t>
      </w:r>
    </w:p>
    <w:p w14:paraId="6CC39CEA">
      <w:pPr>
        <w:pStyle w:val="25"/>
        <w:numPr>
          <w:ilvl w:val="0"/>
          <w:numId w:val="0"/>
        </w:numPr>
        <w:spacing w:line="360" w:lineRule="auto"/>
        <w:ind w:left="636" w:leftChars="300" w:firstLine="0" w:firstLineChars="0"/>
        <w:rPr>
          <w:rFonts w:ascii="Times New Roman" w:hAnsi="Times New Roman" w:eastAsia="宋体" w:cs="Times New Roman"/>
          <w:color w:val="auto"/>
          <w:highlight w:val="none"/>
        </w:rPr>
      </w:pPr>
      <w:r>
        <w:rPr>
          <w:rFonts w:ascii="Times New Roman" w:hAnsi="Times New Roman" w:eastAsia="宋体" w:cs="Times New Roman"/>
          <w:bCs/>
          <w:color w:val="auto"/>
          <w:szCs w:val="21"/>
          <w:highlight w:val="none"/>
        </w:rPr>
        <w:t>或项目要求填写的内容外，不得擅自改动</w:t>
      </w:r>
      <w:r>
        <w:rPr>
          <w:rFonts w:hint="eastAsia" w:ascii="Times New Roman" w:hAnsi="Times New Roman" w:eastAsia="宋体" w:cs="Times New Roman"/>
          <w:bCs/>
          <w:color w:val="auto"/>
          <w:szCs w:val="21"/>
          <w:highlight w:val="none"/>
        </w:rPr>
        <w:t>比价</w:t>
      </w:r>
      <w:r>
        <w:rPr>
          <w:rFonts w:ascii="Times New Roman" w:hAnsi="Times New Roman" w:eastAsia="宋体" w:cs="Times New Roman"/>
          <w:bCs/>
          <w:color w:val="auto"/>
          <w:szCs w:val="21"/>
          <w:highlight w:val="none"/>
        </w:rPr>
        <w:t>附件内容，否则将有可能影响成交结果，不推荐为成交候选人。</w:t>
      </w:r>
    </w:p>
    <w:p w14:paraId="02351C74">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w:t>
      </w:r>
      <w:r>
        <w:rPr>
          <w:rFonts w:ascii="Times New Roman" w:hAnsi="Times New Roman" w:eastAsia="宋体" w:cs="Times New Roman"/>
          <w:color w:val="auto"/>
          <w:szCs w:val="21"/>
          <w:highlight w:val="none"/>
          <w:lang w:val="zh-CN"/>
        </w:rPr>
        <w:t>供应商需对用户需求书的所有条款进行整体响应，用户需求书条款若有一条负偏离</w:t>
      </w:r>
    </w:p>
    <w:p w14:paraId="4F826D01">
      <w:pPr>
        <w:pStyle w:val="25"/>
        <w:numPr>
          <w:ilvl w:val="0"/>
          <w:numId w:val="0"/>
        </w:numPr>
        <w:spacing w:line="360" w:lineRule="auto"/>
        <w:ind w:left="420" w:leftChars="0" w:firstLine="212" w:firstLineChars="1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lang w:val="zh-CN"/>
        </w:rPr>
        <w:t>或不响应，</w:t>
      </w:r>
      <w:r>
        <w:rPr>
          <w:rFonts w:ascii="Times New Roman" w:hAnsi="Times New Roman" w:eastAsia="宋体" w:cs="Times New Roman"/>
          <w:bCs/>
          <w:color w:val="auto"/>
          <w:szCs w:val="21"/>
          <w:highlight w:val="none"/>
        </w:rPr>
        <w:t>不推荐为成交候选人</w:t>
      </w:r>
      <w:r>
        <w:rPr>
          <w:rFonts w:ascii="Times New Roman" w:hAnsi="Times New Roman" w:eastAsia="宋体" w:cs="Times New Roman"/>
          <w:color w:val="auto"/>
          <w:szCs w:val="21"/>
          <w:highlight w:val="none"/>
          <w:lang w:val="zh-CN"/>
        </w:rPr>
        <w:t>。</w:t>
      </w:r>
    </w:p>
    <w:p w14:paraId="599CA4AA">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若</w:t>
      </w:r>
      <w:r>
        <w:rPr>
          <w:rFonts w:hint="eastAsia" w:ascii="Times New Roman" w:hAnsi="Times New Roman" w:eastAsia="宋体" w:cs="Times New Roman"/>
          <w:color w:val="auto"/>
          <w:szCs w:val="21"/>
          <w:highlight w:val="none"/>
        </w:rPr>
        <w:t>成交人</w:t>
      </w:r>
      <w:r>
        <w:rPr>
          <w:rFonts w:ascii="Times New Roman" w:hAnsi="Times New Roman" w:eastAsia="宋体" w:cs="Times New Roman"/>
          <w:color w:val="auto"/>
          <w:szCs w:val="21"/>
          <w:highlight w:val="none"/>
        </w:rPr>
        <w:t>自身原因无法完成本项目，则采购人有权利保留追究责任。</w:t>
      </w:r>
    </w:p>
    <w:p w14:paraId="1B444009">
      <w:pPr>
        <w:pStyle w:val="25"/>
        <w:numPr>
          <w:ilvl w:val="0"/>
          <w:numId w:val="7"/>
        </w:numPr>
        <w:spacing w:line="360" w:lineRule="auto"/>
        <w:ind w:firstLineChars="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成交人</w:t>
      </w:r>
      <w:r>
        <w:rPr>
          <w:rFonts w:ascii="Times New Roman" w:hAnsi="Times New Roman" w:eastAsia="宋体" w:cs="Times New Roman"/>
          <w:color w:val="auto"/>
          <w:highlight w:val="none"/>
        </w:rPr>
        <w:t>因自身原因被取消成交资格，采购人可重新启动采购或按</w:t>
      </w:r>
      <w:r>
        <w:rPr>
          <w:rFonts w:hint="eastAsia" w:ascii="Times New Roman" w:hAnsi="Times New Roman" w:eastAsia="宋体" w:cs="Times New Roman"/>
          <w:color w:val="auto"/>
          <w:highlight w:val="none"/>
        </w:rPr>
        <w:t>比价</w:t>
      </w:r>
      <w:r>
        <w:rPr>
          <w:rFonts w:ascii="Times New Roman" w:hAnsi="Times New Roman" w:eastAsia="宋体" w:cs="Times New Roman"/>
          <w:color w:val="auto"/>
          <w:highlight w:val="none"/>
        </w:rPr>
        <w:t>公告规定顺延推选符合要</w:t>
      </w:r>
    </w:p>
    <w:p w14:paraId="08C583FA">
      <w:pPr>
        <w:pStyle w:val="25"/>
        <w:numPr>
          <w:ilvl w:val="0"/>
          <w:numId w:val="0"/>
        </w:numPr>
        <w:spacing w:line="360" w:lineRule="auto"/>
        <w:ind w:left="420" w:leftChars="0" w:firstLine="212" w:firstLineChars="100"/>
        <w:rPr>
          <w:rFonts w:ascii="Times New Roman" w:hAnsi="Times New Roman" w:eastAsia="宋体" w:cs="Times New Roman"/>
          <w:color w:val="auto"/>
          <w:highlight w:val="none"/>
        </w:rPr>
      </w:pPr>
      <w:r>
        <w:rPr>
          <w:rFonts w:ascii="Times New Roman" w:hAnsi="Times New Roman" w:eastAsia="宋体" w:cs="Times New Roman"/>
          <w:color w:val="auto"/>
          <w:highlight w:val="none"/>
        </w:rPr>
        <w:t>求的供应商作为成交人。</w:t>
      </w:r>
    </w:p>
    <w:p w14:paraId="7D9130EA">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若本项目</w:t>
      </w:r>
      <w:r>
        <w:rPr>
          <w:rFonts w:hint="eastAsia" w:ascii="Times New Roman" w:hAnsi="Times New Roman" w:eastAsia="宋体" w:cs="Times New Roman"/>
          <w:color w:val="auto"/>
          <w:highlight w:val="none"/>
        </w:rPr>
        <w:t>比价</w:t>
      </w:r>
      <w:r>
        <w:rPr>
          <w:rFonts w:ascii="Times New Roman" w:hAnsi="Times New Roman" w:eastAsia="宋体" w:cs="Times New Roman"/>
          <w:color w:val="auto"/>
          <w:highlight w:val="none"/>
        </w:rPr>
        <w:t>采购失败，采购人将重新采购，届时采购人有权根据项目具体情况，决定重新采</w:t>
      </w:r>
    </w:p>
    <w:p w14:paraId="6172059B">
      <w:pPr>
        <w:pStyle w:val="25"/>
        <w:numPr>
          <w:ilvl w:val="0"/>
          <w:numId w:val="0"/>
        </w:numPr>
        <w:spacing w:line="360" w:lineRule="auto"/>
        <w:ind w:left="420" w:leftChars="0" w:firstLine="212" w:firstLineChars="100"/>
        <w:rPr>
          <w:rFonts w:ascii="Times New Roman" w:hAnsi="Times New Roman" w:eastAsia="宋体" w:cs="Times New Roman"/>
          <w:color w:val="auto"/>
          <w:highlight w:val="none"/>
        </w:rPr>
      </w:pPr>
      <w:r>
        <w:rPr>
          <w:rFonts w:ascii="Times New Roman" w:hAnsi="Times New Roman" w:eastAsia="宋体" w:cs="Times New Roman"/>
          <w:color w:val="auto"/>
          <w:highlight w:val="none"/>
        </w:rPr>
        <w:t>购项目的采购方式。</w:t>
      </w:r>
    </w:p>
    <w:p w14:paraId="166375D3">
      <w:pPr>
        <w:pStyle w:val="25"/>
        <w:numPr>
          <w:ilvl w:val="0"/>
          <w:numId w:val="7"/>
        </w:numPr>
        <w:spacing w:line="360" w:lineRule="auto"/>
        <w:ind w:firstLineChars="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成交人</w:t>
      </w:r>
      <w:r>
        <w:rPr>
          <w:rFonts w:ascii="Times New Roman" w:hAnsi="Times New Roman" w:eastAsia="宋体" w:cs="Times New Roman"/>
          <w:color w:val="auto"/>
          <w:highlight w:val="none"/>
        </w:rPr>
        <w:t>若无正当理由恶意放弃成交资格，采购人有权将拒绝其参加本项目重新组织的</w:t>
      </w:r>
      <w:r>
        <w:rPr>
          <w:rFonts w:hint="eastAsia" w:ascii="Times New Roman" w:hAnsi="Times New Roman" w:eastAsia="宋体" w:cs="Times New Roman"/>
          <w:color w:val="auto"/>
          <w:highlight w:val="none"/>
        </w:rPr>
        <w:t>比价</w:t>
      </w:r>
      <w:r>
        <w:rPr>
          <w:rFonts w:ascii="Times New Roman" w:hAnsi="Times New Roman" w:eastAsia="宋体" w:cs="Times New Roman"/>
          <w:color w:val="auto"/>
          <w:highlight w:val="none"/>
        </w:rPr>
        <w:t>采购</w:t>
      </w:r>
    </w:p>
    <w:p w14:paraId="400315F5">
      <w:pPr>
        <w:pStyle w:val="25"/>
        <w:numPr>
          <w:ilvl w:val="0"/>
          <w:numId w:val="0"/>
        </w:numPr>
        <w:spacing w:line="360" w:lineRule="auto"/>
        <w:ind w:left="420" w:leftChars="0" w:firstLine="212" w:firstLineChars="100"/>
        <w:rPr>
          <w:rFonts w:ascii="Times New Roman" w:hAnsi="Times New Roman" w:eastAsia="宋体" w:cs="Times New Roman"/>
          <w:color w:val="auto"/>
          <w:highlight w:val="none"/>
        </w:rPr>
      </w:pPr>
      <w:r>
        <w:rPr>
          <w:rFonts w:ascii="Times New Roman" w:hAnsi="Times New Roman" w:eastAsia="宋体" w:cs="Times New Roman"/>
          <w:color w:val="auto"/>
          <w:highlight w:val="none"/>
        </w:rPr>
        <w:t>活动。</w:t>
      </w:r>
    </w:p>
    <w:p w14:paraId="6B2E8716">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如采购人或代理机构在审核或复核</w:t>
      </w: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w:t>
      </w:r>
      <w:r>
        <w:rPr>
          <w:rFonts w:ascii="Times New Roman" w:hAnsi="Times New Roman" w:eastAsia="宋体" w:cs="Times New Roman"/>
          <w:color w:val="auto"/>
          <w:highlight w:val="none"/>
        </w:rPr>
        <w:t>供应商所提交的</w:t>
      </w:r>
      <w:r>
        <w:rPr>
          <w:rFonts w:hint="eastAsia" w:ascii="Times New Roman" w:hAnsi="Times New Roman" w:eastAsia="宋体" w:cs="Times New Roman"/>
          <w:color w:val="auto"/>
          <w:highlight w:val="none"/>
        </w:rPr>
        <w:t>比价</w:t>
      </w:r>
      <w:r>
        <w:rPr>
          <w:rFonts w:ascii="Times New Roman" w:hAnsi="Times New Roman" w:eastAsia="宋体" w:cs="Times New Roman"/>
          <w:color w:val="auto"/>
          <w:highlight w:val="none"/>
        </w:rPr>
        <w:t>资料时，供应商须无条件配</w:t>
      </w:r>
    </w:p>
    <w:p w14:paraId="096A14F1">
      <w:pPr>
        <w:pStyle w:val="25"/>
        <w:numPr>
          <w:ilvl w:val="0"/>
          <w:numId w:val="0"/>
        </w:numPr>
        <w:spacing w:line="360" w:lineRule="auto"/>
        <w:ind w:left="636" w:leftChars="300" w:firstLine="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合；期间若发现存在弄虚作假或相关的失信记录或违反国家法律法规等相关的不良情形，采购人可取消其成交资格并保留追究责任的权力。</w:t>
      </w:r>
    </w:p>
    <w:p w14:paraId="6A792603">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w:t>
      </w:r>
      <w:r>
        <w:rPr>
          <w:rFonts w:ascii="Times New Roman" w:hAnsi="Times New Roman" w:eastAsia="宋体" w:cs="Times New Roman"/>
          <w:color w:val="auto"/>
          <w:szCs w:val="21"/>
          <w:highlight w:val="none"/>
          <w:lang w:eastAsia="zh-TW"/>
        </w:rPr>
        <w:t>供应商向我司咨询的有关项目事项，一切以</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文件</w:t>
      </w:r>
      <w:r>
        <w:rPr>
          <w:rFonts w:ascii="Times New Roman" w:hAnsi="Times New Roman" w:eastAsia="宋体" w:cs="Times New Roman"/>
          <w:color w:val="auto"/>
          <w:szCs w:val="21"/>
          <w:highlight w:val="none"/>
          <w:lang w:eastAsia="zh-TW"/>
        </w:rPr>
        <w:t>规定</w:t>
      </w:r>
      <w:r>
        <w:rPr>
          <w:rFonts w:ascii="Times New Roman" w:hAnsi="Times New Roman" w:eastAsia="宋体" w:cs="Times New Roman"/>
          <w:color w:val="auto"/>
          <w:szCs w:val="21"/>
          <w:highlight w:val="none"/>
        </w:rPr>
        <w:t>和</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公告规定以及</w:t>
      </w:r>
      <w:r>
        <w:rPr>
          <w:rFonts w:ascii="Times New Roman" w:hAnsi="Times New Roman" w:eastAsia="宋体" w:cs="Times New Roman"/>
          <w:color w:val="auto"/>
          <w:szCs w:val="21"/>
          <w:highlight w:val="none"/>
          <w:lang w:eastAsia="zh-TW"/>
        </w:rPr>
        <w:t>本公</w:t>
      </w:r>
    </w:p>
    <w:p w14:paraId="45B20B96">
      <w:pPr>
        <w:pStyle w:val="25"/>
        <w:numPr>
          <w:ilvl w:val="0"/>
          <w:numId w:val="0"/>
        </w:numPr>
        <w:spacing w:line="360" w:lineRule="auto"/>
        <w:ind w:left="420" w:leftChars="0" w:firstLine="212" w:firstLineChars="1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lang w:eastAsia="zh-TW"/>
        </w:rPr>
        <w:t>司</w:t>
      </w:r>
      <w:r>
        <w:rPr>
          <w:rFonts w:ascii="Times New Roman" w:hAnsi="Times New Roman" w:eastAsia="宋体" w:cs="Times New Roman"/>
          <w:color w:val="auto"/>
          <w:szCs w:val="21"/>
          <w:highlight w:val="none"/>
        </w:rPr>
        <w:t>的</w:t>
      </w:r>
      <w:r>
        <w:rPr>
          <w:rFonts w:ascii="Times New Roman" w:hAnsi="Times New Roman" w:eastAsia="宋体" w:cs="Times New Roman"/>
          <w:color w:val="auto"/>
          <w:szCs w:val="21"/>
          <w:highlight w:val="none"/>
          <w:lang w:eastAsia="zh-TW"/>
        </w:rPr>
        <w:t>书面答复为准，其他一切形式均为个人意见，不代表本公司的意见</w:t>
      </w:r>
      <w:r>
        <w:rPr>
          <w:rFonts w:hint="eastAsia" w:ascii="Times New Roman" w:hAnsi="Times New Roman" w:eastAsia="宋体" w:cs="Times New Roman"/>
          <w:color w:val="auto"/>
          <w:szCs w:val="21"/>
          <w:highlight w:val="none"/>
          <w:lang w:eastAsia="zh-CN"/>
        </w:rPr>
        <w:t>。</w:t>
      </w:r>
    </w:p>
    <w:p w14:paraId="5A734F82">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的供应商应认真阅读</w:t>
      </w:r>
      <w:r>
        <w:rPr>
          <w:rFonts w:ascii="Times New Roman" w:hAnsi="Times New Roman" w:eastAsia="宋体" w:cs="Times New Roman"/>
          <w:color w:val="auto"/>
          <w:szCs w:val="21"/>
          <w:highlight w:val="none"/>
          <w:lang w:eastAsia="zh-TW"/>
        </w:rPr>
        <w:t>、并充分理解</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lang w:eastAsia="zh-TW"/>
        </w:rPr>
        <w:t>文件的全部内容（包括所有的补充、</w:t>
      </w:r>
    </w:p>
    <w:p w14:paraId="14BE1C26">
      <w:pPr>
        <w:spacing w:line="360" w:lineRule="auto"/>
        <w:ind w:left="636" w:leftChars="3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lang w:eastAsia="zh-TW"/>
        </w:rPr>
        <w:t>修改内容重要事项、格式、条款</w:t>
      </w:r>
      <w:r>
        <w:rPr>
          <w:rFonts w:ascii="Times New Roman" w:hAnsi="Times New Roman" w:eastAsia="宋体" w:cs="Times New Roman"/>
          <w:color w:val="auto"/>
          <w:szCs w:val="21"/>
          <w:highlight w:val="none"/>
        </w:rPr>
        <w:t>、服务要求</w:t>
      </w:r>
      <w:r>
        <w:rPr>
          <w:rFonts w:ascii="Times New Roman" w:hAnsi="Times New Roman" w:eastAsia="宋体" w:cs="Times New Roman"/>
          <w:color w:val="auto"/>
          <w:szCs w:val="21"/>
          <w:highlight w:val="none"/>
          <w:lang w:eastAsia="zh-TW"/>
        </w:rPr>
        <w:t>和技术规范、参数及要求等）。</w:t>
      </w: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szCs w:val="21"/>
          <w:highlight w:val="none"/>
          <w:lang w:eastAsia="zh-TW"/>
        </w:rPr>
        <w:t>没有按照</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lang w:eastAsia="zh-TW"/>
        </w:rPr>
        <w:t>文件要求提交全部资料，或者</w:t>
      </w: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所上传的</w:t>
      </w:r>
      <w:r>
        <w:rPr>
          <w:rFonts w:ascii="Times New Roman" w:hAnsi="Times New Roman" w:eastAsia="宋体" w:cs="Times New Roman"/>
          <w:color w:val="auto"/>
          <w:szCs w:val="21"/>
          <w:highlight w:val="none"/>
          <w:lang w:eastAsia="zh-TW"/>
        </w:rPr>
        <w:t>文件没有对</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lang w:eastAsia="zh-TW"/>
        </w:rPr>
        <w:t>文件在各方面都作出实质性响应是</w:t>
      </w: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szCs w:val="21"/>
          <w:highlight w:val="none"/>
          <w:lang w:eastAsia="zh-TW"/>
        </w:rPr>
        <w:t>的风险，有可能导致其</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lang w:eastAsia="zh-TW"/>
        </w:rPr>
        <w:t>被拒绝，</w:t>
      </w:r>
      <w:r>
        <w:rPr>
          <w:rFonts w:ascii="Times New Roman" w:hAnsi="Times New Roman" w:eastAsia="宋体" w:cs="Times New Roman"/>
          <w:color w:val="auto"/>
          <w:szCs w:val="21"/>
          <w:highlight w:val="none"/>
        </w:rPr>
        <w:t>或被认定为无效</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w:t>
      </w:r>
    </w:p>
    <w:p w14:paraId="5C4AA330">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kern w:val="0"/>
          <w:szCs w:val="21"/>
          <w:highlight w:val="none"/>
        </w:rPr>
        <w:t>采购人有权拒绝接受任何不合格的货物或服务，由此产生的费用及相关后果均由</w:t>
      </w:r>
      <w:r>
        <w:rPr>
          <w:rFonts w:hint="eastAsia" w:ascii="Times New Roman" w:hAnsi="Times New Roman" w:eastAsia="宋体" w:cs="Times New Roman"/>
          <w:color w:val="auto"/>
          <w:kern w:val="0"/>
          <w:szCs w:val="21"/>
          <w:highlight w:val="none"/>
        </w:rPr>
        <w:t>成交人</w:t>
      </w:r>
      <w:r>
        <w:rPr>
          <w:rFonts w:ascii="Times New Roman" w:hAnsi="Times New Roman" w:eastAsia="宋体" w:cs="Times New Roman"/>
          <w:color w:val="auto"/>
          <w:kern w:val="0"/>
          <w:szCs w:val="21"/>
          <w:highlight w:val="none"/>
        </w:rPr>
        <w:t>自行承担。</w:t>
      </w:r>
    </w:p>
    <w:p w14:paraId="366349EC">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供应商认为</w:t>
      </w:r>
      <w:r>
        <w:rPr>
          <w:rFonts w:hint="eastAsia" w:ascii="Times New Roman" w:hAnsi="Times New Roman" w:eastAsia="宋体" w:cs="Times New Roman"/>
          <w:color w:val="auto"/>
          <w:highlight w:val="none"/>
        </w:rPr>
        <w:t>比价</w:t>
      </w:r>
      <w:r>
        <w:rPr>
          <w:rFonts w:ascii="Times New Roman" w:hAnsi="Times New Roman" w:eastAsia="宋体" w:cs="Times New Roman"/>
          <w:color w:val="auto"/>
          <w:highlight w:val="none"/>
        </w:rPr>
        <w:t>结果损害其权益的，应按照云采链平台相关指引在规定的时间内向采购人或代理机构提交书面质疑，不提交的视为无异议，逾期提交将不予受理。</w:t>
      </w:r>
    </w:p>
    <w:p w14:paraId="1A17A247">
      <w:pPr>
        <w:pStyle w:val="25"/>
        <w:numPr>
          <w:ilvl w:val="0"/>
          <w:numId w:val="7"/>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公告和</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文件的解释权归</w:t>
      </w:r>
      <w:r>
        <w:rPr>
          <w:rFonts w:ascii="Times New Roman" w:hAnsi="Times New Roman" w:eastAsia="宋体" w:cs="Times New Roman"/>
          <w:color w:val="auto"/>
          <w:szCs w:val="21"/>
          <w:highlight w:val="none"/>
          <w:lang w:eastAsia="zh-TW"/>
        </w:rPr>
        <w:t>“</w:t>
      </w:r>
      <w:r>
        <w:rPr>
          <w:rFonts w:ascii="Times New Roman" w:hAnsi="Times New Roman" w:eastAsia="宋体" w:cs="Times New Roman"/>
          <w:color w:val="auto"/>
          <w:szCs w:val="21"/>
          <w:highlight w:val="none"/>
        </w:rPr>
        <w:t>云采链线上采购一体化平台</w:t>
      </w:r>
      <w:r>
        <w:rPr>
          <w:rFonts w:ascii="Times New Roman" w:hAnsi="Times New Roman" w:eastAsia="宋体" w:cs="Times New Roman"/>
          <w:color w:val="auto"/>
          <w:szCs w:val="21"/>
          <w:highlight w:val="none"/>
          <w:lang w:eastAsia="zh-TW"/>
        </w:rPr>
        <w:t>”所有。</w:t>
      </w:r>
    </w:p>
    <w:p w14:paraId="17B93278">
      <w:pPr>
        <w:pStyle w:val="25"/>
        <w:numPr>
          <w:ilvl w:val="0"/>
          <w:numId w:val="6"/>
        </w:numPr>
        <w:spacing w:line="360" w:lineRule="auto"/>
        <w:ind w:firstLineChars="0"/>
        <w:rPr>
          <w:rFonts w:ascii="Times New Roman" w:hAnsi="Times New Roman" w:eastAsia="宋体" w:cs="Times New Roman"/>
          <w:color w:val="auto"/>
          <w:highlight w:val="none"/>
        </w:rPr>
      </w:pPr>
      <w:r>
        <w:rPr>
          <w:rFonts w:hint="eastAsia" w:ascii="Times New Roman" w:hAnsi="Times New Roman" w:eastAsia="宋体" w:cs="Times New Roman"/>
          <w:b/>
          <w:color w:val="auto"/>
          <w:highlight w:val="none"/>
        </w:rPr>
        <w:t>比价</w:t>
      </w:r>
      <w:r>
        <w:rPr>
          <w:rFonts w:ascii="Times New Roman" w:hAnsi="Times New Roman" w:eastAsia="宋体" w:cs="Times New Roman"/>
          <w:b/>
          <w:color w:val="auto"/>
          <w:highlight w:val="none"/>
        </w:rPr>
        <w:t>文件的澄清或修改</w:t>
      </w:r>
    </w:p>
    <w:p w14:paraId="1489B166">
      <w:pPr>
        <w:pStyle w:val="25"/>
        <w:numPr>
          <w:ilvl w:val="0"/>
          <w:numId w:val="8"/>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采购人或者采购代理机构可以对已发出的</w:t>
      </w:r>
      <w:r>
        <w:rPr>
          <w:rFonts w:hint="eastAsia" w:ascii="Times New Roman" w:hAnsi="Times New Roman" w:eastAsia="宋体" w:cs="Times New Roman"/>
          <w:color w:val="auto"/>
          <w:highlight w:val="none"/>
        </w:rPr>
        <w:t>比价</w:t>
      </w:r>
      <w:r>
        <w:rPr>
          <w:rFonts w:ascii="Times New Roman" w:hAnsi="Times New Roman" w:eastAsia="宋体" w:cs="Times New Roman"/>
          <w:color w:val="auto"/>
          <w:highlight w:val="none"/>
        </w:rPr>
        <w:t>文件进行必要的澄清或者修改。澄清或者修改的</w:t>
      </w:r>
    </w:p>
    <w:p w14:paraId="2F7DCB4D">
      <w:pPr>
        <w:pStyle w:val="25"/>
        <w:numPr>
          <w:ilvl w:val="0"/>
          <w:numId w:val="0"/>
        </w:numPr>
        <w:spacing w:line="360" w:lineRule="auto"/>
        <w:ind w:left="420" w:leftChars="0" w:firstLine="212" w:firstLineChars="1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内容将在云采链平台上发布澄清（更正/变更）公告。</w:t>
      </w:r>
    </w:p>
    <w:p w14:paraId="43B40ED6">
      <w:pPr>
        <w:pStyle w:val="25"/>
        <w:numPr>
          <w:ilvl w:val="0"/>
          <w:numId w:val="8"/>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无论澄清或者修改的内容是否影响</w:t>
      </w:r>
      <w:r>
        <w:rPr>
          <w:rFonts w:hint="eastAsia" w:ascii="Times New Roman" w:hAnsi="Times New Roman" w:eastAsia="宋体" w:cs="Times New Roman"/>
          <w:color w:val="auto"/>
          <w:highlight w:val="none"/>
        </w:rPr>
        <w:t>比价</w:t>
      </w:r>
      <w:r>
        <w:rPr>
          <w:rFonts w:ascii="Times New Roman" w:hAnsi="Times New Roman" w:eastAsia="宋体" w:cs="Times New Roman"/>
          <w:color w:val="auto"/>
          <w:highlight w:val="none"/>
        </w:rPr>
        <w:t>，平台将以短信形式通知所有的报名供应商；报名供应</w:t>
      </w:r>
    </w:p>
    <w:p w14:paraId="2E85C0EF">
      <w:pPr>
        <w:pStyle w:val="25"/>
        <w:numPr>
          <w:ilvl w:val="0"/>
          <w:numId w:val="0"/>
        </w:numPr>
        <w:spacing w:line="360" w:lineRule="auto"/>
        <w:ind w:left="636" w:leftChars="300" w:firstLine="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商应按要求履行相应的义务；</w:t>
      </w:r>
      <w:r>
        <w:rPr>
          <w:rFonts w:ascii="Times New Roman" w:hAnsi="Times New Roman" w:eastAsia="宋体" w:cs="Times New Roman"/>
          <w:color w:val="auto"/>
          <w:szCs w:val="21"/>
          <w:highlight w:val="none"/>
        </w:rPr>
        <w:t>如报名</w:t>
      </w:r>
      <w:r>
        <w:rPr>
          <w:rFonts w:ascii="Times New Roman" w:hAnsi="Times New Roman" w:eastAsia="宋体" w:cs="Times New Roman"/>
          <w:color w:val="auto"/>
          <w:szCs w:val="21"/>
          <w:highlight w:val="none"/>
          <w:lang w:eastAsia="zh-TW"/>
        </w:rPr>
        <w:t>截止时间</w:t>
      </w:r>
      <w:r>
        <w:rPr>
          <w:rFonts w:ascii="Times New Roman" w:hAnsi="Times New Roman" w:eastAsia="宋体" w:cs="Times New Roman"/>
          <w:color w:val="auto"/>
          <w:szCs w:val="21"/>
          <w:highlight w:val="none"/>
        </w:rPr>
        <w:t>少于一个工作日的，</w:t>
      </w:r>
      <w:r>
        <w:rPr>
          <w:rFonts w:ascii="Times New Roman" w:hAnsi="Times New Roman" w:eastAsia="宋体" w:cs="Times New Roman"/>
          <w:color w:val="auto"/>
          <w:highlight w:val="none"/>
        </w:rPr>
        <w:t>采购人或者采购代理机构应当相应顺延报名的截止时间。</w:t>
      </w:r>
    </w:p>
    <w:p w14:paraId="6459AD7D">
      <w:pPr>
        <w:pStyle w:val="25"/>
        <w:numPr>
          <w:ilvl w:val="0"/>
          <w:numId w:val="8"/>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采购人或者采购代理机构发出的澄清或修改（更正/变更）的内容为</w:t>
      </w:r>
      <w:r>
        <w:rPr>
          <w:rFonts w:hint="eastAsia" w:ascii="Times New Roman" w:hAnsi="Times New Roman" w:eastAsia="宋体" w:cs="Times New Roman"/>
          <w:color w:val="auto"/>
          <w:highlight w:val="none"/>
        </w:rPr>
        <w:t>比价</w:t>
      </w:r>
      <w:r>
        <w:rPr>
          <w:rFonts w:ascii="Times New Roman" w:hAnsi="Times New Roman" w:eastAsia="宋体" w:cs="Times New Roman"/>
          <w:color w:val="auto"/>
          <w:highlight w:val="none"/>
        </w:rPr>
        <w:t>文件的组成部分，并对</w:t>
      </w:r>
    </w:p>
    <w:p w14:paraId="3B15EA75">
      <w:pPr>
        <w:pStyle w:val="25"/>
        <w:numPr>
          <w:ilvl w:val="0"/>
          <w:numId w:val="0"/>
        </w:numPr>
        <w:spacing w:line="360" w:lineRule="auto"/>
        <w:ind w:left="420" w:leftChars="0" w:firstLine="212" w:firstLineChars="1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供应商具有约束力。</w:t>
      </w:r>
    </w:p>
    <w:p w14:paraId="1CE05596">
      <w:pPr>
        <w:pStyle w:val="25"/>
        <w:numPr>
          <w:ilvl w:val="0"/>
          <w:numId w:val="6"/>
        </w:numPr>
        <w:spacing w:line="360" w:lineRule="auto"/>
        <w:ind w:firstLineChars="0"/>
        <w:rPr>
          <w:rStyle w:val="20"/>
          <w:rFonts w:ascii="Times New Roman" w:hAnsi="Times New Roman" w:eastAsia="宋体" w:cs="Times New Roman"/>
          <w:bCs w:val="0"/>
          <w:color w:val="auto"/>
          <w:highlight w:val="none"/>
        </w:rPr>
      </w:pPr>
      <w:r>
        <w:rPr>
          <w:rStyle w:val="20"/>
          <w:rFonts w:ascii="Times New Roman" w:hAnsi="Times New Roman" w:eastAsia="宋体" w:cs="Times New Roman"/>
          <w:bCs w:val="0"/>
          <w:color w:val="auto"/>
          <w:highlight w:val="none"/>
        </w:rPr>
        <w:t>报名要求（</w:t>
      </w: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w:t>
      </w:r>
      <w:r>
        <w:rPr>
          <w:rStyle w:val="20"/>
          <w:rFonts w:ascii="Times New Roman" w:hAnsi="Times New Roman" w:eastAsia="宋体" w:cs="Times New Roman"/>
          <w:bCs w:val="0"/>
          <w:color w:val="auto"/>
          <w:highlight w:val="none"/>
        </w:rPr>
        <w:t>供应商资质要求:</w:t>
      </w:r>
      <w:r>
        <w:rPr>
          <w:rStyle w:val="20"/>
          <w:rFonts w:ascii="Times New Roman" w:hAnsi="Times New Roman" w:eastAsia="宋体" w:cs="Times New Roman"/>
          <w:b w:val="0"/>
          <w:color w:val="auto"/>
          <w:szCs w:val="21"/>
          <w:highlight w:val="none"/>
        </w:rPr>
        <w:t xml:space="preserve"> 报名时需要提供以下</w:t>
      </w:r>
      <w:r>
        <w:rPr>
          <w:rStyle w:val="20"/>
          <w:rFonts w:ascii="Times New Roman" w:hAnsi="Times New Roman" w:eastAsia="宋体" w:cs="Times New Roman"/>
          <w:color w:val="auto"/>
          <w:szCs w:val="21"/>
          <w:highlight w:val="none"/>
          <w:u w:val="double"/>
        </w:rPr>
        <w:t>盖章</w:t>
      </w:r>
      <w:r>
        <w:rPr>
          <w:rStyle w:val="20"/>
          <w:rFonts w:ascii="Times New Roman" w:hAnsi="Times New Roman" w:eastAsia="宋体" w:cs="Times New Roman"/>
          <w:b w:val="0"/>
          <w:color w:val="auto"/>
          <w:szCs w:val="21"/>
          <w:highlight w:val="none"/>
        </w:rPr>
        <w:t>资料，</w:t>
      </w:r>
      <w:r>
        <w:rPr>
          <w:rFonts w:ascii="Times New Roman" w:hAnsi="Times New Roman" w:eastAsia="宋体" w:cs="Times New Roman"/>
          <w:color w:val="auto"/>
          <w:szCs w:val="21"/>
          <w:highlight w:val="none"/>
        </w:rPr>
        <w:t>并对上传的报名文件资料承担责任</w:t>
      </w:r>
      <w:r>
        <w:rPr>
          <w:rStyle w:val="20"/>
          <w:rFonts w:ascii="Times New Roman" w:hAnsi="Times New Roman" w:eastAsia="宋体" w:cs="Times New Roman"/>
          <w:bCs w:val="0"/>
          <w:color w:val="auto"/>
          <w:highlight w:val="none"/>
        </w:rPr>
        <w:t>）</w:t>
      </w:r>
    </w:p>
    <w:p w14:paraId="6CE71F49">
      <w:pPr>
        <w:pStyle w:val="25"/>
        <w:numPr>
          <w:ilvl w:val="0"/>
          <w:numId w:val="9"/>
        </w:numPr>
        <w:spacing w:line="360" w:lineRule="auto"/>
        <w:ind w:firstLineChars="0"/>
        <w:rPr>
          <w:rFonts w:ascii="Times New Roman" w:hAnsi="Times New Roman" w:cs="Times New Roman"/>
          <w:color w:val="auto"/>
          <w:kern w:val="0"/>
          <w:szCs w:val="20"/>
          <w:highlight w:val="none"/>
        </w:rPr>
      </w:pPr>
      <w:r>
        <w:rPr>
          <w:rFonts w:ascii="Times New Roman" w:hAnsi="Times New Roman" w:cs="Times New Roman"/>
          <w:color w:val="auto"/>
          <w:kern w:val="0"/>
          <w:szCs w:val="20"/>
          <w:highlight w:val="none"/>
        </w:rPr>
        <w:t>供应商提供在中华人民共和国境内注册的法人或其他组织的营业执照或事业单位法</w:t>
      </w:r>
      <w:r>
        <w:rPr>
          <w:rFonts w:hint="eastAsia" w:ascii="Times New Roman" w:hAnsi="Times New Roman" w:cs="Times New Roman"/>
          <w:color w:val="auto"/>
          <w:kern w:val="0"/>
          <w:szCs w:val="20"/>
          <w:highlight w:val="none"/>
          <w:lang w:val="en-US" w:eastAsia="zh-CN"/>
        </w:rPr>
        <w:t xml:space="preserve"> </w:t>
      </w:r>
      <w:r>
        <w:rPr>
          <w:rFonts w:ascii="Times New Roman" w:hAnsi="Times New Roman" w:cs="Times New Roman"/>
          <w:color w:val="auto"/>
          <w:kern w:val="0"/>
          <w:szCs w:val="20"/>
          <w:highlight w:val="none"/>
        </w:rPr>
        <w:t>人证书或</w:t>
      </w:r>
    </w:p>
    <w:p w14:paraId="39B05E0F">
      <w:pPr>
        <w:pStyle w:val="25"/>
        <w:numPr>
          <w:ilvl w:val="0"/>
          <w:numId w:val="0"/>
        </w:numPr>
        <w:spacing w:line="360" w:lineRule="auto"/>
        <w:ind w:left="636" w:leftChars="300" w:firstLine="0" w:firstLineChars="0"/>
        <w:rPr>
          <w:rFonts w:ascii="Times New Roman" w:hAnsi="Times New Roman" w:cs="Times New Roman"/>
          <w:color w:val="auto"/>
          <w:kern w:val="0"/>
          <w:szCs w:val="20"/>
          <w:highlight w:val="none"/>
        </w:rPr>
      </w:pPr>
      <w:r>
        <w:rPr>
          <w:rFonts w:ascii="Times New Roman" w:hAnsi="Times New Roman" w:cs="Times New Roman"/>
          <w:color w:val="auto"/>
          <w:kern w:val="0"/>
          <w:szCs w:val="20"/>
          <w:highlight w:val="none"/>
        </w:rPr>
        <w:t>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2C04E4D6">
      <w:pPr>
        <w:pStyle w:val="25"/>
        <w:numPr>
          <w:ilvl w:val="0"/>
          <w:numId w:val="9"/>
        </w:numPr>
        <w:spacing w:line="360" w:lineRule="auto"/>
        <w:ind w:firstLineChars="0"/>
        <w:rPr>
          <w:rFonts w:ascii="Times New Roman" w:hAnsi="Times New Roman" w:cs="Times New Roman"/>
          <w:color w:val="auto"/>
          <w:kern w:val="0"/>
          <w:szCs w:val="20"/>
          <w:highlight w:val="none"/>
        </w:rPr>
      </w:pPr>
      <w:r>
        <w:rPr>
          <w:rFonts w:ascii="Times New Roman" w:hAnsi="Times New Roman" w:cs="Times New Roman"/>
          <w:color w:val="auto"/>
          <w:kern w:val="0"/>
          <w:szCs w:val="20"/>
          <w:highlight w:val="none"/>
        </w:rPr>
        <w:t>供应商符合《中华人民共和国政府采购法》的第二十二条规定，</w:t>
      </w:r>
      <w:r>
        <w:rPr>
          <w:rFonts w:hint="eastAsia" w:ascii="Times New Roman" w:hAnsi="Times New Roman" w:cs="Times New Roman"/>
          <w:color w:val="auto"/>
          <w:kern w:val="0"/>
          <w:szCs w:val="20"/>
          <w:highlight w:val="none"/>
        </w:rPr>
        <w:t>近三年经营活动中没有重大违</w:t>
      </w:r>
    </w:p>
    <w:p w14:paraId="49A54896">
      <w:pPr>
        <w:pStyle w:val="25"/>
        <w:numPr>
          <w:ilvl w:val="0"/>
          <w:numId w:val="0"/>
        </w:numPr>
        <w:spacing w:line="360" w:lineRule="auto"/>
        <w:ind w:left="420" w:leftChars="0" w:firstLine="212" w:firstLineChars="100"/>
        <w:rPr>
          <w:rFonts w:ascii="Times New Roman" w:hAnsi="Times New Roman" w:cs="Times New Roman"/>
          <w:color w:val="auto"/>
          <w:kern w:val="0"/>
          <w:szCs w:val="20"/>
          <w:highlight w:val="none"/>
        </w:rPr>
      </w:pPr>
      <w:r>
        <w:rPr>
          <w:rFonts w:hint="eastAsia" w:ascii="Times New Roman" w:hAnsi="Times New Roman" w:cs="Times New Roman"/>
          <w:color w:val="auto"/>
          <w:kern w:val="0"/>
          <w:szCs w:val="20"/>
          <w:highlight w:val="none"/>
        </w:rPr>
        <w:t>法记录，</w:t>
      </w:r>
      <w:r>
        <w:rPr>
          <w:rFonts w:ascii="Times New Roman" w:hAnsi="Times New Roman" w:cs="Times New Roman"/>
          <w:color w:val="auto"/>
          <w:kern w:val="0"/>
          <w:szCs w:val="20"/>
          <w:highlight w:val="none"/>
        </w:rPr>
        <w:t>本项目不允许分包转包，不接受联合</w:t>
      </w:r>
      <w:r>
        <w:rPr>
          <w:rFonts w:hint="eastAsia" w:ascii="Times New Roman" w:hAnsi="Times New Roman" w:cs="Times New Roman"/>
          <w:color w:val="auto"/>
          <w:kern w:val="0"/>
          <w:szCs w:val="20"/>
          <w:highlight w:val="none"/>
        </w:rPr>
        <w:t>比价</w:t>
      </w:r>
      <w:r>
        <w:rPr>
          <w:rFonts w:ascii="Times New Roman" w:hAnsi="Times New Roman" w:cs="Times New Roman"/>
          <w:color w:val="auto"/>
          <w:kern w:val="0"/>
          <w:szCs w:val="20"/>
          <w:highlight w:val="none"/>
        </w:rPr>
        <w:t>；提供供应商资格声明函，</w:t>
      </w:r>
      <w:r>
        <w:rPr>
          <w:rFonts w:ascii="Times New Roman" w:hAnsi="Times New Roman" w:cs="Times New Roman"/>
          <w:b/>
          <w:bCs/>
          <w:color w:val="auto"/>
          <w:kern w:val="0"/>
          <w:szCs w:val="20"/>
          <w:highlight w:val="none"/>
        </w:rPr>
        <w:t>格式详见附件</w:t>
      </w:r>
      <w:r>
        <w:rPr>
          <w:rFonts w:ascii="Times New Roman" w:hAnsi="Times New Roman" w:cs="Times New Roman"/>
          <w:color w:val="auto"/>
          <w:kern w:val="0"/>
          <w:szCs w:val="20"/>
          <w:highlight w:val="none"/>
        </w:rPr>
        <w:t>。</w:t>
      </w:r>
    </w:p>
    <w:p w14:paraId="58CAEB8C">
      <w:pPr>
        <w:pStyle w:val="25"/>
        <w:numPr>
          <w:ilvl w:val="0"/>
          <w:numId w:val="9"/>
        </w:numPr>
        <w:spacing w:line="360" w:lineRule="auto"/>
        <w:ind w:firstLineChars="0"/>
        <w:rPr>
          <w:rFonts w:ascii="Times New Roman" w:hAnsi="Times New Roman" w:cs="Times New Roman"/>
          <w:color w:val="auto"/>
          <w:kern w:val="0"/>
          <w:szCs w:val="20"/>
          <w:highlight w:val="none"/>
        </w:rPr>
      </w:pPr>
      <w:r>
        <w:rPr>
          <w:rFonts w:ascii="Times New Roman" w:hAnsi="Times New Roman" w:cs="Times New Roman"/>
          <w:color w:val="auto"/>
          <w:kern w:val="0"/>
          <w:szCs w:val="20"/>
          <w:highlight w:val="none"/>
        </w:rPr>
        <w:t>供应商完全响应本项目用户需求的条款、内容及要求的，提供用户需求书响应声明函，</w:t>
      </w:r>
      <w:r>
        <w:rPr>
          <w:rFonts w:ascii="Times New Roman" w:hAnsi="Times New Roman" w:cs="Times New Roman"/>
          <w:b/>
          <w:bCs/>
          <w:color w:val="auto"/>
          <w:kern w:val="0"/>
          <w:szCs w:val="20"/>
          <w:highlight w:val="none"/>
        </w:rPr>
        <w:t>格式详</w:t>
      </w:r>
    </w:p>
    <w:p w14:paraId="581C9285">
      <w:pPr>
        <w:pStyle w:val="25"/>
        <w:numPr>
          <w:ilvl w:val="0"/>
          <w:numId w:val="0"/>
        </w:numPr>
        <w:spacing w:line="360" w:lineRule="auto"/>
        <w:ind w:left="420" w:leftChars="0" w:firstLine="212" w:firstLineChars="100"/>
        <w:rPr>
          <w:rFonts w:ascii="Times New Roman" w:hAnsi="Times New Roman" w:cs="Times New Roman"/>
          <w:color w:val="auto"/>
          <w:kern w:val="0"/>
          <w:szCs w:val="20"/>
          <w:highlight w:val="none"/>
        </w:rPr>
      </w:pPr>
      <w:r>
        <w:rPr>
          <w:rFonts w:ascii="Times New Roman" w:hAnsi="Times New Roman" w:cs="Times New Roman"/>
          <w:b/>
          <w:bCs/>
          <w:color w:val="auto"/>
          <w:kern w:val="0"/>
          <w:szCs w:val="20"/>
          <w:highlight w:val="none"/>
        </w:rPr>
        <w:t>见附件</w:t>
      </w:r>
      <w:r>
        <w:rPr>
          <w:rFonts w:ascii="Times New Roman" w:hAnsi="Times New Roman" w:cs="Times New Roman"/>
          <w:color w:val="auto"/>
          <w:kern w:val="0"/>
          <w:szCs w:val="20"/>
          <w:highlight w:val="none"/>
        </w:rPr>
        <w:t>。</w:t>
      </w:r>
    </w:p>
    <w:p w14:paraId="004C2726">
      <w:pPr>
        <w:pStyle w:val="25"/>
        <w:numPr>
          <w:ilvl w:val="0"/>
          <w:numId w:val="9"/>
        </w:numPr>
        <w:spacing w:line="360" w:lineRule="auto"/>
        <w:ind w:firstLineChars="0"/>
        <w:rPr>
          <w:rFonts w:hint="eastAsia" w:ascii="Times New Roman" w:hAnsi="Times New Roman" w:cs="Times New Roman"/>
          <w:color w:val="auto"/>
          <w:kern w:val="0"/>
          <w:szCs w:val="20"/>
          <w:highlight w:val="none"/>
          <w:u w:val="single"/>
        </w:rPr>
      </w:pPr>
      <w:r>
        <w:rPr>
          <w:rFonts w:hint="eastAsia" w:ascii="Times New Roman" w:hAnsi="Times New Roman" w:cs="Times New Roman"/>
          <w:color w:val="auto"/>
          <w:kern w:val="0"/>
          <w:szCs w:val="20"/>
          <w:highlight w:val="none"/>
          <w:u w:val="single"/>
        </w:rPr>
        <w:t>供应商具有监管部门颁发的有效航道工程专业承包三级及以上资质，提供对应证明文件复印件</w:t>
      </w:r>
    </w:p>
    <w:p w14:paraId="1E195C8B">
      <w:pPr>
        <w:pStyle w:val="25"/>
        <w:numPr>
          <w:numId w:val="0"/>
        </w:numPr>
        <w:spacing w:line="360" w:lineRule="auto"/>
        <w:ind w:left="420" w:leftChars="0" w:firstLine="212" w:firstLineChars="100"/>
        <w:rPr>
          <w:rFonts w:hint="eastAsia" w:ascii="Times New Roman" w:hAnsi="Times New Roman" w:cs="Times New Roman"/>
          <w:color w:val="auto"/>
          <w:kern w:val="0"/>
          <w:szCs w:val="20"/>
          <w:highlight w:val="none"/>
          <w:u w:val="single"/>
        </w:rPr>
      </w:pPr>
      <w:r>
        <w:rPr>
          <w:rFonts w:hint="eastAsia" w:ascii="Times New Roman" w:hAnsi="Times New Roman" w:cs="Times New Roman"/>
          <w:color w:val="auto"/>
          <w:kern w:val="0"/>
          <w:szCs w:val="20"/>
          <w:highlight w:val="none"/>
          <w:u w:val="single"/>
        </w:rPr>
        <w:t>（如国家另有规定的，则从其规定）。</w:t>
      </w:r>
    </w:p>
    <w:p w14:paraId="5754F09D">
      <w:pPr>
        <w:pStyle w:val="25"/>
        <w:numPr>
          <w:ilvl w:val="0"/>
          <w:numId w:val="9"/>
        </w:numPr>
        <w:spacing w:line="360" w:lineRule="auto"/>
        <w:ind w:firstLineChars="0"/>
        <w:rPr>
          <w:rFonts w:hint="eastAsia" w:ascii="Times New Roman" w:hAnsi="Times New Roman" w:cs="Times New Roman"/>
          <w:color w:val="auto"/>
          <w:kern w:val="0"/>
          <w:szCs w:val="20"/>
          <w:highlight w:val="none"/>
        </w:rPr>
      </w:pPr>
      <w:r>
        <w:rPr>
          <w:rFonts w:hint="eastAsia" w:ascii="Times New Roman" w:hAnsi="Times New Roman" w:cs="Times New Roman"/>
          <w:color w:val="auto"/>
          <w:kern w:val="0"/>
          <w:szCs w:val="20"/>
          <w:highlight w:val="none"/>
          <w:lang w:val="en-US" w:eastAsia="zh-CN"/>
        </w:rPr>
        <w:t>供应商具有监管部门颁发的有效</w:t>
      </w:r>
      <w:r>
        <w:rPr>
          <w:rFonts w:hint="eastAsia" w:ascii="Times New Roman" w:hAnsi="Times New Roman" w:cs="Times New Roman"/>
          <w:color w:val="auto"/>
          <w:kern w:val="0"/>
          <w:szCs w:val="20"/>
          <w:highlight w:val="none"/>
        </w:rPr>
        <w:t>《安全生产许可证》</w:t>
      </w:r>
      <w:r>
        <w:rPr>
          <w:rFonts w:hint="eastAsia" w:ascii="Times New Roman" w:hAnsi="Times New Roman" w:cs="Times New Roman"/>
          <w:color w:val="auto"/>
          <w:kern w:val="0"/>
          <w:szCs w:val="20"/>
          <w:highlight w:val="none"/>
          <w:lang w:eastAsia="zh-CN"/>
        </w:rPr>
        <w:t>，</w:t>
      </w:r>
      <w:r>
        <w:rPr>
          <w:rFonts w:hint="eastAsia" w:ascii="Times New Roman" w:hAnsi="Times New Roman" w:cs="Times New Roman"/>
          <w:color w:val="auto"/>
          <w:kern w:val="0"/>
          <w:szCs w:val="20"/>
          <w:highlight w:val="none"/>
        </w:rPr>
        <w:t>提供</w:t>
      </w:r>
      <w:r>
        <w:rPr>
          <w:rFonts w:hint="eastAsia" w:ascii="Times New Roman" w:hAnsi="Times New Roman" w:cs="Times New Roman"/>
          <w:color w:val="auto"/>
          <w:kern w:val="0"/>
          <w:szCs w:val="20"/>
          <w:highlight w:val="none"/>
          <w:lang w:val="en-US" w:eastAsia="zh-CN"/>
        </w:rPr>
        <w:t>对应证明文件</w:t>
      </w:r>
      <w:r>
        <w:rPr>
          <w:rFonts w:hint="eastAsia" w:ascii="Times New Roman" w:hAnsi="Times New Roman" w:cs="Times New Roman"/>
          <w:color w:val="auto"/>
          <w:kern w:val="0"/>
          <w:szCs w:val="20"/>
          <w:highlight w:val="none"/>
        </w:rPr>
        <w:t>复印件</w:t>
      </w:r>
      <w:r>
        <w:rPr>
          <w:rFonts w:hint="eastAsia" w:ascii="Times New Roman" w:hAnsi="Times New Roman" w:cs="Times New Roman"/>
          <w:color w:val="auto"/>
          <w:kern w:val="0"/>
          <w:szCs w:val="20"/>
          <w:highlight w:val="none"/>
          <w:lang w:eastAsia="zh-CN"/>
        </w:rPr>
        <w:t>（</w:t>
      </w:r>
      <w:r>
        <w:rPr>
          <w:rFonts w:hint="eastAsia" w:ascii="Times New Roman" w:hAnsi="Times New Roman" w:cs="Times New Roman"/>
          <w:color w:val="auto"/>
          <w:kern w:val="0"/>
          <w:szCs w:val="20"/>
          <w:highlight w:val="none"/>
        </w:rPr>
        <w:t>如国家另有</w:t>
      </w:r>
    </w:p>
    <w:p w14:paraId="65A07F34">
      <w:pPr>
        <w:pStyle w:val="25"/>
        <w:numPr>
          <w:ilvl w:val="0"/>
          <w:numId w:val="0"/>
        </w:numPr>
        <w:spacing w:line="360" w:lineRule="auto"/>
        <w:ind w:left="420" w:leftChars="0" w:firstLine="212" w:firstLineChars="100"/>
        <w:rPr>
          <w:rFonts w:hint="eastAsia" w:ascii="Times New Roman" w:hAnsi="Times New Roman" w:cs="Times New Roman"/>
          <w:color w:val="auto"/>
          <w:kern w:val="0"/>
          <w:szCs w:val="20"/>
          <w:highlight w:val="none"/>
        </w:rPr>
      </w:pPr>
      <w:r>
        <w:rPr>
          <w:rFonts w:hint="eastAsia" w:ascii="Times New Roman" w:hAnsi="Times New Roman" w:cs="Times New Roman"/>
          <w:color w:val="auto"/>
          <w:kern w:val="0"/>
          <w:szCs w:val="20"/>
          <w:highlight w:val="none"/>
        </w:rPr>
        <w:t>规定的，则从其规定</w:t>
      </w:r>
      <w:r>
        <w:rPr>
          <w:rFonts w:hint="eastAsia" w:ascii="Times New Roman" w:hAnsi="Times New Roman" w:cs="Times New Roman"/>
          <w:color w:val="auto"/>
          <w:kern w:val="0"/>
          <w:szCs w:val="20"/>
          <w:highlight w:val="none"/>
          <w:lang w:eastAsia="zh-CN"/>
        </w:rPr>
        <w:t>）</w:t>
      </w:r>
      <w:r>
        <w:rPr>
          <w:rFonts w:hint="eastAsia" w:ascii="Times New Roman" w:hAnsi="Times New Roman" w:cs="Times New Roman"/>
          <w:color w:val="auto"/>
          <w:kern w:val="0"/>
          <w:szCs w:val="20"/>
          <w:highlight w:val="none"/>
        </w:rPr>
        <w:t>。</w:t>
      </w:r>
    </w:p>
    <w:p w14:paraId="60BA67B4">
      <w:pPr>
        <w:pStyle w:val="25"/>
        <w:numPr>
          <w:ilvl w:val="0"/>
          <w:numId w:val="6"/>
        </w:numPr>
        <w:spacing w:line="360" w:lineRule="auto"/>
        <w:ind w:firstLineChars="0"/>
        <w:rPr>
          <w:rStyle w:val="20"/>
          <w:rFonts w:ascii="Times New Roman" w:hAnsi="Times New Roman" w:eastAsia="宋体" w:cs="Times New Roman"/>
          <w:bCs w:val="0"/>
          <w:color w:val="auto"/>
          <w:highlight w:val="none"/>
        </w:rPr>
      </w:pPr>
      <w:r>
        <w:rPr>
          <w:rStyle w:val="20"/>
          <w:rFonts w:ascii="Times New Roman" w:hAnsi="Times New Roman" w:eastAsia="宋体" w:cs="Times New Roman"/>
          <w:bCs w:val="0"/>
          <w:color w:val="auto"/>
          <w:highlight w:val="none"/>
        </w:rPr>
        <w:t>报价要求</w:t>
      </w:r>
      <w:r>
        <w:rPr>
          <w:rStyle w:val="20"/>
          <w:rFonts w:ascii="Times New Roman" w:hAnsi="Times New Roman" w:eastAsia="宋体" w:cs="Times New Roman"/>
          <w:color w:val="auto"/>
          <w:szCs w:val="21"/>
          <w:highlight w:val="none"/>
        </w:rPr>
        <w:t>（</w:t>
      </w:r>
      <w:r>
        <w:rPr>
          <w:rStyle w:val="20"/>
          <w:rFonts w:ascii="Times New Roman" w:hAnsi="Times New Roman" w:eastAsia="宋体" w:cs="Times New Roman"/>
          <w:b w:val="0"/>
          <w:color w:val="auto"/>
          <w:szCs w:val="21"/>
          <w:highlight w:val="none"/>
        </w:rPr>
        <w:t>报价时需要提供以下</w:t>
      </w:r>
      <w:r>
        <w:rPr>
          <w:rStyle w:val="20"/>
          <w:rFonts w:ascii="Times New Roman" w:hAnsi="Times New Roman" w:eastAsia="宋体" w:cs="Times New Roman"/>
          <w:color w:val="auto"/>
          <w:szCs w:val="21"/>
          <w:highlight w:val="none"/>
          <w:u w:val="double"/>
        </w:rPr>
        <w:t>盖章</w:t>
      </w:r>
      <w:r>
        <w:rPr>
          <w:rStyle w:val="20"/>
          <w:rFonts w:ascii="Times New Roman" w:hAnsi="Times New Roman" w:eastAsia="宋体" w:cs="Times New Roman"/>
          <w:b w:val="0"/>
          <w:color w:val="auto"/>
          <w:szCs w:val="21"/>
          <w:highlight w:val="none"/>
        </w:rPr>
        <w:t>资料，</w:t>
      </w:r>
      <w:r>
        <w:rPr>
          <w:rFonts w:ascii="Times New Roman" w:hAnsi="Times New Roman" w:eastAsia="宋体" w:cs="Times New Roman"/>
          <w:color w:val="auto"/>
          <w:szCs w:val="21"/>
          <w:highlight w:val="none"/>
        </w:rPr>
        <w:t>并对上传的</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文件资料承担责任</w:t>
      </w:r>
      <w:r>
        <w:rPr>
          <w:rStyle w:val="20"/>
          <w:rFonts w:ascii="Times New Roman" w:hAnsi="Times New Roman" w:eastAsia="宋体" w:cs="Times New Roman"/>
          <w:color w:val="auto"/>
          <w:szCs w:val="21"/>
          <w:highlight w:val="none"/>
        </w:rPr>
        <w:t>）</w:t>
      </w:r>
    </w:p>
    <w:p w14:paraId="6A294A37">
      <w:pPr>
        <w:pStyle w:val="25"/>
        <w:numPr>
          <w:ilvl w:val="0"/>
          <w:numId w:val="10"/>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通过报名供应商应根据本公告要求，在规定的</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时间内对采购项目进行报价，同时</w:t>
      </w:r>
    </w:p>
    <w:p w14:paraId="4D111A6A">
      <w:pPr>
        <w:spacing w:line="360" w:lineRule="auto"/>
        <w:ind w:left="636" w:leftChars="3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按本公告要求完整</w:t>
      </w:r>
      <w:r>
        <w:rPr>
          <w:rFonts w:ascii="Times New Roman" w:hAnsi="Times New Roman" w:eastAsia="宋体" w:cs="Times New Roman"/>
          <w:color w:val="auto"/>
          <w:szCs w:val="21"/>
          <w:highlight w:val="none"/>
          <w:lang w:eastAsia="zh-TW"/>
        </w:rPr>
        <w:t>、真实、准确地</w:t>
      </w:r>
      <w:r>
        <w:rPr>
          <w:rFonts w:ascii="Times New Roman" w:hAnsi="Times New Roman" w:eastAsia="宋体" w:cs="Times New Roman"/>
          <w:color w:val="auto"/>
          <w:szCs w:val="21"/>
          <w:highlight w:val="none"/>
        </w:rPr>
        <w:t>填写并上传相应报价附件</w:t>
      </w:r>
      <w:r>
        <w:rPr>
          <w:rFonts w:ascii="Times New Roman" w:hAnsi="Times New Roman" w:eastAsia="宋体" w:cs="Times New Roman"/>
          <w:b/>
          <w:color w:val="auto"/>
          <w:szCs w:val="21"/>
          <w:highlight w:val="none"/>
        </w:rPr>
        <w:t>（</w:t>
      </w:r>
      <w:r>
        <w:rPr>
          <w:rFonts w:hint="eastAsia" w:asciiTheme="minorEastAsia" w:hAnsiTheme="minorEastAsia"/>
          <w:b/>
          <w:color w:val="auto"/>
          <w:szCs w:val="21"/>
          <w:highlight w:val="none"/>
          <w:u w:val="double"/>
        </w:rPr>
        <w:t>报价表</w:t>
      </w:r>
      <w:r>
        <w:rPr>
          <w:rFonts w:hint="eastAsia" w:asciiTheme="minorEastAsia" w:hAnsiTheme="minorEastAsia"/>
          <w:b/>
          <w:color w:val="auto"/>
          <w:szCs w:val="21"/>
          <w:highlight w:val="none"/>
          <w:u w:val="double"/>
          <w:lang w:val="en-US" w:eastAsia="zh-CN"/>
        </w:rPr>
        <w:t>及分项报价表</w:t>
      </w:r>
      <w:r>
        <w:rPr>
          <w:rFonts w:hint="eastAsia" w:asciiTheme="minorEastAsia" w:hAnsiTheme="minorEastAsia"/>
          <w:b/>
          <w:color w:val="auto"/>
          <w:szCs w:val="21"/>
          <w:highlight w:val="none"/>
          <w:u w:val="double"/>
        </w:rPr>
        <w:t>，格式详见附件）</w:t>
      </w:r>
      <w:r>
        <w:rPr>
          <w:rFonts w:ascii="Times New Roman" w:hAnsi="Times New Roman" w:eastAsia="宋体" w:cs="Times New Roman"/>
          <w:color w:val="auto"/>
          <w:szCs w:val="21"/>
          <w:highlight w:val="none"/>
        </w:rPr>
        <w:t>。</w:t>
      </w:r>
    </w:p>
    <w:p w14:paraId="3FECAB32">
      <w:pPr>
        <w:pStyle w:val="25"/>
        <w:numPr>
          <w:ilvl w:val="0"/>
          <w:numId w:val="10"/>
        </w:numPr>
        <w:spacing w:line="360" w:lineRule="auto"/>
        <w:ind w:firstLineChars="0"/>
        <w:rPr>
          <w:rFonts w:ascii="Times New Roman" w:hAnsi="Times New Roman" w:eastAsia="宋体" w:cs="Times New Roman"/>
          <w:b/>
          <w:color w:val="auto"/>
          <w:highlight w:val="none"/>
        </w:rPr>
      </w:pPr>
      <w:r>
        <w:rPr>
          <w:rFonts w:ascii="Times New Roman" w:hAnsi="Times New Roman" w:eastAsia="宋体" w:cs="Times New Roman"/>
          <w:b/>
          <w:color w:val="auto"/>
          <w:szCs w:val="21"/>
          <w:highlight w:val="none"/>
        </w:rPr>
        <w:t>公告中的报价次数指报价期间供应商可进行的最多报价次数。</w:t>
      </w:r>
      <w:r>
        <w:rPr>
          <w:rFonts w:hint="eastAsia" w:ascii="Times New Roman" w:hAnsi="Times New Roman" w:eastAsia="宋体" w:cs="Times New Roman"/>
          <w:b/>
          <w:color w:val="auto"/>
          <w:szCs w:val="21"/>
          <w:highlight w:val="none"/>
        </w:rPr>
        <w:t>本项目只允许报价1次</w:t>
      </w:r>
      <w:r>
        <w:rPr>
          <w:rFonts w:ascii="Times New Roman" w:hAnsi="Times New Roman" w:eastAsia="宋体" w:cs="Times New Roman"/>
          <w:b/>
          <w:color w:val="auto"/>
          <w:szCs w:val="21"/>
          <w:highlight w:val="none"/>
        </w:rPr>
        <w:t>。</w:t>
      </w:r>
    </w:p>
    <w:p w14:paraId="757074E7">
      <w:pPr>
        <w:pStyle w:val="25"/>
        <w:numPr>
          <w:ilvl w:val="0"/>
          <w:numId w:val="6"/>
        </w:numPr>
        <w:spacing w:line="360" w:lineRule="auto"/>
        <w:ind w:firstLineChars="0"/>
        <w:rPr>
          <w:rStyle w:val="20"/>
          <w:rFonts w:ascii="Times New Roman" w:hAnsi="Times New Roman" w:eastAsia="宋体" w:cs="Times New Roman"/>
          <w:bCs w:val="0"/>
          <w:color w:val="auto"/>
          <w:highlight w:val="none"/>
        </w:rPr>
      </w:pPr>
      <w:r>
        <w:rPr>
          <w:rStyle w:val="20"/>
          <w:rFonts w:ascii="Times New Roman" w:hAnsi="Times New Roman" w:eastAsia="宋体" w:cs="Times New Roman"/>
          <w:bCs w:val="0"/>
          <w:color w:val="auto"/>
          <w:highlight w:val="none"/>
        </w:rPr>
        <w:t>确定成交候选人</w:t>
      </w:r>
    </w:p>
    <w:p w14:paraId="53AF9452">
      <w:pPr>
        <w:pStyle w:val="25"/>
        <w:numPr>
          <w:ilvl w:val="0"/>
          <w:numId w:val="11"/>
        </w:numPr>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本项目以最低价成交的方式确定</w:t>
      </w:r>
      <w:r>
        <w:rPr>
          <w:rFonts w:hint="eastAsia" w:ascii="Times New Roman" w:hAnsi="Times New Roman" w:eastAsia="宋体" w:cs="Times New Roman"/>
          <w:color w:val="auto"/>
          <w:szCs w:val="21"/>
          <w:highlight w:val="none"/>
        </w:rPr>
        <w:t>成交人</w:t>
      </w:r>
      <w:r>
        <w:rPr>
          <w:rFonts w:ascii="Times New Roman" w:hAnsi="Times New Roman" w:eastAsia="宋体" w:cs="Times New Roman"/>
          <w:color w:val="auto"/>
          <w:szCs w:val="21"/>
          <w:highlight w:val="none"/>
        </w:rPr>
        <w:t>。报价时间截止后，系统按报价（经价格核准后的价格）</w:t>
      </w:r>
    </w:p>
    <w:p w14:paraId="520924DF">
      <w:pPr>
        <w:pStyle w:val="25"/>
        <w:numPr>
          <w:ilvl w:val="0"/>
          <w:numId w:val="0"/>
        </w:numPr>
        <w:spacing w:line="360" w:lineRule="auto"/>
        <w:ind w:left="636" w:leftChars="300" w:firstLine="0"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由低到高顺序排列，</w:t>
      </w:r>
      <w:r>
        <w:rPr>
          <w:rFonts w:ascii="Times New Roman" w:hAnsi="Times New Roman" w:eastAsia="宋体" w:cs="Times New Roman"/>
          <w:color w:val="auto"/>
          <w:highlight w:val="none"/>
        </w:rPr>
        <w:t>报价最低的为第一成交候选人，报价相同的，按报价时间在前的为第一成交候选人；</w:t>
      </w:r>
      <w:r>
        <w:rPr>
          <w:rFonts w:ascii="Times New Roman" w:hAnsi="Times New Roman" w:eastAsia="宋体" w:cs="Times New Roman"/>
          <w:color w:val="auto"/>
          <w:szCs w:val="21"/>
          <w:highlight w:val="none"/>
        </w:rPr>
        <w:t>报价次低的为第二成交候选人，以此类推</w:t>
      </w:r>
      <w:r>
        <w:rPr>
          <w:rFonts w:ascii="Times New Roman" w:hAnsi="Times New Roman" w:eastAsia="宋体" w:cs="Times New Roman"/>
          <w:color w:val="auto"/>
          <w:highlight w:val="none"/>
        </w:rPr>
        <w:t>。</w:t>
      </w:r>
    </w:p>
    <w:p w14:paraId="43D850C2">
      <w:pPr>
        <w:pStyle w:val="25"/>
        <w:numPr>
          <w:ilvl w:val="0"/>
          <w:numId w:val="6"/>
        </w:numPr>
        <w:spacing w:line="360" w:lineRule="auto"/>
        <w:ind w:firstLineChars="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无效报价</w:t>
      </w:r>
    </w:p>
    <w:p w14:paraId="5B3C95D8">
      <w:pPr>
        <w:pStyle w:val="25"/>
        <w:numPr>
          <w:ilvl w:val="0"/>
          <w:numId w:val="12"/>
        </w:numPr>
        <w:spacing w:line="360" w:lineRule="auto"/>
        <w:ind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w:t>
      </w:r>
      <w:r>
        <w:rPr>
          <w:rFonts w:ascii="Times New Roman" w:hAnsi="Times New Roman" w:eastAsia="宋体" w:cs="Times New Roman"/>
          <w:color w:val="auto"/>
          <w:highlight w:val="none"/>
        </w:rPr>
        <w:t>供应商报价超过最高限价或超过项目对应产品单项最高限价的视为无效报价。</w:t>
      </w:r>
    </w:p>
    <w:p w14:paraId="7FDA5170">
      <w:pPr>
        <w:pStyle w:val="25"/>
        <w:numPr>
          <w:ilvl w:val="0"/>
          <w:numId w:val="12"/>
        </w:numPr>
        <w:spacing w:line="360" w:lineRule="auto"/>
        <w:ind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w:t>
      </w:r>
      <w:r>
        <w:rPr>
          <w:rFonts w:ascii="Times New Roman" w:hAnsi="Times New Roman" w:eastAsia="宋体" w:cs="Times New Roman"/>
          <w:bCs/>
          <w:color w:val="auto"/>
          <w:szCs w:val="21"/>
          <w:highlight w:val="none"/>
        </w:rPr>
        <w:t>供应商须提供本项目要求的资质文件，如果不按公告规定或</w:t>
      </w:r>
      <w:r>
        <w:rPr>
          <w:rFonts w:hint="eastAsia" w:ascii="Times New Roman" w:hAnsi="Times New Roman" w:eastAsia="宋体" w:cs="Times New Roman"/>
          <w:bCs/>
          <w:color w:val="auto"/>
          <w:szCs w:val="21"/>
          <w:highlight w:val="none"/>
        </w:rPr>
        <w:t>比价</w:t>
      </w:r>
      <w:r>
        <w:rPr>
          <w:rFonts w:ascii="Times New Roman" w:hAnsi="Times New Roman" w:eastAsia="宋体" w:cs="Times New Roman"/>
          <w:bCs/>
          <w:color w:val="auto"/>
          <w:szCs w:val="21"/>
          <w:highlight w:val="none"/>
        </w:rPr>
        <w:t>文件要求等相关规</w:t>
      </w:r>
    </w:p>
    <w:p w14:paraId="3C19B2D3">
      <w:pPr>
        <w:pStyle w:val="25"/>
        <w:numPr>
          <w:ilvl w:val="0"/>
          <w:numId w:val="0"/>
        </w:numPr>
        <w:spacing w:line="360" w:lineRule="auto"/>
        <w:ind w:left="420" w:leftChars="0" w:firstLine="212" w:firstLineChars="100"/>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定提供符合要求的资质文件，将被视为无效报价。</w:t>
      </w:r>
    </w:p>
    <w:p w14:paraId="084CC374">
      <w:pPr>
        <w:pStyle w:val="25"/>
        <w:numPr>
          <w:ilvl w:val="0"/>
          <w:numId w:val="12"/>
        </w:numPr>
        <w:spacing w:line="360" w:lineRule="auto"/>
        <w:ind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参与</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的</w:t>
      </w:r>
      <w:r>
        <w:rPr>
          <w:rFonts w:ascii="Times New Roman" w:hAnsi="Times New Roman" w:eastAsia="宋体" w:cs="Times New Roman"/>
          <w:bCs/>
          <w:color w:val="auto"/>
          <w:szCs w:val="21"/>
          <w:highlight w:val="none"/>
        </w:rPr>
        <w:t>供应商须对本项目采购内容进行整体报价，任何只对其中一部分内容进行的报价都</w:t>
      </w:r>
    </w:p>
    <w:p w14:paraId="08A5C4DB">
      <w:pPr>
        <w:pStyle w:val="25"/>
        <w:numPr>
          <w:ilvl w:val="0"/>
          <w:numId w:val="0"/>
        </w:numPr>
        <w:spacing w:line="360" w:lineRule="auto"/>
        <w:ind w:left="420" w:leftChars="0" w:firstLine="212" w:firstLineChars="100"/>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被视为无效报价。</w:t>
      </w:r>
    </w:p>
    <w:p w14:paraId="26ABA35D">
      <w:pPr>
        <w:pStyle w:val="25"/>
        <w:numPr>
          <w:ilvl w:val="0"/>
          <w:numId w:val="12"/>
        </w:numPr>
        <w:spacing w:line="360" w:lineRule="auto"/>
        <w:ind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u w:val="double"/>
        </w:rPr>
        <w:t>报价表以及有报价供应商落款的报价文件必须加盖报价供应商公章，否则视为无效报价</w:t>
      </w:r>
      <w:r>
        <w:rPr>
          <w:rFonts w:hint="eastAsia" w:ascii="Times New Roman" w:hAnsi="Times New Roman" w:eastAsia="宋体" w:cs="Times New Roman"/>
          <w:color w:val="auto"/>
          <w:highlight w:val="none"/>
        </w:rPr>
        <w:t>。</w:t>
      </w:r>
    </w:p>
    <w:p w14:paraId="031948B4">
      <w:pPr>
        <w:pStyle w:val="25"/>
        <w:numPr>
          <w:ilvl w:val="0"/>
          <w:numId w:val="12"/>
        </w:numPr>
        <w:spacing w:line="360" w:lineRule="auto"/>
        <w:ind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大写金额和小写金额不一致的，以大写金额为准；单价金额小数点或者百分比有明显错位的，</w:t>
      </w:r>
    </w:p>
    <w:p w14:paraId="1A7D1D97">
      <w:pPr>
        <w:pStyle w:val="25"/>
        <w:numPr>
          <w:ilvl w:val="0"/>
          <w:numId w:val="0"/>
        </w:numPr>
        <w:spacing w:line="360" w:lineRule="auto"/>
        <w:ind w:left="636" w:leftChars="30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以报价表的总价为准，并修改单价；总价金额与按单价汇总金额不一致的，以单价金额计算结果为准；不接受总价优惠折扣形式的报价，供应商应将对项目的优惠 直接在清单报价中体现出来。如果供应商不接受对其错误的更正，其报价将被视为无效报价</w:t>
      </w:r>
      <w:r>
        <w:rPr>
          <w:rFonts w:hint="eastAsia" w:ascii="Times New Roman" w:hAnsi="Times New Roman" w:eastAsia="宋体" w:cs="Times New Roman"/>
          <w:color w:val="auto"/>
          <w:szCs w:val="21"/>
          <w:highlight w:val="none"/>
        </w:rPr>
        <w:t>。</w:t>
      </w:r>
    </w:p>
    <w:p w14:paraId="4CE4EA98">
      <w:pPr>
        <w:pStyle w:val="13"/>
        <w:numPr>
          <w:ilvl w:val="0"/>
          <w:numId w:val="12"/>
        </w:numPr>
        <w:shd w:val="clear" w:color="auto" w:fill="FFFFFF"/>
        <w:spacing w:before="0" w:beforeAutospacing="0" w:after="0" w:afterAutospacing="0" w:line="276" w:lineRule="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按有关法律、法规、规章属于报价无效的。</w:t>
      </w:r>
    </w:p>
    <w:p w14:paraId="0508A0AA">
      <w:pPr>
        <w:pStyle w:val="13"/>
        <w:numPr>
          <w:ilvl w:val="0"/>
          <w:numId w:val="12"/>
        </w:numPr>
        <w:shd w:val="clear" w:color="auto" w:fill="FFFFFF"/>
        <w:spacing w:before="0" w:beforeAutospacing="0" w:after="0" w:afterAutospacing="0" w:line="360" w:lineRule="auto"/>
        <w:rPr>
          <w:rFonts w:ascii="Times New Roman" w:hAnsi="Times New Roman" w:cs="Times New Roman"/>
          <w:color w:val="auto"/>
          <w:sz w:val="21"/>
          <w:szCs w:val="21"/>
          <w:highlight w:val="none"/>
        </w:rPr>
      </w:pPr>
      <w:r>
        <w:rPr>
          <w:rFonts w:ascii="Times New Roman" w:hAnsi="Times New Roman" w:cs="Times New Roman"/>
          <w:b/>
          <w:color w:val="auto"/>
          <w:sz w:val="21"/>
          <w:szCs w:val="21"/>
          <w:highlight w:val="none"/>
        </w:rPr>
        <w:t>有下列情形之一的，视为串通</w:t>
      </w:r>
      <w:r>
        <w:rPr>
          <w:rFonts w:hint="eastAsia" w:ascii="Times New Roman" w:hAnsi="Times New Roman" w:cs="Times New Roman"/>
          <w:b/>
          <w:color w:val="auto"/>
          <w:sz w:val="21"/>
          <w:szCs w:val="21"/>
          <w:highlight w:val="none"/>
        </w:rPr>
        <w:t>比价</w:t>
      </w:r>
      <w:r>
        <w:rPr>
          <w:rFonts w:ascii="Times New Roman" w:hAnsi="Times New Roman" w:cs="Times New Roman"/>
          <w:b/>
          <w:color w:val="auto"/>
          <w:sz w:val="21"/>
          <w:szCs w:val="21"/>
          <w:highlight w:val="none"/>
        </w:rPr>
        <w:t>，其报价无效：</w:t>
      </w:r>
    </w:p>
    <w:p w14:paraId="37084C43">
      <w:pPr>
        <w:pStyle w:val="25"/>
        <w:widowControl/>
        <w:numPr>
          <w:ilvl w:val="2"/>
          <w:numId w:val="13"/>
        </w:numPr>
        <w:spacing w:line="360" w:lineRule="auto"/>
        <w:ind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存在单位负责人为同一人或存在控股、管理关系的不同单位参与同一</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项目；</w:t>
      </w:r>
    </w:p>
    <w:p w14:paraId="54626A26">
      <w:pPr>
        <w:pStyle w:val="25"/>
        <w:widowControl/>
        <w:numPr>
          <w:ilvl w:val="2"/>
          <w:numId w:val="13"/>
        </w:numPr>
        <w:spacing w:line="360" w:lineRule="auto"/>
        <w:ind w:firstLineChars="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不同供应商的响应文件由同一单位或者个人编制；</w:t>
      </w:r>
    </w:p>
    <w:p w14:paraId="5E8F1C67">
      <w:pPr>
        <w:pStyle w:val="25"/>
        <w:widowControl/>
        <w:numPr>
          <w:ilvl w:val="2"/>
          <w:numId w:val="13"/>
        </w:numPr>
        <w:spacing w:line="360" w:lineRule="auto"/>
        <w:ind w:firstLineChars="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不同供应商委托同一单位或者个人办理</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事宜；</w:t>
      </w:r>
    </w:p>
    <w:p w14:paraId="33418B23">
      <w:pPr>
        <w:pStyle w:val="25"/>
        <w:widowControl/>
        <w:numPr>
          <w:ilvl w:val="2"/>
          <w:numId w:val="13"/>
        </w:numPr>
        <w:spacing w:line="360" w:lineRule="auto"/>
        <w:ind w:firstLineChars="0"/>
        <w:jc w:val="left"/>
        <w:rPr>
          <w:rFonts w:ascii="Times New Roman" w:hAnsi="Times New Roman" w:eastAsia="宋体" w:cs="Times New Roman"/>
          <w:b/>
          <w:color w:val="auto"/>
          <w:szCs w:val="21"/>
          <w:highlight w:val="none"/>
          <w:u w:val="double"/>
        </w:rPr>
      </w:pPr>
      <w:r>
        <w:rPr>
          <w:rFonts w:ascii="Times New Roman" w:hAnsi="Times New Roman" w:eastAsia="宋体" w:cs="Times New Roman"/>
          <w:b/>
          <w:color w:val="auto"/>
          <w:szCs w:val="21"/>
          <w:highlight w:val="none"/>
          <w:u w:val="double"/>
        </w:rPr>
        <w:t>不同供应商使用同一IP地址参与</w:t>
      </w:r>
      <w:r>
        <w:rPr>
          <w:rFonts w:hint="eastAsia" w:ascii="Times New Roman" w:hAnsi="Times New Roman" w:eastAsia="宋体" w:cs="Times New Roman"/>
          <w:b/>
          <w:color w:val="auto"/>
          <w:szCs w:val="21"/>
          <w:highlight w:val="none"/>
          <w:u w:val="double"/>
        </w:rPr>
        <w:t>比价</w:t>
      </w:r>
      <w:r>
        <w:rPr>
          <w:rFonts w:ascii="Times New Roman" w:hAnsi="Times New Roman" w:eastAsia="宋体" w:cs="Times New Roman"/>
          <w:b/>
          <w:color w:val="auto"/>
          <w:szCs w:val="21"/>
          <w:highlight w:val="none"/>
          <w:u w:val="double"/>
        </w:rPr>
        <w:t>；</w:t>
      </w:r>
    </w:p>
    <w:p w14:paraId="748390E2">
      <w:pPr>
        <w:pStyle w:val="25"/>
        <w:widowControl/>
        <w:numPr>
          <w:ilvl w:val="2"/>
          <w:numId w:val="13"/>
        </w:numPr>
        <w:spacing w:line="360" w:lineRule="auto"/>
        <w:ind w:firstLineChars="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不同供应商的响应文件载明的项目管理成员或者联系人员为同一人；</w:t>
      </w:r>
    </w:p>
    <w:p w14:paraId="765A1FC4">
      <w:pPr>
        <w:pStyle w:val="25"/>
        <w:widowControl/>
        <w:numPr>
          <w:ilvl w:val="2"/>
          <w:numId w:val="13"/>
        </w:numPr>
        <w:spacing w:line="360" w:lineRule="auto"/>
        <w:ind w:firstLineChars="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不同供应商的响应文件异常一致或者报价呈规律性差异；</w:t>
      </w:r>
    </w:p>
    <w:p w14:paraId="7A81912B">
      <w:pPr>
        <w:pStyle w:val="25"/>
        <w:widowControl/>
        <w:numPr>
          <w:ilvl w:val="2"/>
          <w:numId w:val="13"/>
        </w:numPr>
        <w:spacing w:line="360" w:lineRule="auto"/>
        <w:ind w:firstLineChars="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不同供应商的响应文件相互混淆；</w:t>
      </w:r>
    </w:p>
    <w:p w14:paraId="57AB1F46">
      <w:pPr>
        <w:pStyle w:val="25"/>
        <w:widowControl/>
        <w:numPr>
          <w:ilvl w:val="2"/>
          <w:numId w:val="13"/>
        </w:numPr>
        <w:spacing w:line="360" w:lineRule="auto"/>
        <w:ind w:firstLineChars="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不同供应商的平台服务费从同一单位或者个人的账户转出。</w:t>
      </w:r>
    </w:p>
    <w:p w14:paraId="5ADB959F">
      <w:pPr>
        <w:pStyle w:val="25"/>
        <w:numPr>
          <w:ilvl w:val="0"/>
          <w:numId w:val="6"/>
        </w:numPr>
        <w:spacing w:line="360" w:lineRule="auto"/>
        <w:ind w:firstLineChars="0"/>
        <w:rPr>
          <w:rFonts w:ascii="Times New Roman" w:hAnsi="Times New Roman" w:eastAsia="宋体" w:cs="Times New Roman"/>
          <w:color w:val="auto"/>
          <w:szCs w:val="21"/>
          <w:highlight w:val="none"/>
        </w:rPr>
      </w:pPr>
      <w:r>
        <w:rPr>
          <w:rFonts w:hint="eastAsia" w:ascii="Times New Roman" w:hAnsi="Times New Roman" w:eastAsia="宋体" w:cs="Times New Roman"/>
          <w:b/>
          <w:color w:val="auto"/>
          <w:szCs w:val="21"/>
          <w:highlight w:val="none"/>
        </w:rPr>
        <w:t>比价</w:t>
      </w:r>
      <w:r>
        <w:rPr>
          <w:rFonts w:ascii="Times New Roman" w:hAnsi="Times New Roman" w:eastAsia="宋体" w:cs="Times New Roman"/>
          <w:b/>
          <w:color w:val="auto"/>
          <w:szCs w:val="21"/>
          <w:highlight w:val="none"/>
        </w:rPr>
        <w:t>活动失败</w:t>
      </w:r>
    </w:p>
    <w:p w14:paraId="3507E2C2">
      <w:pPr>
        <w:pStyle w:val="25"/>
        <w:numPr>
          <w:ilvl w:val="0"/>
          <w:numId w:val="14"/>
        </w:numPr>
        <w:spacing w:line="360" w:lineRule="auto"/>
        <w:ind w:left="424" w:leftChars="200" w:firstLineChars="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出现下列情况的，本次</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活动失败：</w:t>
      </w:r>
    </w:p>
    <w:p w14:paraId="0A92F8D5">
      <w:pPr>
        <w:pStyle w:val="25"/>
        <w:widowControl/>
        <w:numPr>
          <w:ilvl w:val="2"/>
          <w:numId w:val="15"/>
        </w:numPr>
        <w:spacing w:line="360" w:lineRule="auto"/>
        <w:ind w:firstLineChars="0"/>
        <w:jc w:val="left"/>
        <w:rPr>
          <w:rFonts w:hint="eastAsia" w:cs="Times New Roman" w:asciiTheme="minorEastAsia" w:hAnsiTheme="minorEastAsia"/>
          <w:color w:val="auto"/>
          <w:szCs w:val="21"/>
          <w:highlight w:val="none"/>
        </w:rPr>
      </w:pPr>
      <w:r>
        <w:rPr>
          <w:rFonts w:ascii="Times New Roman" w:hAnsi="Times New Roman" w:eastAsia="宋体" w:cs="Times New Roman"/>
          <w:color w:val="auto"/>
          <w:szCs w:val="21"/>
          <w:highlight w:val="none"/>
        </w:rPr>
        <w:t>报名</w:t>
      </w:r>
      <w:r>
        <w:rPr>
          <w:rFonts w:cs="Times New Roman" w:asciiTheme="minorEastAsia" w:hAnsiTheme="minorEastAsia"/>
          <w:color w:val="auto"/>
          <w:szCs w:val="21"/>
          <w:highlight w:val="none"/>
        </w:rPr>
        <w:t>供应商不足3家；</w:t>
      </w:r>
    </w:p>
    <w:p w14:paraId="4360BA60">
      <w:pPr>
        <w:pStyle w:val="25"/>
        <w:widowControl/>
        <w:numPr>
          <w:ilvl w:val="2"/>
          <w:numId w:val="15"/>
        </w:numPr>
        <w:spacing w:line="360" w:lineRule="auto"/>
        <w:ind w:firstLineChars="0"/>
        <w:jc w:val="left"/>
        <w:rPr>
          <w:rFonts w:hint="eastAsia" w:cs="Times New Roman" w:asciiTheme="minorEastAsia" w:hAnsiTheme="minorEastAsia"/>
          <w:color w:val="auto"/>
          <w:szCs w:val="21"/>
          <w:highlight w:val="none"/>
        </w:rPr>
      </w:pPr>
      <w:r>
        <w:rPr>
          <w:rFonts w:cs="Times New Roman" w:asciiTheme="minorEastAsia" w:hAnsiTheme="minorEastAsia"/>
          <w:color w:val="auto"/>
          <w:szCs w:val="21"/>
          <w:highlight w:val="none"/>
        </w:rPr>
        <w:t>有效报价供应商不足3家。</w:t>
      </w:r>
    </w:p>
    <w:p w14:paraId="70DADB26">
      <w:pPr>
        <w:pStyle w:val="25"/>
        <w:numPr>
          <w:ilvl w:val="0"/>
          <w:numId w:val="14"/>
        </w:numPr>
        <w:spacing w:line="360" w:lineRule="auto"/>
        <w:ind w:left="424" w:leftChars="20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出现影响采购公正的违法、违规行为的；</w:t>
      </w:r>
    </w:p>
    <w:p w14:paraId="17163EB0">
      <w:pPr>
        <w:pStyle w:val="25"/>
        <w:numPr>
          <w:ilvl w:val="0"/>
          <w:numId w:val="14"/>
        </w:numPr>
        <w:spacing w:line="360" w:lineRule="auto"/>
        <w:ind w:left="424" w:leftChars="20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因重大变故，采购任务取消的</w:t>
      </w:r>
      <w:r>
        <w:rPr>
          <w:rFonts w:hint="eastAsia" w:ascii="Times New Roman" w:hAnsi="Times New Roman" w:eastAsia="宋体" w:cs="Times New Roman"/>
          <w:color w:val="auto"/>
          <w:szCs w:val="21"/>
          <w:highlight w:val="none"/>
        </w:rPr>
        <w:t>。</w:t>
      </w:r>
    </w:p>
    <w:p w14:paraId="4B6F9F68">
      <w:pPr>
        <w:pStyle w:val="25"/>
        <w:numPr>
          <w:ilvl w:val="0"/>
          <w:numId w:val="6"/>
        </w:numPr>
        <w:spacing w:line="360" w:lineRule="auto"/>
        <w:ind w:firstLineChars="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使用费</w:t>
      </w:r>
    </w:p>
    <w:p w14:paraId="2FB0D20D">
      <w:pPr>
        <w:pStyle w:val="25"/>
        <w:numPr>
          <w:ilvl w:val="0"/>
          <w:numId w:val="16"/>
        </w:numPr>
        <w:spacing w:line="360" w:lineRule="auto"/>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成交人须向平台服务商云采链线上采购一体化平台缴纳平台使用费，</w:t>
      </w:r>
      <w:r>
        <w:rPr>
          <w:rFonts w:hint="eastAsia" w:asciiTheme="minorEastAsia" w:hAnsiTheme="minorEastAsia" w:eastAsiaTheme="minorEastAsia" w:cstheme="minorEastAsia"/>
          <w:color w:val="auto"/>
          <w:highlight w:val="none"/>
          <w:lang w:val="en-US" w:eastAsia="zh-CN"/>
        </w:rPr>
        <w:t>定额收取人民币</w:t>
      </w:r>
      <w:r>
        <w:rPr>
          <w:rFonts w:hint="eastAsia" w:asciiTheme="minorEastAsia" w:hAnsiTheme="minorEastAsia" w:cstheme="minorEastAsia"/>
          <w:color w:val="auto"/>
          <w:highlight w:val="none"/>
          <w:lang w:val="en-US" w:eastAsia="zh-CN"/>
        </w:rPr>
        <w:t>6400.00</w:t>
      </w:r>
    </w:p>
    <w:p w14:paraId="72CE5A5A">
      <w:pPr>
        <w:pStyle w:val="25"/>
        <w:numPr>
          <w:ilvl w:val="0"/>
          <w:numId w:val="0"/>
        </w:numPr>
        <w:spacing w:line="360" w:lineRule="auto"/>
        <w:ind w:left="420" w:leftChars="0" w:firstLine="212"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元</w:t>
      </w:r>
      <w:r>
        <w:rPr>
          <w:rFonts w:hint="eastAsia" w:asciiTheme="minorEastAsia" w:hAnsiTheme="minorEastAsia" w:eastAsiaTheme="minorEastAsia" w:cstheme="minorEastAsia"/>
          <w:color w:val="auto"/>
          <w:highlight w:val="none"/>
        </w:rPr>
        <w:t>。</w:t>
      </w:r>
    </w:p>
    <w:p w14:paraId="01AD81C3">
      <w:pPr>
        <w:pStyle w:val="25"/>
        <w:numPr>
          <w:ilvl w:val="0"/>
          <w:numId w:val="16"/>
        </w:numPr>
        <w:spacing w:line="360" w:lineRule="auto"/>
        <w:ind w:firstLineChars="0"/>
        <w:rPr>
          <w:rFonts w:hint="eastAsia" w:cs="Times New Roman" w:asciiTheme="minorEastAsia" w:hAnsiTheme="minorEastAsia"/>
          <w:color w:val="auto"/>
          <w:highlight w:val="none"/>
        </w:rPr>
      </w:pPr>
      <w:r>
        <w:rPr>
          <w:rFonts w:hint="eastAsia" w:cs="Times New Roman" w:asciiTheme="minorEastAsia" w:hAnsiTheme="minorEastAsia"/>
          <w:color w:val="auto"/>
          <w:highlight w:val="none"/>
        </w:rPr>
        <w:t>成交人</w:t>
      </w:r>
      <w:r>
        <w:rPr>
          <w:rFonts w:cs="Times New Roman" w:asciiTheme="minorEastAsia" w:hAnsiTheme="minorEastAsia"/>
          <w:color w:val="auto"/>
          <w:highlight w:val="none"/>
        </w:rPr>
        <w:t>无正当理由放弃成交资格的必须按</w:t>
      </w:r>
      <w:r>
        <w:rPr>
          <w:rFonts w:hint="eastAsia" w:cs="Times New Roman" w:asciiTheme="minorEastAsia" w:hAnsiTheme="minorEastAsia"/>
          <w:color w:val="auto"/>
          <w:highlight w:val="none"/>
        </w:rPr>
        <w:t>比价</w:t>
      </w:r>
      <w:r>
        <w:rPr>
          <w:rFonts w:cs="Times New Roman" w:asciiTheme="minorEastAsia" w:hAnsiTheme="minorEastAsia"/>
          <w:color w:val="auto"/>
          <w:highlight w:val="none"/>
        </w:rPr>
        <w:t>公告等相关规定缴纳相应的平台使用费。</w:t>
      </w:r>
    </w:p>
    <w:p w14:paraId="7B1BD0E6">
      <w:pPr>
        <w:pStyle w:val="25"/>
        <w:numPr>
          <w:ilvl w:val="0"/>
          <w:numId w:val="16"/>
        </w:numPr>
        <w:spacing w:line="360" w:lineRule="auto"/>
        <w:ind w:firstLineChars="0"/>
        <w:rPr>
          <w:rFonts w:hint="eastAsia" w:cs="Times New Roman" w:asciiTheme="minorEastAsia" w:hAnsiTheme="minorEastAsia"/>
          <w:color w:val="auto"/>
          <w:highlight w:val="none"/>
        </w:rPr>
      </w:pPr>
      <w:r>
        <w:rPr>
          <w:rFonts w:cs="Times New Roman" w:asciiTheme="minorEastAsia" w:hAnsiTheme="minorEastAsia"/>
          <w:color w:val="auto"/>
          <w:szCs w:val="21"/>
          <w:highlight w:val="none"/>
        </w:rPr>
        <w:t>如确实因不可抗力放弃成交资格的，应在不可抗力发生后三个工作日内予以通知采购代理机构</w:t>
      </w:r>
    </w:p>
    <w:p w14:paraId="58F00FD3">
      <w:pPr>
        <w:pStyle w:val="25"/>
        <w:numPr>
          <w:ilvl w:val="0"/>
          <w:numId w:val="0"/>
        </w:numPr>
        <w:spacing w:line="360" w:lineRule="auto"/>
        <w:ind w:left="420" w:leftChars="0" w:firstLine="212" w:firstLineChars="100"/>
        <w:rPr>
          <w:rFonts w:hint="eastAsia" w:cs="Times New Roman" w:asciiTheme="minorEastAsia" w:hAnsiTheme="minorEastAsia"/>
          <w:color w:val="auto"/>
          <w:highlight w:val="none"/>
        </w:rPr>
      </w:pPr>
      <w:r>
        <w:rPr>
          <w:rFonts w:cs="Times New Roman" w:asciiTheme="minorEastAsia" w:hAnsiTheme="minorEastAsia"/>
          <w:color w:val="auto"/>
          <w:szCs w:val="21"/>
          <w:highlight w:val="none"/>
        </w:rPr>
        <w:t>并提供相关的证明；如逾期，采购代理机构不予退还平台</w:t>
      </w:r>
      <w:r>
        <w:rPr>
          <w:rFonts w:cs="Times New Roman" w:asciiTheme="minorEastAsia" w:hAnsiTheme="minorEastAsia"/>
          <w:color w:val="auto"/>
          <w:highlight w:val="none"/>
        </w:rPr>
        <w:t>使用费</w:t>
      </w:r>
      <w:r>
        <w:rPr>
          <w:rFonts w:cs="Times New Roman" w:asciiTheme="minorEastAsia" w:hAnsiTheme="minorEastAsia"/>
          <w:color w:val="auto"/>
          <w:szCs w:val="21"/>
          <w:highlight w:val="none"/>
        </w:rPr>
        <w:t>。</w:t>
      </w:r>
    </w:p>
    <w:p w14:paraId="0C9C03EC">
      <w:pPr>
        <w:pStyle w:val="25"/>
        <w:widowControl/>
        <w:numPr>
          <w:ilvl w:val="0"/>
          <w:numId w:val="5"/>
        </w:numPr>
        <w:spacing w:line="360" w:lineRule="auto"/>
        <w:ind w:firstLineChars="0"/>
        <w:jc w:val="left"/>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联系方式</w:t>
      </w:r>
    </w:p>
    <w:p w14:paraId="584F2849">
      <w:pPr>
        <w:pStyle w:val="25"/>
        <w:widowControl/>
        <w:spacing w:line="360" w:lineRule="auto"/>
        <w:ind w:left="420" w:firstLine="0" w:firstLineChars="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扫码关注微信公众号“云采链互联服务平台”，即可在线咨询相关事项。</w:t>
      </w:r>
    </w:p>
    <w:p w14:paraId="6FC95128">
      <w:pPr>
        <w:pStyle w:val="25"/>
        <w:widowControl/>
        <w:spacing w:line="360" w:lineRule="auto"/>
        <w:ind w:left="420" w:firstLine="0" w:firstLineChars="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drawing>
          <wp:inline distT="0" distB="0" distL="0" distR="0">
            <wp:extent cx="1390650" cy="1390650"/>
            <wp:effectExtent l="0" t="0" r="0" b="0"/>
            <wp:docPr id="7" name="图片 7" descr="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360zip$Temp\360$2\智采公众号8c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noFill/>
                    <a:ln>
                      <a:noFill/>
                    </a:ln>
                  </pic:spPr>
                </pic:pic>
              </a:graphicData>
            </a:graphic>
          </wp:inline>
        </w:drawing>
      </w:r>
    </w:p>
    <w:p w14:paraId="193B672A">
      <w:pPr>
        <w:widowControl/>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16F18503">
      <w:pPr>
        <w:pStyle w:val="14"/>
        <w:rPr>
          <w:rFonts w:ascii="Times New Roman" w:hAnsi="Times New Roman" w:cs="Times New Roman"/>
          <w:b w:val="0"/>
          <w:bCs w:val="0"/>
          <w:color w:val="auto"/>
          <w:sz w:val="28"/>
          <w:highlight w:val="none"/>
        </w:rPr>
      </w:pPr>
      <w:bookmarkStart w:id="24" w:name="PO_t_第三章用户需求书_8"/>
      <w:r>
        <w:rPr>
          <w:rFonts w:ascii="Times New Roman" w:hAnsi="Times New Roman" w:cs="Times New Roman"/>
          <w:color w:val="auto"/>
          <w:highlight w:val="none"/>
        </w:rPr>
        <w:t>第</w:t>
      </w:r>
      <w:r>
        <w:rPr>
          <w:rFonts w:hint="eastAsia" w:ascii="Times New Roman" w:hAnsi="Times New Roman" w:cs="Times New Roman"/>
          <w:color w:val="auto"/>
          <w:highlight w:val="none"/>
        </w:rPr>
        <w:t>三</w:t>
      </w:r>
      <w:r>
        <w:rPr>
          <w:rFonts w:ascii="Times New Roman" w:hAnsi="Times New Roman" w:cs="Times New Roman"/>
          <w:color w:val="auto"/>
          <w:highlight w:val="none"/>
        </w:rPr>
        <w:t>章  用户需求书</w:t>
      </w:r>
    </w:p>
    <w:bookmarkEnd w:id="24"/>
    <w:p w14:paraId="4A8873E5">
      <w:pPr>
        <w:snapToGrid w:val="0"/>
        <w:spacing w:line="360" w:lineRule="auto"/>
        <w:ind w:left="517" w:hanging="518" w:hangingChars="245"/>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p w14:paraId="6FD2EDAF">
      <w:pPr>
        <w:numPr>
          <w:ilvl w:val="0"/>
          <w:numId w:val="17"/>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响应供应商须对本项目为单位的采购内容进行整体响应，任何只对其中一部分采购内容进行的响应都被视为无效响应。 </w:t>
      </w:r>
    </w:p>
    <w:p w14:paraId="09F53615">
      <w:pPr>
        <w:pStyle w:val="8"/>
        <w:numPr>
          <w:ilvl w:val="0"/>
          <w:numId w:val="18"/>
        </w:numPr>
        <w:tabs>
          <w:tab w:val="left" w:pos="540"/>
        </w:tabs>
        <w:adjustRightInd w:val="0"/>
        <w:snapToGrid w:val="0"/>
        <w:spacing w:line="360" w:lineRule="auto"/>
        <w:rPr>
          <w:rFonts w:hint="eastAsia" w:hAnsi="宋体" w:cs="宋体"/>
          <w:b/>
          <w:bCs/>
          <w:color w:val="auto"/>
          <w:sz w:val="21"/>
          <w:highlight w:val="none"/>
        </w:rPr>
      </w:pPr>
      <w:bookmarkStart w:id="25" w:name="PO_t_项目一览表_9"/>
      <w:r>
        <w:rPr>
          <w:rFonts w:hint="eastAsia" w:hAnsi="宋体" w:cs="宋体"/>
          <w:b/>
          <w:bCs/>
          <w:color w:val="auto"/>
          <w:sz w:val="21"/>
          <w:highlight w:val="none"/>
        </w:rPr>
        <w:t>项目一览表</w:t>
      </w:r>
    </w:p>
    <w:bookmarkEnd w:id="25"/>
    <w:tbl>
      <w:tblPr>
        <w:tblStyle w:val="17"/>
        <w:tblW w:w="46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30"/>
        <w:gridCol w:w="818"/>
        <w:gridCol w:w="3194"/>
        <w:gridCol w:w="2387"/>
      </w:tblGrid>
      <w:tr w14:paraId="378A8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376" w:type="pct"/>
            <w:shd w:val="clear" w:color="auto" w:fill="EEECE1"/>
            <w:vAlign w:val="center"/>
          </w:tcPr>
          <w:p w14:paraId="1F287F80">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采购内容</w:t>
            </w:r>
          </w:p>
        </w:tc>
        <w:tc>
          <w:tcPr>
            <w:tcW w:w="463" w:type="pct"/>
            <w:shd w:val="clear" w:color="auto" w:fill="EEECE1"/>
            <w:vAlign w:val="center"/>
          </w:tcPr>
          <w:p w14:paraId="6FB009FE">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808" w:type="pct"/>
            <w:shd w:val="clear" w:color="auto" w:fill="EEECE1"/>
            <w:vAlign w:val="center"/>
          </w:tcPr>
          <w:p w14:paraId="4F7C53D4">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项目工期</w:t>
            </w:r>
          </w:p>
        </w:tc>
        <w:tc>
          <w:tcPr>
            <w:tcW w:w="1351" w:type="pct"/>
            <w:shd w:val="clear" w:color="auto" w:fill="EEECE1"/>
            <w:vAlign w:val="center"/>
          </w:tcPr>
          <w:p w14:paraId="6FA8BDE9">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最高限价</w:t>
            </w:r>
          </w:p>
        </w:tc>
      </w:tr>
      <w:tr w14:paraId="0C3FB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jc w:val="center"/>
        </w:trPr>
        <w:tc>
          <w:tcPr>
            <w:tcW w:w="1376" w:type="pct"/>
            <w:vAlign w:val="center"/>
          </w:tcPr>
          <w:p w14:paraId="57A7BC69">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eastAsia="zh-CN"/>
              </w:rPr>
              <w:t>回旋水域清淤整治工程</w:t>
            </w:r>
          </w:p>
        </w:tc>
        <w:tc>
          <w:tcPr>
            <w:tcW w:w="463" w:type="pct"/>
            <w:vAlign w:val="center"/>
          </w:tcPr>
          <w:p w14:paraId="58F3FB62">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项</w:t>
            </w:r>
          </w:p>
        </w:tc>
        <w:tc>
          <w:tcPr>
            <w:tcW w:w="1808" w:type="pct"/>
            <w:vAlign w:val="center"/>
          </w:tcPr>
          <w:p w14:paraId="22FFC661">
            <w:pPr>
              <w:pStyle w:val="25"/>
              <w:snapToGrid w:val="0"/>
              <w:spacing w:line="240" w:lineRule="auto"/>
              <w:ind w:firstLine="0" w:firstLineChars="0"/>
              <w:jc w:val="center"/>
              <w:rPr>
                <w:rFonts w:hint="eastAsia" w:ascii="宋体" w:hAnsi="宋体" w:eastAsia="宋体" w:cs="宋体"/>
                <w:color w:val="auto"/>
                <w:szCs w:val="21"/>
                <w:highlight w:val="none"/>
              </w:rPr>
            </w:pPr>
            <w:r>
              <w:rPr>
                <w:rFonts w:hint="eastAsia" w:asciiTheme="minorEastAsia" w:hAnsiTheme="minorEastAsia" w:eastAsiaTheme="minorEastAsia"/>
                <w:snapToGrid/>
                <w:color w:val="auto"/>
                <w:spacing w:val="0"/>
                <w:kern w:val="2"/>
                <w:sz w:val="21"/>
                <w:szCs w:val="21"/>
                <w:highlight w:val="none"/>
              </w:rPr>
              <w:t>自合同签订之日起</w:t>
            </w:r>
            <w:r>
              <w:rPr>
                <w:rFonts w:hint="eastAsia" w:asciiTheme="minorEastAsia" w:hAnsiTheme="minorEastAsia" w:eastAsiaTheme="minorEastAsia"/>
                <w:snapToGrid/>
                <w:color w:val="auto"/>
                <w:spacing w:val="0"/>
                <w:kern w:val="2"/>
                <w:sz w:val="21"/>
                <w:szCs w:val="21"/>
                <w:highlight w:val="none"/>
                <w:u w:val="single"/>
                <w:lang w:val="en-US" w:eastAsia="zh-CN"/>
              </w:rPr>
              <w:t>40</w:t>
            </w:r>
            <w:r>
              <w:rPr>
                <w:rFonts w:hint="eastAsia" w:asciiTheme="minorEastAsia" w:hAnsiTheme="minorEastAsia" w:eastAsiaTheme="minorEastAsia"/>
                <w:snapToGrid/>
                <w:color w:val="auto"/>
                <w:spacing w:val="0"/>
                <w:kern w:val="2"/>
                <w:sz w:val="21"/>
                <w:szCs w:val="21"/>
                <w:highlight w:val="none"/>
              </w:rPr>
              <w:t>个日历天</w:t>
            </w:r>
          </w:p>
        </w:tc>
        <w:tc>
          <w:tcPr>
            <w:tcW w:w="1351" w:type="pct"/>
            <w:vAlign w:val="center"/>
          </w:tcPr>
          <w:p w14:paraId="496A40AB">
            <w:pPr>
              <w:spacing w:line="240" w:lineRule="auto"/>
              <w:jc w:val="center"/>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lang w:val="en-US" w:eastAsia="zh-CN"/>
              </w:rPr>
              <w:t>人民币</w:t>
            </w:r>
            <w:r>
              <w:rPr>
                <w:rFonts w:hint="eastAsia" w:ascii="宋体" w:hAnsi="宋体" w:eastAsia="宋体" w:cs="宋体"/>
                <w:bCs/>
                <w:color w:val="auto"/>
                <w:szCs w:val="21"/>
                <w:highlight w:val="none"/>
                <w:lang w:eastAsia="zh-CN"/>
              </w:rPr>
              <w:t>487000.00</w:t>
            </w:r>
            <w:r>
              <w:rPr>
                <w:rFonts w:hint="eastAsia" w:ascii="宋体" w:hAnsi="宋体" w:eastAsia="宋体" w:cs="宋体"/>
                <w:bCs/>
                <w:color w:val="auto"/>
                <w:szCs w:val="21"/>
                <w:highlight w:val="none"/>
              </w:rPr>
              <w:t>元</w:t>
            </w:r>
          </w:p>
        </w:tc>
      </w:tr>
    </w:tbl>
    <w:p w14:paraId="00DC7EE9">
      <w:pPr>
        <w:pStyle w:val="8"/>
        <w:numPr>
          <w:ilvl w:val="0"/>
          <w:numId w:val="19"/>
        </w:numPr>
        <w:tabs>
          <w:tab w:val="left" w:pos="540"/>
        </w:tabs>
        <w:adjustRightInd w:val="0"/>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项目基本概况</w:t>
      </w:r>
    </w:p>
    <w:p w14:paraId="5B33A6B4">
      <w:pPr>
        <w:tabs>
          <w:tab w:val="left" w:pos="900"/>
        </w:tabs>
        <w:snapToGrid w:val="0"/>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广州</w:t>
      </w:r>
      <w:r>
        <w:rPr>
          <w:rFonts w:hint="eastAsia" w:asciiTheme="minorEastAsia" w:hAnsiTheme="minorEastAsia" w:eastAsiaTheme="minorEastAsia" w:cstheme="minorEastAsia"/>
          <w:color w:val="auto"/>
          <w:sz w:val="21"/>
          <w:szCs w:val="21"/>
          <w:highlight w:val="none"/>
        </w:rPr>
        <w:t>仑头航测基地码头港池及附近水域，自</w:t>
      </w:r>
      <w:r>
        <w:rPr>
          <w:rFonts w:hint="eastAsia" w:asciiTheme="minorEastAsia" w:hAnsiTheme="minorEastAsia" w:eastAsiaTheme="minorEastAsia" w:cstheme="minorEastAsia"/>
          <w:color w:val="auto"/>
          <w:sz w:val="21"/>
          <w:szCs w:val="21"/>
          <w:highlight w:val="none"/>
          <w:lang w:val="en-US" w:eastAsia="zh-CN"/>
        </w:rPr>
        <w:t>2022年疏浚后</w:t>
      </w:r>
      <w:r>
        <w:rPr>
          <w:rFonts w:hint="eastAsia" w:asciiTheme="minorEastAsia" w:hAnsiTheme="minorEastAsia" w:eastAsiaTheme="minorEastAsia" w:cstheme="minorEastAsia"/>
          <w:color w:val="auto"/>
          <w:sz w:val="21"/>
          <w:szCs w:val="21"/>
          <w:highlight w:val="none"/>
        </w:rPr>
        <w:t>，因上游沙土淤积，影响航标船停泊及出航作业，有必要对淤积进行</w:t>
      </w:r>
      <w:r>
        <w:rPr>
          <w:rFonts w:hint="eastAsia" w:asciiTheme="minorEastAsia" w:hAnsiTheme="minorEastAsia" w:eastAsiaTheme="minorEastAsia" w:cstheme="minorEastAsia"/>
          <w:color w:val="auto"/>
          <w:sz w:val="21"/>
          <w:szCs w:val="21"/>
          <w:highlight w:val="none"/>
          <w:lang w:val="en-US" w:eastAsia="zh-CN"/>
        </w:rPr>
        <w:t>整治</w:t>
      </w:r>
      <w:r>
        <w:rPr>
          <w:rFonts w:hint="eastAsia" w:asciiTheme="minorEastAsia" w:hAnsiTheme="minorEastAsia" w:eastAsiaTheme="minorEastAsia" w:cstheme="minorEastAsia"/>
          <w:color w:val="auto"/>
          <w:sz w:val="21"/>
          <w:szCs w:val="21"/>
          <w:highlight w:val="none"/>
        </w:rPr>
        <w:t>。</w:t>
      </w:r>
    </w:p>
    <w:p w14:paraId="5507A034">
      <w:pPr>
        <w:tabs>
          <w:tab w:val="left" w:pos="900"/>
        </w:tabs>
        <w:snapToGrid w:val="0"/>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港池及回旋水域的原设计标准为：港池底标高-5.0m，回旋水域底标高为-3.8m，水域挖泥超宽3m，超深0.</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m，边坡按1:5，其中码头前沿1:1.5。</w:t>
      </w:r>
    </w:p>
    <w:p w14:paraId="01EBE08C">
      <w:pPr>
        <w:pStyle w:val="8"/>
        <w:numPr>
          <w:ilvl w:val="0"/>
          <w:numId w:val="19"/>
        </w:numPr>
        <w:tabs>
          <w:tab w:val="left" w:pos="540"/>
        </w:tabs>
        <w:adjustRightInd w:val="0"/>
        <w:snapToGrid w:val="0"/>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项目服务内容</w:t>
      </w:r>
    </w:p>
    <w:p w14:paraId="7FCD532B">
      <w:pPr>
        <w:pStyle w:val="3"/>
        <w:spacing w:before="0" w:after="0"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bookmarkStart w:id="26" w:name="_Toc223227705"/>
      <w:r>
        <w:rPr>
          <w:rFonts w:hint="eastAsia" w:asciiTheme="minorEastAsia" w:hAnsiTheme="minorEastAsia" w:eastAsiaTheme="minorEastAsia" w:cstheme="minorEastAsia"/>
          <w:b/>
          <w:bCs/>
          <w:color w:val="auto"/>
          <w:kern w:val="2"/>
          <w:sz w:val="21"/>
          <w:szCs w:val="21"/>
          <w:highlight w:val="none"/>
          <w:lang w:val="en-US" w:eastAsia="zh-CN" w:bidi="ar-SA"/>
        </w:rPr>
        <w:t>1.图纸和供应商文件</w:t>
      </w:r>
      <w:bookmarkEnd w:id="26"/>
    </w:p>
    <w:p w14:paraId="54C68ABD">
      <w:pPr>
        <w:spacing w:line="360" w:lineRule="auto"/>
        <w:ind w:firstLine="4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1.1图纸的提供：</w:t>
      </w:r>
      <w:r>
        <w:rPr>
          <w:rFonts w:hint="eastAsia" w:asciiTheme="minorEastAsia" w:hAnsiTheme="minorEastAsia" w:cstheme="minorEastAsia"/>
          <w:color w:val="auto"/>
          <w:sz w:val="21"/>
          <w:szCs w:val="21"/>
          <w:highlight w:val="none"/>
          <w:lang w:val="en-US" w:eastAsia="zh-CN"/>
        </w:rPr>
        <w:t>采购人</w:t>
      </w:r>
      <w:r>
        <w:rPr>
          <w:rFonts w:hint="eastAsia" w:asciiTheme="minorEastAsia" w:hAnsi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rPr>
        <w:t>建设单位</w:t>
      </w:r>
      <w:r>
        <w:rPr>
          <w:rFonts w:hint="eastAsia" w:asciiTheme="minorEastAsia" w:hAnsiTheme="minorEastAsia" w:cstheme="minorEastAsia"/>
          <w:color w:val="auto"/>
          <w:sz w:val="21"/>
          <w:szCs w:val="21"/>
          <w:highlight w:val="none"/>
          <w:u w:val="none"/>
          <w:lang w:val="en-US" w:eastAsia="zh-CN"/>
        </w:rPr>
        <w:t>）</w:t>
      </w:r>
    </w:p>
    <w:p w14:paraId="63D19332">
      <w:pPr>
        <w:spacing w:line="360" w:lineRule="auto"/>
        <w:ind w:firstLine="435"/>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工程实施以批复的施工图纸（或批准变更图）为准，供应商应按图纸施工。没有采购人的批准，供应商不得对施工图的任何部分进行修改。</w:t>
      </w:r>
    </w:p>
    <w:p w14:paraId="287D4884">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1.2供应商提供的文件：</w:t>
      </w:r>
      <w:r>
        <w:rPr>
          <w:rFonts w:hint="eastAsia" w:asciiTheme="minorEastAsia" w:hAnsiTheme="minorEastAsia" w:eastAsiaTheme="minorEastAsia" w:cstheme="minorEastAsia"/>
          <w:color w:val="auto"/>
          <w:sz w:val="21"/>
          <w:szCs w:val="21"/>
          <w:highlight w:val="none"/>
          <w:u w:val="single"/>
        </w:rPr>
        <w:t xml:space="preserve"> 按采购人要求 </w:t>
      </w:r>
      <w:r>
        <w:rPr>
          <w:rFonts w:hint="eastAsia" w:asciiTheme="minorEastAsia" w:hAnsiTheme="minorEastAsia" w:eastAsiaTheme="minorEastAsia" w:cstheme="minorEastAsia"/>
          <w:color w:val="auto"/>
          <w:sz w:val="21"/>
          <w:szCs w:val="21"/>
          <w:highlight w:val="none"/>
        </w:rPr>
        <w:t>。</w:t>
      </w:r>
    </w:p>
    <w:p w14:paraId="41169E3B">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1.3联络</w:t>
      </w:r>
    </w:p>
    <w:p w14:paraId="5DF3F6ED">
      <w:pPr>
        <w:spacing w:line="360" w:lineRule="auto"/>
        <w:ind w:firstLine="424"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各类往来书面函件的联络送达时限按以下标准执行：</w:t>
      </w:r>
    </w:p>
    <w:p w14:paraId="39660215">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采用中国邮政 EMS、顺丰等具备签收记录功能的快递服务邮寄的，以收件人实际签收日期为准；</w:t>
      </w:r>
    </w:p>
    <w:p w14:paraId="208AF9BD">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（2）传真、电子邮件以收件人发回确认回执日期为准；</w:t>
      </w:r>
    </w:p>
    <w:p w14:paraId="62972DB9">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人工送达的，以收件人或其授权代收人签收日期为准。</w:t>
      </w:r>
    </w:p>
    <w:p w14:paraId="24CB4A64">
      <w:pPr>
        <w:pStyle w:val="3"/>
        <w:spacing w:before="0" w:after="0"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bookmarkStart w:id="27" w:name="_Toc223227707"/>
      <w:r>
        <w:rPr>
          <w:rFonts w:hint="eastAsia" w:asciiTheme="minorEastAsia" w:hAnsiTheme="minorEastAsia" w:eastAsiaTheme="minorEastAsia" w:cstheme="minorEastAsia"/>
          <w:b/>
          <w:bCs/>
          <w:color w:val="auto"/>
          <w:kern w:val="2"/>
          <w:sz w:val="21"/>
          <w:szCs w:val="21"/>
          <w:highlight w:val="none"/>
          <w:lang w:val="en-US" w:eastAsia="zh-CN" w:bidi="ar-SA"/>
        </w:rPr>
        <w:t>2.采购人的</w:t>
      </w:r>
      <w:bookmarkEnd w:id="27"/>
      <w:r>
        <w:rPr>
          <w:rFonts w:hint="eastAsia" w:asciiTheme="minorEastAsia" w:hAnsiTheme="minorEastAsia" w:eastAsiaTheme="minorEastAsia" w:cstheme="minorEastAsia"/>
          <w:b/>
          <w:bCs/>
          <w:color w:val="auto"/>
          <w:kern w:val="2"/>
          <w:sz w:val="21"/>
          <w:szCs w:val="21"/>
          <w:highlight w:val="none"/>
          <w:lang w:val="en-US" w:eastAsia="zh-CN" w:bidi="ar-SA"/>
        </w:rPr>
        <w:t>工作</w:t>
      </w:r>
    </w:p>
    <w:p w14:paraId="0CCF2C4D">
      <w:pPr>
        <w:pStyle w:val="4"/>
        <w:numPr>
          <w:ilvl w:val="2"/>
          <w:numId w:val="0"/>
        </w:numPr>
        <w:tabs>
          <w:tab w:val="left" w:pos="720"/>
        </w:tabs>
        <w:spacing w:before="0" w:after="0" w:line="360" w:lineRule="auto"/>
        <w:ind w:left="583" w:leftChars="228" w:hanging="100" w:hangingChars="48"/>
        <w:rPr>
          <w:rFonts w:hint="eastAsia" w:asciiTheme="minorEastAsia" w:hAnsiTheme="minorEastAsia" w:eastAsiaTheme="minorEastAsia" w:cstheme="minorEastAsia"/>
          <w:color w:val="auto"/>
          <w:sz w:val="21"/>
          <w:szCs w:val="21"/>
          <w:highlight w:val="none"/>
        </w:rPr>
      </w:pPr>
      <w:bookmarkStart w:id="28" w:name="_Toc223227708"/>
      <w:r>
        <w:rPr>
          <w:rFonts w:hint="eastAsia" w:asciiTheme="minorEastAsia" w:hAnsiTheme="minorEastAsia" w:eastAsiaTheme="minorEastAsia" w:cstheme="minorEastAsia"/>
          <w:color w:val="auto"/>
          <w:sz w:val="21"/>
          <w:szCs w:val="21"/>
          <w:highlight w:val="none"/>
        </w:rPr>
        <w:t>2.1开工通知</w:t>
      </w:r>
      <w:bookmarkEnd w:id="28"/>
    </w:p>
    <w:p w14:paraId="531ED689">
      <w:pPr>
        <w:spacing w:line="360" w:lineRule="auto"/>
        <w:ind w:firstLine="424" w:firstLineChars="200"/>
        <w:rPr>
          <w:rFonts w:hint="eastAsia" w:asciiTheme="minorEastAsia" w:hAnsiTheme="minorEastAsia" w:eastAsiaTheme="minorEastAsia" w:cstheme="minorEastAsia"/>
          <w:color w:val="auto"/>
          <w:sz w:val="21"/>
          <w:szCs w:val="21"/>
          <w:highlight w:val="none"/>
        </w:rPr>
      </w:pPr>
      <w:bookmarkStart w:id="29" w:name="_Toc223227709"/>
      <w:r>
        <w:rPr>
          <w:rFonts w:hint="eastAsia" w:asciiTheme="minorEastAsia" w:hAnsiTheme="minorEastAsia" w:eastAsiaTheme="minorEastAsia" w:cstheme="minorEastAsia"/>
          <w:color w:val="auto"/>
          <w:sz w:val="21"/>
          <w:szCs w:val="21"/>
          <w:highlight w:val="none"/>
        </w:rPr>
        <w:t>以建设单位签注开工令为工程的开工时间。</w:t>
      </w:r>
    </w:p>
    <w:p w14:paraId="3205B28B">
      <w:pPr>
        <w:pStyle w:val="4"/>
        <w:numPr>
          <w:ilvl w:val="2"/>
          <w:numId w:val="0"/>
        </w:numPr>
        <w:tabs>
          <w:tab w:val="left" w:pos="720"/>
        </w:tabs>
        <w:spacing w:before="0" w:after="0" w:line="360" w:lineRule="auto"/>
        <w:ind w:left="583" w:leftChars="228" w:hanging="100" w:hangingChars="4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2.2提供施工场地</w:t>
      </w:r>
      <w:bookmarkEnd w:id="29"/>
    </w:p>
    <w:p w14:paraId="6C1F8BAB">
      <w:pPr>
        <w:spacing w:line="360" w:lineRule="auto"/>
        <w:ind w:firstLine="636" w:firstLineChars="30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2.2.1采购人应在计划开工日期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天前，向供应商无偿提供能满足工程主体范围并有合理有效的施工作业面位置的施工水域或场地，提供的施工水域或场地面积，应满足施工单位的最低要求。</w:t>
      </w:r>
    </w:p>
    <w:p w14:paraId="386F1DA6">
      <w:pPr>
        <w:spacing w:line="360" w:lineRule="auto"/>
        <w:ind w:firstLine="424" w:firstLineChars="20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上述施工水域或场地应符合国家的有关规定，并已完成审批、征用、拆迁、补偿、障碍物清理等工作。</w:t>
      </w:r>
    </w:p>
    <w:p w14:paraId="3801EAE7">
      <w:pPr>
        <w:spacing w:line="360" w:lineRule="auto"/>
        <w:ind w:firstLine="424" w:firstLineChars="200"/>
        <w:outlineLvl w:val="0"/>
        <w:rPr>
          <w:rFonts w:hint="eastAsia" w:asciiTheme="minorEastAsia" w:hAnsiTheme="minorEastAsia" w:eastAsiaTheme="minorEastAsia" w:cstheme="minorEastAsia"/>
          <w:color w:val="auto"/>
          <w:sz w:val="21"/>
          <w:szCs w:val="21"/>
          <w:highlight w:val="none"/>
        </w:rPr>
      </w:pPr>
      <w:bookmarkStart w:id="30" w:name="_Toc223227710"/>
      <w:bookmarkStart w:id="31" w:name="_Toc324173583"/>
      <w:bookmarkStart w:id="32" w:name="_Toc222798322"/>
      <w:bookmarkStart w:id="33" w:name="_Toc222814407"/>
      <w:bookmarkStart w:id="34" w:name="_Toc316739198"/>
      <w:r>
        <w:rPr>
          <w:rFonts w:hint="eastAsia" w:asciiTheme="minorEastAsia" w:hAnsiTheme="minorEastAsia" w:eastAsiaTheme="minorEastAsia" w:cstheme="minorEastAsia"/>
          <w:color w:val="auto"/>
          <w:sz w:val="21"/>
          <w:szCs w:val="21"/>
          <w:highlight w:val="none"/>
        </w:rPr>
        <w:t>2.2.2采购人应在计划开工日期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rPr>
        <w:t>天前，提供能满足供应商生产、生活需要的临时施工水域或场地。</w:t>
      </w:r>
    </w:p>
    <w:bookmarkEnd w:id="30"/>
    <w:bookmarkEnd w:id="31"/>
    <w:bookmarkEnd w:id="32"/>
    <w:bookmarkEnd w:id="33"/>
    <w:bookmarkEnd w:id="34"/>
    <w:p w14:paraId="1844D768">
      <w:pPr>
        <w:spacing w:line="360" w:lineRule="auto"/>
        <w:ind w:firstLine="636" w:firstLineChars="30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施工临时水域或场地：</w:t>
      </w:r>
      <w:r>
        <w:rPr>
          <w:rFonts w:hint="eastAsia" w:asciiTheme="minorEastAsia" w:hAnsiTheme="minorEastAsia" w:eastAsiaTheme="minorEastAsia" w:cstheme="minorEastAsia"/>
          <w:color w:val="auto"/>
          <w:sz w:val="21"/>
          <w:szCs w:val="21"/>
          <w:highlight w:val="none"/>
          <w:u w:val="single"/>
        </w:rPr>
        <w:t>提供的用地范围和时限在签署协议书时商定</w:t>
      </w:r>
      <w:r>
        <w:rPr>
          <w:rFonts w:hint="eastAsia" w:asciiTheme="minorEastAsia" w:hAnsiTheme="minorEastAsia" w:eastAsiaTheme="minorEastAsia" w:cstheme="minorEastAsia"/>
          <w:color w:val="auto"/>
          <w:sz w:val="21"/>
          <w:szCs w:val="21"/>
          <w:highlight w:val="none"/>
        </w:rPr>
        <w:t xml:space="preserve">。             </w:t>
      </w:r>
    </w:p>
    <w:p w14:paraId="0BD92E78">
      <w:pPr>
        <w:spacing w:line="360" w:lineRule="auto"/>
        <w:ind w:firstLine="636"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2.2.3采购人应在计划开工日期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rPr>
        <w:t>天前，开通进出施工现场的交通通道，提供水、电、通讯的接点及施工船舶临时停泊水域并保证施工期间的畅通和完好。</w:t>
      </w:r>
    </w:p>
    <w:p w14:paraId="2CF2F2D6">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水、电、通讯的接点及施工船舶临时停泊水域：</w:t>
      </w:r>
      <w:r>
        <w:rPr>
          <w:rFonts w:hint="eastAsia" w:asciiTheme="minorEastAsia" w:hAnsiTheme="minorEastAsia" w:eastAsiaTheme="minorEastAsia" w:cstheme="minorEastAsia"/>
          <w:color w:val="auto"/>
          <w:sz w:val="21"/>
          <w:szCs w:val="21"/>
          <w:highlight w:val="none"/>
          <w:u w:val="single"/>
        </w:rPr>
        <w:t>按采购人提供</w:t>
      </w:r>
      <w:r>
        <w:rPr>
          <w:rFonts w:hint="eastAsia" w:asciiTheme="minorEastAsia" w:hAnsiTheme="minorEastAsia" w:eastAsiaTheme="minorEastAsia" w:cstheme="minorEastAsia"/>
          <w:color w:val="auto"/>
          <w:sz w:val="21"/>
          <w:szCs w:val="21"/>
          <w:highlight w:val="none"/>
        </w:rPr>
        <w:t>。</w:t>
      </w:r>
    </w:p>
    <w:p w14:paraId="22101E99">
      <w:pPr>
        <w:pStyle w:val="4"/>
        <w:numPr>
          <w:ilvl w:val="2"/>
          <w:numId w:val="0"/>
        </w:numPr>
        <w:tabs>
          <w:tab w:val="left" w:pos="720"/>
        </w:tabs>
        <w:spacing w:before="0" w:after="0" w:line="360" w:lineRule="auto"/>
        <w:ind w:left="583" w:leftChars="228" w:hanging="100" w:hangingChars="48"/>
        <w:rPr>
          <w:rFonts w:hint="eastAsia" w:asciiTheme="minorEastAsia" w:hAnsiTheme="minorEastAsia" w:eastAsiaTheme="minorEastAsia" w:cstheme="minorEastAsia"/>
          <w:color w:val="auto"/>
          <w:sz w:val="21"/>
          <w:szCs w:val="21"/>
          <w:highlight w:val="none"/>
        </w:rPr>
      </w:pPr>
      <w:bookmarkStart w:id="35" w:name="_Toc222798323"/>
      <w:bookmarkStart w:id="36" w:name="_Toc223227711"/>
      <w:r>
        <w:rPr>
          <w:rFonts w:hint="eastAsia" w:asciiTheme="minorEastAsia" w:hAnsiTheme="minorEastAsia" w:eastAsiaTheme="minorEastAsia" w:cstheme="minorEastAsia"/>
          <w:color w:val="auto"/>
          <w:sz w:val="21"/>
          <w:szCs w:val="21"/>
          <w:highlight w:val="none"/>
        </w:rPr>
        <w:t>2.3协助供应商办理证件和批件</w:t>
      </w:r>
      <w:bookmarkEnd w:id="35"/>
      <w:bookmarkEnd w:id="36"/>
    </w:p>
    <w:p w14:paraId="51E2E4DC">
      <w:pPr>
        <w:spacing w:line="360" w:lineRule="auto"/>
        <w:ind w:firstLine="636"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2.3.1协调处理施工场地周围地下管线和邻近建筑物、构筑物的保护工作。</w:t>
      </w:r>
    </w:p>
    <w:p w14:paraId="6684C4CC">
      <w:pPr>
        <w:spacing w:line="360" w:lineRule="auto"/>
        <w:ind w:firstLine="636"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2.3.2协助解决对供应商施工有干扰的外部条件。</w:t>
      </w:r>
    </w:p>
    <w:p w14:paraId="5867308E">
      <w:pPr>
        <w:pStyle w:val="3"/>
        <w:spacing w:before="0" w:after="0"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bookmarkStart w:id="37" w:name="_Toc222798325"/>
      <w:bookmarkStart w:id="38" w:name="_Toc223227716"/>
      <w:r>
        <w:rPr>
          <w:rFonts w:hint="eastAsia" w:asciiTheme="minorEastAsia" w:hAnsiTheme="minorEastAsia" w:eastAsiaTheme="minorEastAsia" w:cstheme="minorEastAsia"/>
          <w:b/>
          <w:bCs/>
          <w:color w:val="auto"/>
          <w:kern w:val="2"/>
          <w:sz w:val="21"/>
          <w:szCs w:val="21"/>
          <w:highlight w:val="none"/>
          <w:lang w:val="en-US" w:eastAsia="zh-CN" w:bidi="ar-SA"/>
        </w:rPr>
        <w:t>3.供应商</w:t>
      </w:r>
      <w:bookmarkEnd w:id="37"/>
      <w:bookmarkEnd w:id="38"/>
      <w:r>
        <w:rPr>
          <w:rFonts w:hint="eastAsia" w:asciiTheme="minorEastAsia" w:hAnsiTheme="minorEastAsia" w:eastAsiaTheme="minorEastAsia" w:cstheme="minorEastAsia"/>
          <w:b/>
          <w:bCs/>
          <w:color w:val="auto"/>
          <w:kern w:val="2"/>
          <w:sz w:val="21"/>
          <w:szCs w:val="21"/>
          <w:highlight w:val="none"/>
          <w:lang w:val="en-US" w:eastAsia="zh-CN" w:bidi="ar-SA"/>
        </w:rPr>
        <w:t>的工作</w:t>
      </w:r>
    </w:p>
    <w:p w14:paraId="2E4AAFC0">
      <w:pPr>
        <w:pStyle w:val="4"/>
        <w:numPr>
          <w:ilvl w:val="2"/>
          <w:numId w:val="0"/>
        </w:numPr>
        <w:tabs>
          <w:tab w:val="left" w:pos="720"/>
        </w:tabs>
        <w:spacing w:before="0" w:after="0" w:line="360" w:lineRule="auto"/>
        <w:ind w:firstLine="414" w:firstLineChars="196"/>
        <w:rPr>
          <w:rFonts w:hint="eastAsia" w:asciiTheme="minorEastAsia" w:hAnsiTheme="minorEastAsia" w:eastAsiaTheme="minorEastAsia" w:cstheme="minorEastAsia"/>
          <w:color w:val="auto"/>
          <w:sz w:val="21"/>
          <w:szCs w:val="21"/>
          <w:highlight w:val="none"/>
        </w:rPr>
      </w:pPr>
      <w:bookmarkStart w:id="39" w:name="_Toc223227717"/>
      <w:r>
        <w:rPr>
          <w:rFonts w:hint="eastAsia" w:asciiTheme="minorEastAsia" w:hAnsiTheme="minorEastAsia" w:eastAsiaTheme="minorEastAsia" w:cstheme="minorEastAsia"/>
          <w:color w:val="auto"/>
          <w:sz w:val="21"/>
          <w:szCs w:val="21"/>
          <w:highlight w:val="none"/>
        </w:rPr>
        <w:t>3.1供应商的一般义务</w:t>
      </w:r>
      <w:bookmarkEnd w:id="39"/>
    </w:p>
    <w:p w14:paraId="74D57D99">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保证工程施工和人员的安全</w:t>
      </w:r>
    </w:p>
    <w:p w14:paraId="56DD3462">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1供应商应按国家和有关部门的规定，对施工现场人员和施工船舶、机械、设备的防台风、防突风、防风暴潮、防汛、防雷击等进行安全管理，对施工现场加强治安防范和消防安全防护措施，并承担由于措施不力造成的事故责任和由此发生的费用。</w:t>
      </w:r>
    </w:p>
    <w:p w14:paraId="01868E9C">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2供应商在高压线、水上、水下及地下管线、易燃、易爆地段或其他有害环境下施工时，施工前应提出安全保护措施，经采购人审查同意后实施。采购人的同意不能免除供应商应承担的责任。防护措施费用由供应商承担。</w:t>
      </w:r>
    </w:p>
    <w:p w14:paraId="3C2F6FDE">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.3施工现场发生安全事故时，供应商应立即采取有效措施，并将事故情况按规定上报有关部门并报告采购人。</w:t>
      </w:r>
    </w:p>
    <w:p w14:paraId="29504E34">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其他义务</w:t>
      </w:r>
    </w:p>
    <w:p w14:paraId="3009111D">
      <w:pPr>
        <w:tabs>
          <w:tab w:val="left" w:pos="7230"/>
        </w:tabs>
        <w:spacing w:line="360" w:lineRule="auto"/>
        <w:ind w:firstLine="424" w:firstLineChars="200"/>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 供应商应在开工</w:t>
      </w:r>
      <w:r>
        <w:rPr>
          <w:rFonts w:hint="eastAsia" w:asciiTheme="minorEastAsia" w:hAnsiTheme="minorEastAsia" w:eastAsiaTheme="minorEastAsia" w:cstheme="minorEastAsia"/>
          <w:color w:val="auto"/>
          <w:sz w:val="21"/>
          <w:szCs w:val="21"/>
          <w:highlight w:val="none"/>
          <w:u w:val="single"/>
        </w:rPr>
        <w:t xml:space="preserve"> 3 </w:t>
      </w:r>
      <w:r>
        <w:rPr>
          <w:rFonts w:hint="eastAsia" w:asciiTheme="minorEastAsia" w:hAnsiTheme="minorEastAsia" w:eastAsiaTheme="minorEastAsia" w:cstheme="minorEastAsia"/>
          <w:color w:val="auto"/>
          <w:sz w:val="21"/>
          <w:szCs w:val="21"/>
          <w:highlight w:val="none"/>
        </w:rPr>
        <w:t>天前进驻施工场地，同步提交《开工前进场设备清单》，明确计划进驻的施工船舶、机械、设备的具体名称及数量，并按合同约定将开工所需设备全数进场到位。</w:t>
      </w:r>
    </w:p>
    <w:p w14:paraId="0F3261DA">
      <w:pPr>
        <w:spacing w:line="360" w:lineRule="auto"/>
        <w:ind w:firstLine="424" w:firstLineChars="200"/>
        <w:outlineLvl w:val="0"/>
        <w:rPr>
          <w:rFonts w:hint="eastAsia" w:asciiTheme="minorEastAsia" w:hAnsiTheme="minorEastAsia" w:eastAsiaTheme="minorEastAsia" w:cstheme="minorEastAsia"/>
          <w:color w:val="auto"/>
          <w:sz w:val="21"/>
          <w:szCs w:val="21"/>
          <w:highlight w:val="none"/>
        </w:rPr>
      </w:pPr>
      <w:bookmarkStart w:id="40" w:name="_Toc222814415"/>
      <w:bookmarkStart w:id="41" w:name="_Toc316739199"/>
      <w:bookmarkStart w:id="42" w:name="_Toc223227718"/>
      <w:bookmarkStart w:id="43" w:name="_Toc222798326"/>
      <w:bookmarkStart w:id="44" w:name="_Toc324173584"/>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.2</w:t>
      </w:r>
      <w:bookmarkEnd w:id="40"/>
      <w:bookmarkEnd w:id="41"/>
      <w:bookmarkEnd w:id="42"/>
      <w:bookmarkEnd w:id="43"/>
      <w:bookmarkEnd w:id="44"/>
      <w:r>
        <w:rPr>
          <w:rFonts w:hint="eastAsia" w:asciiTheme="minorEastAsia" w:hAnsiTheme="minorEastAsia" w:eastAsiaTheme="minorEastAsia" w:cstheme="minorEastAsia"/>
          <w:color w:val="auto"/>
          <w:sz w:val="21"/>
          <w:szCs w:val="21"/>
          <w:highlight w:val="none"/>
        </w:rPr>
        <w:t>供应商负责施工现场的布置和临时设施的施工。</w:t>
      </w:r>
    </w:p>
    <w:p w14:paraId="69B405AE">
      <w:pPr>
        <w:spacing w:line="360" w:lineRule="auto"/>
        <w:ind w:firstLine="424" w:firstLineChars="200"/>
        <w:outlineLvl w:val="0"/>
        <w:rPr>
          <w:rFonts w:hint="eastAsia" w:asciiTheme="minorEastAsia" w:hAnsiTheme="minorEastAsia" w:eastAsiaTheme="minorEastAsia" w:cstheme="minorEastAsia"/>
          <w:color w:val="auto"/>
          <w:sz w:val="21"/>
          <w:szCs w:val="21"/>
          <w:highlight w:val="none"/>
        </w:rPr>
      </w:pPr>
      <w:bookmarkStart w:id="45" w:name="_Toc223227719"/>
      <w:bookmarkStart w:id="46" w:name="_Toc222814416"/>
      <w:bookmarkStart w:id="47" w:name="_Toc222798327"/>
      <w:bookmarkStart w:id="48" w:name="_Toc316739200"/>
      <w:bookmarkStart w:id="49" w:name="_Toc324173585"/>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.3供应商应妥善处理好与工程其他供应商的配合关系。发生交叉施工时，供应商和工程其他供应商应相互配合，友好协作，并服从采购人的统一协调。</w:t>
      </w:r>
      <w:bookmarkEnd w:id="45"/>
      <w:bookmarkEnd w:id="46"/>
      <w:bookmarkEnd w:id="47"/>
      <w:bookmarkEnd w:id="48"/>
      <w:bookmarkEnd w:id="49"/>
    </w:p>
    <w:p w14:paraId="4FB50CAF">
      <w:pPr>
        <w:spacing w:line="360" w:lineRule="auto"/>
        <w:ind w:firstLine="424" w:firstLineChars="200"/>
        <w:outlineLvl w:val="0"/>
        <w:rPr>
          <w:rFonts w:hint="eastAsia" w:asciiTheme="minorEastAsia" w:hAnsiTheme="minorEastAsia" w:eastAsiaTheme="minorEastAsia" w:cstheme="minorEastAsia"/>
          <w:color w:val="auto"/>
          <w:sz w:val="21"/>
          <w:szCs w:val="21"/>
          <w:highlight w:val="none"/>
        </w:rPr>
      </w:pPr>
      <w:bookmarkStart w:id="50" w:name="_Toc222814417"/>
      <w:bookmarkStart w:id="51" w:name="_Toc223227720"/>
      <w:bookmarkStart w:id="52" w:name="_Toc222798328"/>
      <w:bookmarkStart w:id="53" w:name="_Toc324173586"/>
      <w:bookmarkStart w:id="54" w:name="_Toc316739201"/>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.4供应商应根据工程施工情况及监理人的指令，及时向采购人提交开工报告、测量报告、试验检验报告、隐蔽工程验收通知、工程质量自检报告、竣工验收申请报告及工程事故报告等。</w:t>
      </w:r>
      <w:bookmarkEnd w:id="50"/>
      <w:bookmarkEnd w:id="51"/>
      <w:bookmarkEnd w:id="52"/>
      <w:bookmarkEnd w:id="53"/>
      <w:bookmarkEnd w:id="54"/>
    </w:p>
    <w:p w14:paraId="6A79AB64">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.5供应商应支付为获得施工许可证有关证件所需的费用；供应商应负责办理航行通告、抛泥区许可证等施工所需的各种手续；办理应由供应商办理的施工所需各种证件、批件和其他审枇手续。</w:t>
      </w:r>
    </w:p>
    <w:p w14:paraId="3715392A">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.6供应商应充分考虑到施工现场所有的设备、临时建筑等防火安全，配备足够的防火设备。</w:t>
      </w:r>
    </w:p>
    <w:p w14:paraId="5908FEA8">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.7　供应商应在施工过程中对工程建筑物进行监测，并承担相应费用。</w:t>
      </w:r>
    </w:p>
    <w:p w14:paraId="198F317B">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.8　临时设施场地由供应商提出书面申请报</w:t>
      </w:r>
      <w:r>
        <w:rPr>
          <w:rFonts w:hint="eastAsia" w:asciiTheme="minorEastAsia" w:hAnsi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审定后，方可使用。供应商不可多占用地，否则产生的责任由供应商负责。临时水电供应商自行解决。</w:t>
      </w:r>
    </w:p>
    <w:p w14:paraId="38D7AC17">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.9供应商在合同履行期间应为</w:t>
      </w:r>
      <w:r>
        <w:rPr>
          <w:rFonts w:hint="eastAsia" w:asciiTheme="minorEastAsia" w:hAnsi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巡视、管理工程现场无偿提供交通、住宿、办公等条件。</w:t>
      </w:r>
    </w:p>
    <w:p w14:paraId="2A71B07A">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.10工程竣工验收后</w:t>
      </w:r>
      <w:r>
        <w:rPr>
          <w:rFonts w:hint="eastAsia" w:asciiTheme="minorEastAsia" w:hAnsiTheme="minorEastAsia" w:eastAsiaTheme="minorEastAsia" w:cstheme="minorEastAsia"/>
          <w:color w:val="auto"/>
          <w:sz w:val="21"/>
          <w:szCs w:val="21"/>
          <w:highlight w:val="none"/>
          <w:u w:val="single"/>
        </w:rPr>
        <w:t>14</w:t>
      </w:r>
      <w:r>
        <w:rPr>
          <w:rFonts w:hint="eastAsia" w:asciiTheme="minorEastAsia" w:hAnsiTheme="minorEastAsia" w:eastAsiaTheme="minorEastAsia" w:cstheme="minorEastAsia"/>
          <w:color w:val="auto"/>
          <w:sz w:val="21"/>
          <w:szCs w:val="21"/>
          <w:highlight w:val="none"/>
        </w:rPr>
        <w:t>天内，除</w:t>
      </w:r>
      <w:r>
        <w:rPr>
          <w:rFonts w:hint="eastAsia" w:asciiTheme="minorEastAsia" w:hAnsi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另有要求外，供应商必须无条件拆除一切临时设施、平整场地、清除杂物、垃圾等，并撤离施工现场。否则，每延期1天，供应商将支付20元/m</w:t>
      </w:r>
      <w:r>
        <w:rPr>
          <w:rFonts w:hint="eastAsia" w:asciiTheme="minorEastAsia" w:hAnsiTheme="minorEastAsia" w:eastAsiaTheme="minorEastAsia" w:cstheme="minorEastAsia"/>
          <w:color w:val="auto"/>
          <w:sz w:val="21"/>
          <w:szCs w:val="21"/>
          <w:highlight w:val="none"/>
          <w:vertAlign w:val="superscript"/>
        </w:rPr>
        <w:t>2</w:t>
      </w:r>
      <w:r>
        <w:rPr>
          <w:rFonts w:hint="eastAsia" w:asciiTheme="minorEastAsia" w:hAnsiTheme="minorEastAsia" w:eastAsiaTheme="minorEastAsia" w:cstheme="minorEastAsia"/>
          <w:color w:val="auto"/>
          <w:sz w:val="21"/>
          <w:szCs w:val="21"/>
          <w:highlight w:val="none"/>
        </w:rPr>
        <w:t>的费用给</w:t>
      </w:r>
      <w:r>
        <w:rPr>
          <w:rFonts w:hint="eastAsia" w:asciiTheme="minorEastAsia" w:hAnsi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，且</w:t>
      </w:r>
      <w:r>
        <w:rPr>
          <w:rFonts w:hint="eastAsia" w:asciiTheme="minorEastAsia" w:hAnsi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有权委托第三方进行上述清理工作。发生的费用由</w:t>
      </w:r>
      <w:r>
        <w:rPr>
          <w:rFonts w:hint="eastAsia" w:asciiTheme="minorEastAsia" w:hAnsi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在付给供应商的工程款中扣除。</w:t>
      </w:r>
    </w:p>
    <w:p w14:paraId="7C34D462">
      <w:pPr>
        <w:pStyle w:val="3"/>
        <w:spacing w:before="0" w:after="0"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bookmarkStart w:id="55" w:name="_Toc223227730"/>
      <w:r>
        <w:rPr>
          <w:rFonts w:hint="eastAsia" w:asciiTheme="minorEastAsia" w:hAnsiTheme="minorEastAsia" w:eastAsiaTheme="minorEastAsia" w:cstheme="minorEastAsia"/>
          <w:b/>
          <w:bCs/>
          <w:color w:val="auto"/>
          <w:kern w:val="2"/>
          <w:sz w:val="21"/>
          <w:szCs w:val="21"/>
          <w:highlight w:val="none"/>
          <w:lang w:val="en-US" w:eastAsia="zh-CN" w:bidi="ar-SA"/>
        </w:rPr>
        <w:t>4.测量放线</w:t>
      </w:r>
      <w:bookmarkEnd w:id="55"/>
    </w:p>
    <w:p w14:paraId="046FCEA4">
      <w:pPr>
        <w:pStyle w:val="4"/>
        <w:numPr>
          <w:ilvl w:val="2"/>
          <w:numId w:val="0"/>
        </w:numPr>
        <w:tabs>
          <w:tab w:val="left" w:pos="720"/>
        </w:tabs>
        <w:spacing w:before="0" w:after="0" w:line="360" w:lineRule="auto"/>
        <w:ind w:firstLine="424" w:firstLineChars="200"/>
        <w:rPr>
          <w:rFonts w:hint="eastAsia" w:asciiTheme="minorEastAsia" w:hAnsiTheme="minorEastAsia" w:eastAsiaTheme="minorEastAsia" w:cstheme="minorEastAsia"/>
          <w:color w:val="auto"/>
          <w:sz w:val="21"/>
          <w:szCs w:val="21"/>
          <w:highlight w:val="none"/>
        </w:rPr>
      </w:pPr>
      <w:bookmarkStart w:id="56" w:name="_Toc223227731"/>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.1施工控制网</w:t>
      </w:r>
      <w:bookmarkEnd w:id="56"/>
    </w:p>
    <w:p w14:paraId="6A89D8AD">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.1.1采购人应在计划开工日期</w:t>
      </w:r>
      <w:r>
        <w:rPr>
          <w:rFonts w:hint="eastAsia" w:asciiTheme="minorEastAsia" w:hAnsiTheme="minorEastAsia" w:eastAsiaTheme="minorEastAsia" w:cstheme="minorEastAsia"/>
          <w:color w:val="auto"/>
          <w:sz w:val="21"/>
          <w:szCs w:val="21"/>
          <w:highlight w:val="none"/>
          <w:u w:val="single"/>
          <w:lang w:val="en-US" w:eastAsia="zh-CN"/>
        </w:rPr>
        <w:t xml:space="preserve"> 7</w:t>
      </w:r>
      <w:r>
        <w:rPr>
          <w:rFonts w:hint="eastAsia" w:asciiTheme="minorEastAsia" w:hAnsiTheme="minorEastAsia" w:eastAsiaTheme="minorEastAsia" w:cstheme="minorEastAsia"/>
          <w:color w:val="auto"/>
          <w:sz w:val="21"/>
          <w:szCs w:val="21"/>
          <w:highlight w:val="none"/>
        </w:rPr>
        <w:t>天前，向供应商提供符合国家有关规定的测量基准点、基准线和水准点。</w:t>
      </w:r>
    </w:p>
    <w:p w14:paraId="67E7D3D9">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.1.1供应商应在计划开工日期</w:t>
      </w:r>
      <w:r>
        <w:rPr>
          <w:rFonts w:hint="eastAsia" w:asciiTheme="minorEastAsia" w:hAnsiTheme="minorEastAsia" w:eastAsiaTheme="minorEastAsia" w:cstheme="minorEastAsia"/>
          <w:color w:val="auto"/>
          <w:sz w:val="21"/>
          <w:szCs w:val="21"/>
          <w:highlight w:val="none"/>
          <w:u w:val="single"/>
          <w:lang w:val="en-US" w:eastAsia="zh-CN"/>
        </w:rPr>
        <w:t xml:space="preserve"> 3</w:t>
      </w:r>
      <w:r>
        <w:rPr>
          <w:rFonts w:hint="eastAsia" w:asciiTheme="minorEastAsia" w:hAnsiTheme="minorEastAsia" w:eastAsiaTheme="minorEastAsia" w:cstheme="minorEastAsia"/>
          <w:color w:val="auto"/>
          <w:sz w:val="21"/>
          <w:szCs w:val="21"/>
          <w:highlight w:val="none"/>
        </w:rPr>
        <w:t>天前，将施工控制网资料报送采购人。</w:t>
      </w:r>
    </w:p>
    <w:p w14:paraId="16EEA5FF">
      <w:pPr>
        <w:pStyle w:val="3"/>
        <w:spacing w:before="0" w:after="0"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bookmarkStart w:id="57" w:name="_Toc223227732"/>
      <w:r>
        <w:rPr>
          <w:rFonts w:hint="eastAsia" w:asciiTheme="minorEastAsia" w:hAnsiTheme="minorEastAsia" w:eastAsiaTheme="minorEastAsia" w:cstheme="minorEastAsia"/>
          <w:b/>
          <w:bCs/>
          <w:color w:val="auto"/>
          <w:kern w:val="2"/>
          <w:sz w:val="21"/>
          <w:szCs w:val="21"/>
          <w:highlight w:val="none"/>
          <w:lang w:val="en-US" w:eastAsia="zh-CN" w:bidi="ar-SA"/>
        </w:rPr>
        <w:t>5.施工安全、治安保卫和环境保护</w:t>
      </w:r>
      <w:bookmarkEnd w:id="57"/>
    </w:p>
    <w:p w14:paraId="2C0309A4">
      <w:pPr>
        <w:pStyle w:val="4"/>
        <w:numPr>
          <w:ilvl w:val="2"/>
          <w:numId w:val="0"/>
        </w:numPr>
        <w:tabs>
          <w:tab w:val="left" w:pos="720"/>
        </w:tabs>
        <w:spacing w:before="0" w:after="0" w:line="360" w:lineRule="auto"/>
        <w:ind w:firstLine="424" w:firstLineChars="200"/>
        <w:rPr>
          <w:rFonts w:hint="eastAsia" w:asciiTheme="minorEastAsia" w:hAnsiTheme="minorEastAsia" w:eastAsiaTheme="minorEastAsia" w:cstheme="minorEastAsia"/>
          <w:b/>
          <w:bCs/>
          <w:color w:val="auto"/>
          <w:kern w:val="2"/>
          <w:sz w:val="21"/>
          <w:szCs w:val="21"/>
          <w:highlight w:val="none"/>
          <w:lang w:val="en-US" w:eastAsia="zh-CN" w:bidi="ar-SA"/>
        </w:rPr>
      </w:pPr>
      <w:bookmarkStart w:id="58" w:name="_Toc223227733"/>
      <w:r>
        <w:rPr>
          <w:rFonts w:hint="eastAsia" w:asciiTheme="minorEastAsia" w:hAnsiTheme="minorEastAsia" w:eastAsiaTheme="minorEastAsia" w:cstheme="minorEastAsia"/>
          <w:b/>
          <w:bCs/>
          <w:color w:val="auto"/>
          <w:kern w:val="2"/>
          <w:sz w:val="21"/>
          <w:szCs w:val="21"/>
          <w:highlight w:val="none"/>
          <w:lang w:val="en-US" w:eastAsia="zh-CN" w:bidi="ar-SA"/>
        </w:rPr>
        <w:t>5.1供应商的施工安全责任</w:t>
      </w:r>
      <w:bookmarkEnd w:id="58"/>
    </w:p>
    <w:p w14:paraId="1D409407">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.1.1供应商应对施工船舶、机械、设备、仪器等进行定期检查，消除隐患，并取得有关部门的检查许可证明。</w:t>
      </w:r>
    </w:p>
    <w:p w14:paraId="0F87A1B4">
      <w:pPr>
        <w:spacing w:line="360" w:lineRule="auto"/>
        <w:ind w:firstLine="424" w:firstLineChars="200"/>
        <w:rPr>
          <w:rFonts w:hint="eastAsia" w:asciiTheme="minorEastAsia" w:hAnsiTheme="minorEastAsia" w:eastAsiaTheme="minorEastAsia" w:cstheme="minorEastAsia"/>
          <w:color w:val="auto"/>
          <w:sz w:val="21"/>
          <w:szCs w:val="21"/>
          <w:highlight w:val="none"/>
        </w:rPr>
      </w:pPr>
      <w:bookmarkStart w:id="59" w:name="_Toc261441905"/>
      <w:bookmarkStart w:id="60" w:name="_Toc261859342"/>
      <w:bookmarkStart w:id="61" w:name="_Toc304715741"/>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.1.2　供应商应按有关要求，设置施工水域的警示标志和施工船舶夜间警示标志。</w:t>
      </w:r>
    </w:p>
    <w:p w14:paraId="718A41E7">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.1.3　供应商应对施工现场的供电、消防、基坑开挖、水下作业、爆破、不良工程地质以及施工通航等制定专项的措施及应急预案，并报采购人审查同意。采购人的认可不能免除供应商所应承担的责任。</w:t>
      </w:r>
    </w:p>
    <w:p w14:paraId="0831571E">
      <w:pPr>
        <w:pStyle w:val="3"/>
        <w:spacing w:before="0" w:after="0"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6.环境保护</w:t>
      </w:r>
      <w:bookmarkEnd w:id="59"/>
      <w:bookmarkEnd w:id="60"/>
      <w:bookmarkEnd w:id="61"/>
    </w:p>
    <w:p w14:paraId="307D0A70">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.1供应商应严格执行国家有关水域环境生态保护的规定，合理选择施工船机和施工工艺，采取有效措施，减少施工对周边水域的影响。</w:t>
      </w:r>
    </w:p>
    <w:p w14:paraId="7BF1BCA8">
      <w:pPr>
        <w:pStyle w:val="3"/>
        <w:spacing w:before="0" w:after="0"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bookmarkStart w:id="62" w:name="_Toc223227735"/>
      <w:r>
        <w:rPr>
          <w:rFonts w:hint="eastAsia" w:asciiTheme="minorEastAsia" w:hAnsiTheme="minorEastAsia" w:eastAsiaTheme="minorEastAsia" w:cstheme="minorEastAsia"/>
          <w:b/>
          <w:bCs/>
          <w:color w:val="auto"/>
          <w:kern w:val="2"/>
          <w:sz w:val="21"/>
          <w:szCs w:val="21"/>
          <w:highlight w:val="none"/>
          <w:lang w:val="en-US" w:eastAsia="zh-CN" w:bidi="ar-SA"/>
        </w:rPr>
        <w:t>7.进度计划</w:t>
      </w:r>
      <w:bookmarkEnd w:id="62"/>
    </w:p>
    <w:p w14:paraId="6726885A">
      <w:pPr>
        <w:pStyle w:val="3"/>
        <w:spacing w:before="0" w:after="0" w:line="360" w:lineRule="auto"/>
        <w:ind w:firstLine="424" w:firstLineChars="200"/>
        <w:rPr>
          <w:rFonts w:hint="eastAsia" w:asciiTheme="minorEastAsia" w:hAnsiTheme="minorEastAsia" w:eastAsiaTheme="minorEastAsia" w:cstheme="minorEastAsia"/>
          <w:b/>
          <w:bCs/>
          <w:color w:val="auto"/>
          <w:kern w:val="2"/>
          <w:sz w:val="21"/>
          <w:szCs w:val="21"/>
          <w:highlight w:val="none"/>
          <w:lang w:val="en-US" w:eastAsia="zh-CN" w:bidi="ar-SA"/>
        </w:rPr>
      </w:pPr>
      <w:bookmarkStart w:id="63" w:name="_Toc223227736"/>
      <w:r>
        <w:rPr>
          <w:rFonts w:hint="eastAsia" w:asciiTheme="minorEastAsia" w:hAnsiTheme="minorEastAsia" w:eastAsiaTheme="minorEastAsia" w:cstheme="minorEastAsia"/>
          <w:b/>
          <w:bCs/>
          <w:color w:val="auto"/>
          <w:kern w:val="2"/>
          <w:sz w:val="21"/>
          <w:szCs w:val="21"/>
          <w:highlight w:val="none"/>
          <w:lang w:val="en-US" w:eastAsia="zh-CN" w:bidi="ar-SA"/>
        </w:rPr>
        <w:t>7.1合同进度计划</w:t>
      </w:r>
      <w:bookmarkEnd w:id="63"/>
    </w:p>
    <w:p w14:paraId="0BC4EAD5">
      <w:pPr>
        <w:spacing w:line="360" w:lineRule="auto"/>
        <w:ind w:firstLine="848" w:firstLineChars="4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.1.1供应商应在计划开工日期</w:t>
      </w:r>
      <w:r>
        <w:rPr>
          <w:rFonts w:hint="eastAsia" w:asciiTheme="minorEastAsia" w:hAnsiTheme="minorEastAsia" w:eastAsiaTheme="minorEastAsia" w:cstheme="minorEastAsia"/>
          <w:color w:val="auto"/>
          <w:sz w:val="21"/>
          <w:szCs w:val="21"/>
          <w:highlight w:val="none"/>
          <w:u w:val="single"/>
          <w:lang w:val="en-US" w:eastAsia="zh-CN"/>
        </w:rPr>
        <w:t xml:space="preserve"> 3</w:t>
      </w:r>
      <w:r>
        <w:rPr>
          <w:rFonts w:hint="eastAsia" w:asciiTheme="minorEastAsia" w:hAnsiTheme="minorEastAsia" w:eastAsiaTheme="minorEastAsia" w:cstheme="minorEastAsia"/>
          <w:color w:val="auto"/>
          <w:sz w:val="21"/>
          <w:szCs w:val="21"/>
          <w:highlight w:val="none"/>
        </w:rPr>
        <w:t xml:space="preserve">天前，向采购人报送施工组织设计。                </w:t>
      </w:r>
    </w:p>
    <w:p w14:paraId="0DAEA3C5">
      <w:pPr>
        <w:spacing w:line="360" w:lineRule="auto"/>
        <w:ind w:firstLine="848" w:firstLineChars="4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.1.2供应商应在每周末</w:t>
      </w:r>
      <w:r>
        <w:rPr>
          <w:rFonts w:hint="eastAsia" w:asciiTheme="minorEastAsia" w:hAnsiTheme="minorEastAsia" w:eastAsiaTheme="minorEastAsia" w:cstheme="minorEastAsia"/>
          <w:color w:val="auto"/>
          <w:sz w:val="21"/>
          <w:szCs w:val="21"/>
          <w:highlight w:val="none"/>
          <w:u w:val="single"/>
        </w:rPr>
        <w:t xml:space="preserve"> 星期五 </w:t>
      </w:r>
      <w:r>
        <w:rPr>
          <w:rFonts w:hint="eastAsia" w:asciiTheme="minorEastAsia" w:hAnsiTheme="minorEastAsia" w:eastAsiaTheme="minorEastAsia" w:cstheme="minorEastAsia"/>
          <w:color w:val="auto"/>
          <w:sz w:val="21"/>
          <w:szCs w:val="21"/>
          <w:highlight w:val="none"/>
        </w:rPr>
        <w:t>前，向采购人报送下周计划一式</w:t>
      </w:r>
      <w:r>
        <w:rPr>
          <w:rFonts w:hint="eastAsia" w:asciiTheme="minorEastAsia" w:hAnsiTheme="minorEastAsia" w:eastAsiaTheme="minorEastAsia" w:cstheme="minorEastAsia"/>
          <w:color w:val="auto"/>
          <w:sz w:val="21"/>
          <w:szCs w:val="21"/>
          <w:highlight w:val="none"/>
          <w:u w:val="single"/>
          <w:lang w:val="en-US"/>
        </w:rPr>
        <w:t>贰</w:t>
      </w:r>
      <w:r>
        <w:rPr>
          <w:rFonts w:hint="eastAsia" w:asciiTheme="minorEastAsia" w:hAnsiTheme="minorEastAsia" w:eastAsiaTheme="minorEastAsia" w:cstheme="minorEastAsia"/>
          <w:color w:val="auto"/>
          <w:sz w:val="21"/>
          <w:szCs w:val="21"/>
          <w:highlight w:val="none"/>
        </w:rPr>
        <w:t xml:space="preserve">份。                 </w:t>
      </w:r>
    </w:p>
    <w:p w14:paraId="29213BE3">
      <w:pPr>
        <w:spacing w:line="360" w:lineRule="auto"/>
        <w:ind w:firstLine="424"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7</w:t>
      </w:r>
      <w:r>
        <w:rPr>
          <w:rFonts w:hint="eastAsia" w:asciiTheme="minorEastAsia" w:hAnsiTheme="minorEastAsia" w:eastAsiaTheme="minorEastAsia" w:cstheme="minorEastAsia"/>
          <w:b/>
          <w:color w:val="auto"/>
          <w:sz w:val="21"/>
          <w:szCs w:val="21"/>
          <w:highlight w:val="none"/>
        </w:rPr>
        <w:t xml:space="preserve">.2合同进度计划的修订                                              </w:t>
      </w:r>
    </w:p>
    <w:p w14:paraId="08D26AC5">
      <w:pPr>
        <w:spacing w:line="360" w:lineRule="auto"/>
        <w:ind w:left="424" w:leftChars="200"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.2.1供应商应在48小时前向采购人提交修订合同进度计划的申请报告；采购人应在48小时内对供应商提交的申请报告批复，否则视为已得到批准。</w:t>
      </w:r>
    </w:p>
    <w:p w14:paraId="6345BC96">
      <w:pPr>
        <w:spacing w:line="360" w:lineRule="auto"/>
        <w:ind w:left="424" w:leftChars="200"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.2.2对非供应商自身原因每月累计停水或停电不超过48小时的情况，施工组织设计中应有相应的保证措施。供应商不得因此顺延工期。</w:t>
      </w:r>
    </w:p>
    <w:p w14:paraId="074B195A">
      <w:pPr>
        <w:pStyle w:val="3"/>
        <w:spacing w:before="0" w:after="0"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8.开工和竣工   </w:t>
      </w:r>
    </w:p>
    <w:p w14:paraId="14ED59B0">
      <w:pPr>
        <w:spacing w:line="360" w:lineRule="auto"/>
        <w:ind w:firstLine="424"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8</w:t>
      </w:r>
      <w:r>
        <w:rPr>
          <w:rFonts w:hint="eastAsia" w:asciiTheme="minorEastAsia" w:hAnsiTheme="minorEastAsia" w:eastAsiaTheme="minorEastAsia" w:cstheme="minorEastAsia"/>
          <w:b/>
          <w:color w:val="auto"/>
          <w:sz w:val="21"/>
          <w:szCs w:val="21"/>
          <w:highlight w:val="none"/>
        </w:rPr>
        <w:t>.1开工</w:t>
      </w:r>
    </w:p>
    <w:p w14:paraId="451FA344">
      <w:pPr>
        <w:spacing w:line="360" w:lineRule="auto"/>
        <w:ind w:left="424" w:leftChars="200"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.1.1分项工程的开工应事先得到采购人的书面同意，供应商应提前48小时将申请开工的书面通知报送采购人，采购人应在收到通知48小时内予以书面答复，否则视为同意。</w:t>
      </w:r>
    </w:p>
    <w:p w14:paraId="5DF6A30D">
      <w:pPr>
        <w:spacing w:line="360" w:lineRule="auto"/>
        <w:ind w:left="424" w:leftChars="200"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1.2供应商不能按期开工时，应在接到开工令24小时内向采购人提出延迟开工申请报告，采购人应在接到报告24小时内作出答复。若采购人在24小时内同意或未予答复，工期相应顺延；若采购人不同意延期要求，则工期不予顺延。</w:t>
      </w:r>
    </w:p>
    <w:p w14:paraId="38C4D9D8">
      <w:pPr>
        <w:spacing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9</w:t>
      </w:r>
      <w:r>
        <w:rPr>
          <w:rFonts w:hint="eastAsia" w:asciiTheme="minorEastAsia" w:hAnsiTheme="minorEastAsia" w:cstheme="minorEastAsia"/>
          <w:b/>
          <w:bCs/>
          <w:color w:val="auto"/>
          <w:kern w:val="2"/>
          <w:sz w:val="21"/>
          <w:szCs w:val="21"/>
          <w:highlight w:val="none"/>
          <w:lang w:val="en-US" w:eastAsia="zh-CN" w:bidi="ar-SA"/>
        </w:rPr>
        <w:t>.</w:t>
      </w:r>
      <w:r>
        <w:rPr>
          <w:rFonts w:hint="eastAsia" w:asciiTheme="minorEastAsia" w:hAnsiTheme="minorEastAsia" w:eastAsiaTheme="minorEastAsia" w:cstheme="minorEastAsia"/>
          <w:b/>
          <w:bCs/>
          <w:color w:val="auto"/>
          <w:kern w:val="2"/>
          <w:sz w:val="21"/>
          <w:szCs w:val="21"/>
          <w:highlight w:val="none"/>
          <w:lang w:val="en-US" w:eastAsia="zh-CN" w:bidi="ar-SA"/>
        </w:rPr>
        <w:t>竣工</w:t>
      </w:r>
    </w:p>
    <w:p w14:paraId="513BEE79">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.1竣工验收前，供应商应组织对所完成的工程进行自检测量，对所测的资料逐项检查，发现质量不合格应及时进行补挖或补填。</w:t>
      </w:r>
    </w:p>
    <w:p w14:paraId="233A6413">
      <w:pPr>
        <w:spacing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10</w:t>
      </w:r>
      <w:r>
        <w:rPr>
          <w:rFonts w:hint="eastAsia" w:asciiTheme="minorEastAsia" w:hAnsiTheme="minorEastAsia" w:cstheme="minorEastAsia"/>
          <w:b/>
          <w:bCs/>
          <w:color w:val="auto"/>
          <w:kern w:val="2"/>
          <w:sz w:val="21"/>
          <w:szCs w:val="21"/>
          <w:highlight w:val="none"/>
          <w:lang w:val="en-US" w:eastAsia="zh-CN" w:bidi="ar-SA"/>
        </w:rPr>
        <w:t>.</w:t>
      </w:r>
      <w:r>
        <w:rPr>
          <w:rFonts w:hint="eastAsia" w:asciiTheme="minorEastAsia" w:hAnsiTheme="minorEastAsia" w:eastAsiaTheme="minorEastAsia" w:cstheme="minorEastAsia"/>
          <w:b/>
          <w:bCs/>
          <w:color w:val="auto"/>
          <w:kern w:val="2"/>
          <w:sz w:val="21"/>
          <w:szCs w:val="21"/>
          <w:highlight w:val="none"/>
          <w:lang w:val="en-US" w:eastAsia="zh-CN" w:bidi="ar-SA"/>
        </w:rPr>
        <w:t>异常恶劣的气候条件</w:t>
      </w:r>
    </w:p>
    <w:p w14:paraId="6EC6FE89">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 1异常恶劣的气候条件是指建筑施工作业难以正常进行或需采取其他补救措施才能进行的气候条件。一般是指：</w:t>
      </w:r>
    </w:p>
    <w:p w14:paraId="4CC83AF3">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10.1.1</w:t>
      </w:r>
      <w:r>
        <w:rPr>
          <w:rFonts w:hint="eastAsia" w:asciiTheme="minorEastAsia" w:hAnsiTheme="minorEastAsia" w:eastAsiaTheme="minorEastAsia" w:cstheme="minorEastAsia"/>
          <w:color w:val="auto"/>
          <w:sz w:val="21"/>
          <w:szCs w:val="21"/>
          <w:highlight w:val="none"/>
        </w:rPr>
        <w:t>持续高温:连续三日日最高气温38</w:t>
      </w:r>
      <w:r>
        <w:rPr>
          <w:rFonts w:hint="eastAsia" w:asciiTheme="minorEastAsia" w:hAnsiTheme="minorEastAsia" w:eastAsiaTheme="minorEastAsia" w:cstheme="minorEastAsia"/>
          <w:color w:val="auto"/>
          <w:sz w:val="21"/>
          <w:szCs w:val="21"/>
          <w:highlight w:val="none"/>
          <w:vertAlign w:val="superscript"/>
        </w:rPr>
        <w:t>。</w:t>
      </w:r>
      <w:r>
        <w:rPr>
          <w:rFonts w:hint="eastAsia" w:asciiTheme="minorEastAsia" w:hAnsiTheme="minorEastAsia" w:eastAsiaTheme="minorEastAsia" w:cstheme="minorEastAsia"/>
          <w:color w:val="auto"/>
          <w:sz w:val="21"/>
          <w:szCs w:val="21"/>
          <w:highlight w:val="none"/>
        </w:rPr>
        <w:t>C以上；</w:t>
      </w:r>
    </w:p>
    <w:p w14:paraId="20388073">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10.1.2</w:t>
      </w:r>
      <w:r>
        <w:rPr>
          <w:rFonts w:hint="eastAsia" w:asciiTheme="minorEastAsia" w:hAnsiTheme="minorEastAsia" w:eastAsiaTheme="minorEastAsia" w:cstheme="minorEastAsia"/>
          <w:color w:val="auto"/>
          <w:sz w:val="21"/>
          <w:szCs w:val="21"/>
          <w:highlight w:val="none"/>
        </w:rPr>
        <w:t>持续低温:连续三日日最低气温-20</w:t>
      </w:r>
      <w:r>
        <w:rPr>
          <w:rFonts w:hint="eastAsia" w:asciiTheme="minorEastAsia" w:hAnsiTheme="minorEastAsia" w:eastAsiaTheme="minorEastAsia" w:cstheme="minorEastAsia"/>
          <w:color w:val="auto"/>
          <w:sz w:val="21"/>
          <w:szCs w:val="21"/>
          <w:highlight w:val="none"/>
          <w:vertAlign w:val="superscript"/>
        </w:rPr>
        <w:t>。</w:t>
      </w:r>
      <w:r>
        <w:rPr>
          <w:rFonts w:hint="eastAsia" w:asciiTheme="minorEastAsia" w:hAnsiTheme="minorEastAsia" w:eastAsiaTheme="minorEastAsia" w:cstheme="minorEastAsia"/>
          <w:color w:val="auto"/>
          <w:sz w:val="21"/>
          <w:szCs w:val="21"/>
          <w:highlight w:val="none"/>
        </w:rPr>
        <w:t xml:space="preserve">C以下;                                  </w:t>
      </w:r>
    </w:p>
    <w:p w14:paraId="4F40C945">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10.1.3</w:t>
      </w:r>
      <w:r>
        <w:rPr>
          <w:rFonts w:hint="eastAsia" w:asciiTheme="minorEastAsia" w:hAnsiTheme="minorEastAsia" w:eastAsiaTheme="minorEastAsia" w:cstheme="minorEastAsia"/>
          <w:color w:val="auto"/>
          <w:sz w:val="21"/>
          <w:szCs w:val="21"/>
          <w:highlight w:val="none"/>
        </w:rPr>
        <w:t>大风天气：施工水域日风力在6级以上且持续时间不少于4小时，或阵风大于8级；</w:t>
      </w:r>
    </w:p>
    <w:p w14:paraId="69BDF55D">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10.1.4</w:t>
      </w:r>
      <w:r>
        <w:rPr>
          <w:rFonts w:hint="eastAsia" w:asciiTheme="minorEastAsia" w:hAnsiTheme="minorEastAsia" w:eastAsiaTheme="minorEastAsia" w:cstheme="minorEastAsia"/>
          <w:color w:val="auto"/>
          <w:sz w:val="21"/>
          <w:szCs w:val="21"/>
          <w:highlight w:val="none"/>
        </w:rPr>
        <w:t xml:space="preserve">暴雨天气：日降雨量50mm及以上，或降雨强度大于20mm/h； </w:t>
      </w:r>
    </w:p>
    <w:p w14:paraId="1D49A6DE">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10.1.5</w:t>
      </w:r>
      <w:r>
        <w:rPr>
          <w:rFonts w:hint="eastAsia" w:asciiTheme="minorEastAsia" w:hAnsiTheme="minorEastAsia" w:eastAsiaTheme="minorEastAsia" w:cstheme="minorEastAsia"/>
          <w:color w:val="auto"/>
          <w:sz w:val="21"/>
          <w:szCs w:val="21"/>
          <w:highlight w:val="none"/>
        </w:rPr>
        <w:t>暴雪天气：日降雪量10mm及以上；</w:t>
      </w:r>
    </w:p>
    <w:p w14:paraId="13BFAF1B">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10.1.6</w:t>
      </w:r>
      <w:r>
        <w:rPr>
          <w:rFonts w:hint="eastAsia" w:asciiTheme="minorEastAsia" w:hAnsiTheme="minorEastAsia" w:eastAsiaTheme="minorEastAsia" w:cstheme="minorEastAsia"/>
          <w:color w:val="auto"/>
          <w:sz w:val="21"/>
          <w:szCs w:val="21"/>
          <w:highlight w:val="none"/>
        </w:rPr>
        <w:t>流速或波浪：内河3.5米/秒及以上流速，海上2米及以上的大浪和强浪；</w:t>
      </w:r>
    </w:p>
    <w:p w14:paraId="76CED950">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10.1.7</w:t>
      </w:r>
      <w:r>
        <w:rPr>
          <w:rFonts w:hint="eastAsia" w:asciiTheme="minorEastAsia" w:hAnsiTheme="minorEastAsia" w:eastAsiaTheme="minorEastAsia" w:cstheme="minorEastAsia"/>
          <w:color w:val="auto"/>
          <w:sz w:val="21"/>
          <w:szCs w:val="21"/>
          <w:highlight w:val="none"/>
        </w:rPr>
        <w:t>水淹：施工场地大部或全部被潮水、洪水或雨水淹没超过1天；</w:t>
      </w:r>
    </w:p>
    <w:p w14:paraId="44DD51CC">
      <w:pPr>
        <w:spacing w:line="360" w:lineRule="auto"/>
        <w:ind w:firstLine="4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10.1.8</w:t>
      </w:r>
      <w:r>
        <w:rPr>
          <w:rFonts w:hint="eastAsia" w:asciiTheme="minorEastAsia" w:hAnsiTheme="minorEastAsia" w:eastAsiaTheme="minorEastAsia" w:cstheme="minorEastAsia"/>
          <w:color w:val="auto"/>
          <w:sz w:val="21"/>
          <w:szCs w:val="21"/>
          <w:highlight w:val="none"/>
        </w:rPr>
        <w:t>大雾：定点施工船舶能见度小于50米的雾天超过1天；运动船舶按有关规定。</w:t>
      </w:r>
    </w:p>
    <w:p w14:paraId="489C55B7">
      <w:pPr>
        <w:spacing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11</w:t>
      </w:r>
      <w:r>
        <w:rPr>
          <w:rFonts w:hint="eastAsia" w:asciiTheme="minorEastAsia" w:hAnsiTheme="minorEastAsia" w:cstheme="minorEastAsia"/>
          <w:b/>
          <w:bCs/>
          <w:color w:val="auto"/>
          <w:kern w:val="2"/>
          <w:sz w:val="21"/>
          <w:szCs w:val="21"/>
          <w:highlight w:val="none"/>
          <w:lang w:val="en-US" w:eastAsia="zh-CN" w:bidi="ar-SA"/>
        </w:rPr>
        <w:t>.</w:t>
      </w:r>
      <w:r>
        <w:rPr>
          <w:rFonts w:hint="eastAsia" w:asciiTheme="minorEastAsia" w:hAnsiTheme="minorEastAsia" w:eastAsiaTheme="minorEastAsia" w:cstheme="minorEastAsia"/>
          <w:b/>
          <w:bCs/>
          <w:color w:val="auto"/>
          <w:kern w:val="2"/>
          <w:sz w:val="21"/>
          <w:szCs w:val="21"/>
          <w:highlight w:val="none"/>
          <w:lang w:val="en-US" w:eastAsia="zh-CN" w:bidi="ar-SA"/>
        </w:rPr>
        <w:t>供应商的工期延误</w:t>
      </w:r>
    </w:p>
    <w:p w14:paraId="3458B323">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.1 由于供应商原因造成工期延误，供应商应向采购人支付逾期竣工违约金。</w:t>
      </w:r>
    </w:p>
    <w:p w14:paraId="763D6700">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逾期竣工违约金的计算方法为：</w:t>
      </w:r>
    </w:p>
    <w:p w14:paraId="2CB91B0F">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工期延误天数X P</w:t>
      </w:r>
      <w:r>
        <w:rPr>
          <w:rFonts w:hint="eastAsia" w:asciiTheme="minorEastAsia" w:hAnsiTheme="minorEastAsia" w:eastAsiaTheme="minorEastAsia" w:cstheme="minorEastAsia"/>
          <w:color w:val="auto"/>
          <w:sz w:val="21"/>
          <w:szCs w:val="21"/>
          <w:highlight w:val="none"/>
          <w:vertAlign w:val="subscript"/>
        </w:rPr>
        <w:t>1</w:t>
      </w:r>
      <w:r>
        <w:rPr>
          <w:rFonts w:hint="eastAsia" w:asciiTheme="minorEastAsia" w:hAnsiTheme="minorEastAsia" w:eastAsiaTheme="minorEastAsia" w:cstheme="minorEastAsia"/>
          <w:color w:val="auto"/>
          <w:sz w:val="21"/>
          <w:szCs w:val="21"/>
          <w:highlight w:val="none"/>
        </w:rPr>
        <w:t>，其中P</w:t>
      </w:r>
      <w:r>
        <w:rPr>
          <w:rFonts w:hint="eastAsia" w:asciiTheme="minorEastAsia" w:hAnsiTheme="minorEastAsia" w:eastAsiaTheme="minorEastAsia" w:cstheme="minorEastAsia"/>
          <w:color w:val="auto"/>
          <w:sz w:val="21"/>
          <w:szCs w:val="21"/>
          <w:highlight w:val="none"/>
          <w:vertAlign w:val="subscript"/>
        </w:rPr>
        <w:t>1</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5000元            </w:t>
      </w:r>
      <w:r>
        <w:rPr>
          <w:rFonts w:hint="eastAsia" w:asciiTheme="minorEastAsia" w:hAnsiTheme="minorEastAsia" w:eastAsiaTheme="minorEastAsia" w:cstheme="minorEastAsia"/>
          <w:color w:val="auto"/>
          <w:sz w:val="21"/>
          <w:szCs w:val="21"/>
          <w:highlight w:val="none"/>
        </w:rPr>
        <w:t>。</w:t>
      </w:r>
    </w:p>
    <w:p w14:paraId="04120826">
      <w:pPr>
        <w:spacing w:line="360" w:lineRule="auto"/>
        <w:ind w:firstLine="4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逾期竣工违约金累计最高不得超过总合同价款的10%。</w:t>
      </w:r>
    </w:p>
    <w:p w14:paraId="3C8A14BC">
      <w:pPr>
        <w:spacing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bookmarkStart w:id="64" w:name="_Toc222798333"/>
      <w:bookmarkStart w:id="65" w:name="_Toc223227738"/>
      <w:bookmarkStart w:id="66" w:name="_Toc316739205"/>
      <w:r>
        <w:rPr>
          <w:rFonts w:hint="eastAsia" w:asciiTheme="minorEastAsia" w:hAnsiTheme="minorEastAsia" w:eastAsiaTheme="minorEastAsia" w:cstheme="minorEastAsia"/>
          <w:b/>
          <w:bCs/>
          <w:color w:val="auto"/>
          <w:kern w:val="2"/>
          <w:sz w:val="21"/>
          <w:szCs w:val="21"/>
          <w:highlight w:val="none"/>
          <w:lang w:val="en-US" w:eastAsia="zh-CN" w:bidi="ar-SA"/>
        </w:rPr>
        <w:t>12</w:t>
      </w:r>
      <w:r>
        <w:rPr>
          <w:rFonts w:hint="eastAsia" w:asciiTheme="minorEastAsia" w:hAnsiTheme="minorEastAsia" w:cstheme="minorEastAsia"/>
          <w:b/>
          <w:bCs/>
          <w:color w:val="auto"/>
          <w:kern w:val="2"/>
          <w:sz w:val="21"/>
          <w:szCs w:val="21"/>
          <w:highlight w:val="none"/>
          <w:lang w:val="en-US" w:eastAsia="zh-CN" w:bidi="ar-SA"/>
        </w:rPr>
        <w:t>.</w:t>
      </w:r>
      <w:r>
        <w:rPr>
          <w:rFonts w:hint="eastAsia" w:asciiTheme="minorEastAsia" w:hAnsiTheme="minorEastAsia" w:eastAsiaTheme="minorEastAsia" w:cstheme="minorEastAsia"/>
          <w:b/>
          <w:bCs/>
          <w:color w:val="auto"/>
          <w:kern w:val="2"/>
          <w:sz w:val="21"/>
          <w:szCs w:val="21"/>
          <w:highlight w:val="none"/>
          <w:lang w:val="en-US" w:eastAsia="zh-CN" w:bidi="ar-SA"/>
        </w:rPr>
        <w:t>工程质量</w:t>
      </w:r>
      <w:bookmarkEnd w:id="64"/>
      <w:bookmarkEnd w:id="65"/>
      <w:bookmarkEnd w:id="66"/>
    </w:p>
    <w:p w14:paraId="47DB9040">
      <w:pPr>
        <w:spacing w:line="360" w:lineRule="auto"/>
        <w:ind w:firstLine="424" w:firstLineChars="200"/>
        <w:outlineLvl w:val="0"/>
        <w:rPr>
          <w:rFonts w:hint="eastAsia" w:asciiTheme="minorEastAsia" w:hAnsiTheme="minorEastAsia" w:eastAsiaTheme="minorEastAsia" w:cstheme="minorEastAsia"/>
          <w:b/>
          <w:color w:val="auto"/>
          <w:sz w:val="21"/>
          <w:szCs w:val="21"/>
          <w:highlight w:val="none"/>
        </w:rPr>
      </w:pPr>
      <w:bookmarkStart w:id="67" w:name="_Toc222798334"/>
      <w:bookmarkStart w:id="68" w:name="_Toc223227739"/>
      <w:bookmarkStart w:id="69" w:name="_Toc316739206"/>
      <w:bookmarkStart w:id="70" w:name="_Toc324173590"/>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2</w:t>
      </w:r>
      <w:r>
        <w:rPr>
          <w:rFonts w:hint="eastAsia" w:asciiTheme="minorEastAsia" w:hAnsiTheme="minorEastAsia" w:eastAsiaTheme="minorEastAsia" w:cstheme="minorEastAsia"/>
          <w:b/>
          <w:color w:val="auto"/>
          <w:sz w:val="21"/>
          <w:szCs w:val="21"/>
          <w:highlight w:val="none"/>
        </w:rPr>
        <w:t>.1工程质量要求</w:t>
      </w:r>
      <w:bookmarkEnd w:id="67"/>
      <w:bookmarkEnd w:id="68"/>
      <w:bookmarkEnd w:id="69"/>
      <w:bookmarkEnd w:id="70"/>
    </w:p>
    <w:p w14:paraId="60E2D236">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.1.1质量标准</w:t>
      </w:r>
    </w:p>
    <w:p w14:paraId="2D16245E">
      <w:pPr>
        <w:spacing w:line="360" w:lineRule="auto"/>
        <w:ind w:firstLine="636" w:firstLineChars="3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)现行水运工程质量检验标准；</w:t>
      </w:r>
    </w:p>
    <w:p w14:paraId="31C982D8">
      <w:pPr>
        <w:spacing w:line="360" w:lineRule="auto"/>
        <w:ind w:firstLine="424"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(2)其他现行工程质量检验标准</w:t>
      </w:r>
      <w:r>
        <w:rPr>
          <w:rFonts w:hint="eastAsia" w:asciiTheme="minorEastAsia" w:hAnsiTheme="minorEastAsia" w:cstheme="minorEastAsia"/>
          <w:color w:val="auto"/>
          <w:sz w:val="21"/>
          <w:szCs w:val="21"/>
          <w:highlight w:val="none"/>
          <w:lang w:eastAsia="zh-CN"/>
        </w:rPr>
        <w:t>；</w:t>
      </w:r>
    </w:p>
    <w:p w14:paraId="2AE1CF19">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(3)以上标准如有修订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按新修订的标准执行。</w:t>
      </w:r>
    </w:p>
    <w:p w14:paraId="4442B244">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.1.2质量目标</w:t>
      </w:r>
    </w:p>
    <w:p w14:paraId="4D922A00">
      <w:pPr>
        <w:spacing w:line="360" w:lineRule="auto"/>
        <w:ind w:firstLine="540" w:firstLineChars="2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本工程质量目标：</w:t>
      </w:r>
      <w:r>
        <w:rPr>
          <w:rFonts w:hint="eastAsia" w:asciiTheme="minorEastAsia" w:hAnsiTheme="minorEastAsia" w:eastAsiaTheme="minorEastAsia" w:cstheme="minorEastAsia"/>
          <w:color w:val="auto"/>
          <w:sz w:val="21"/>
          <w:szCs w:val="21"/>
          <w:highlight w:val="none"/>
          <w:u w:val="single"/>
        </w:rPr>
        <w:t xml:space="preserve">  合格   </w:t>
      </w:r>
      <w:r>
        <w:rPr>
          <w:rFonts w:hint="eastAsia" w:asciiTheme="minorEastAsia" w:hAnsiTheme="minorEastAsia" w:eastAsiaTheme="minorEastAsia" w:cstheme="minorEastAsia"/>
          <w:color w:val="auto"/>
          <w:sz w:val="21"/>
          <w:szCs w:val="21"/>
          <w:highlight w:val="none"/>
        </w:rPr>
        <w:t>。</w:t>
      </w:r>
    </w:p>
    <w:p w14:paraId="0BF75F10">
      <w:pPr>
        <w:spacing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bookmarkStart w:id="71" w:name="_Toc223227743"/>
      <w:bookmarkStart w:id="72" w:name="_Toc316739220"/>
      <w:bookmarkStart w:id="73" w:name="_Toc222798338"/>
      <w:r>
        <w:rPr>
          <w:rFonts w:hint="eastAsia" w:asciiTheme="minorEastAsia" w:hAnsiTheme="minorEastAsia" w:eastAsiaTheme="minorEastAsia" w:cstheme="minorEastAsia"/>
          <w:b/>
          <w:bCs/>
          <w:color w:val="auto"/>
          <w:kern w:val="2"/>
          <w:sz w:val="21"/>
          <w:szCs w:val="21"/>
          <w:highlight w:val="none"/>
          <w:lang w:val="en-US" w:eastAsia="zh-CN" w:bidi="ar-SA"/>
        </w:rPr>
        <w:t>13</w:t>
      </w:r>
      <w:r>
        <w:rPr>
          <w:rFonts w:hint="eastAsia" w:asciiTheme="minorEastAsia" w:hAnsiTheme="minorEastAsia" w:cstheme="minorEastAsia"/>
          <w:b/>
          <w:bCs/>
          <w:color w:val="auto"/>
          <w:kern w:val="2"/>
          <w:sz w:val="21"/>
          <w:szCs w:val="21"/>
          <w:highlight w:val="none"/>
          <w:lang w:val="en-US" w:eastAsia="zh-CN" w:bidi="ar-SA"/>
        </w:rPr>
        <w:t>.</w:t>
      </w:r>
      <w:r>
        <w:rPr>
          <w:rFonts w:hint="eastAsia" w:asciiTheme="minorEastAsia" w:hAnsiTheme="minorEastAsia" w:eastAsiaTheme="minorEastAsia" w:cstheme="minorEastAsia"/>
          <w:b/>
          <w:bCs/>
          <w:color w:val="auto"/>
          <w:kern w:val="2"/>
          <w:sz w:val="21"/>
          <w:szCs w:val="21"/>
          <w:highlight w:val="none"/>
          <w:lang w:val="en-US" w:eastAsia="zh-CN" w:bidi="ar-SA"/>
        </w:rPr>
        <w:t>计量与支付</w:t>
      </w:r>
      <w:bookmarkEnd w:id="71"/>
      <w:bookmarkEnd w:id="72"/>
      <w:bookmarkEnd w:id="73"/>
    </w:p>
    <w:p w14:paraId="01322649">
      <w:pPr>
        <w:spacing w:line="360" w:lineRule="auto"/>
        <w:ind w:firstLine="424"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rPr>
        <w:t>.1计量</w:t>
      </w:r>
    </w:p>
    <w:p w14:paraId="171C15A4">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.1.1 供应商应将周度计量报表于每周</w:t>
      </w:r>
      <w:r>
        <w:rPr>
          <w:rFonts w:hint="eastAsia" w:asciiTheme="minorEastAsia" w:hAnsiTheme="minorEastAsia" w:eastAsiaTheme="minorEastAsia" w:cstheme="minorEastAsia"/>
          <w:color w:val="auto"/>
          <w:sz w:val="21"/>
          <w:szCs w:val="21"/>
          <w:highlight w:val="none"/>
          <w:u w:val="single"/>
        </w:rPr>
        <w:t xml:space="preserve"> 星期五</w:t>
      </w:r>
      <w:r>
        <w:rPr>
          <w:rFonts w:hint="eastAsia" w:asciiTheme="minorEastAsia" w:hAnsiTheme="minorEastAsia" w:eastAsiaTheme="minorEastAsia" w:cstheme="minorEastAsia"/>
          <w:color w:val="auto"/>
          <w:sz w:val="21"/>
          <w:szCs w:val="21"/>
          <w:highlight w:val="none"/>
        </w:rPr>
        <w:t>前报采购人一式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p>
    <w:p w14:paraId="7A05D1EE">
      <w:pPr>
        <w:spacing w:line="360" w:lineRule="auto"/>
        <w:ind w:firstLine="424"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rPr>
        <w:t>.2 预付款</w:t>
      </w:r>
    </w:p>
    <w:p w14:paraId="22091D4E">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val="en-US" w:eastAsia="zh-CN"/>
        </w:rPr>
        <w:t>本合同签订后 14 个工作日内，且采购人收到成交供应商开具的合法有效发票后，采购人支付合同总价的30%作为预付款。</w:t>
      </w:r>
    </w:p>
    <w:p w14:paraId="44D1B322">
      <w:pPr>
        <w:spacing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14</w:t>
      </w:r>
      <w:r>
        <w:rPr>
          <w:rFonts w:hint="eastAsia" w:asciiTheme="minorEastAsia" w:hAnsiTheme="minorEastAsia" w:cstheme="minorEastAsia"/>
          <w:b/>
          <w:bCs/>
          <w:color w:val="auto"/>
          <w:kern w:val="2"/>
          <w:sz w:val="21"/>
          <w:szCs w:val="21"/>
          <w:highlight w:val="none"/>
          <w:lang w:val="en-US" w:eastAsia="zh-CN" w:bidi="ar-SA"/>
        </w:rPr>
        <w:t>.</w:t>
      </w:r>
      <w:r>
        <w:rPr>
          <w:rFonts w:hint="eastAsia" w:asciiTheme="minorEastAsia" w:hAnsiTheme="minorEastAsia" w:eastAsiaTheme="minorEastAsia" w:cstheme="minorEastAsia"/>
          <w:b/>
          <w:bCs/>
          <w:color w:val="auto"/>
          <w:kern w:val="2"/>
          <w:sz w:val="21"/>
          <w:szCs w:val="21"/>
          <w:highlight w:val="none"/>
          <w:lang w:val="en-US" w:eastAsia="zh-CN" w:bidi="ar-SA"/>
        </w:rPr>
        <w:t>竣工验收</w:t>
      </w:r>
    </w:p>
    <w:p w14:paraId="0DC42CAC">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.1自检工程质量合格具备验收条件后，供应商应书面向采购人提出申请，进行竣工验收测量，办理验收手续。</w:t>
      </w:r>
    </w:p>
    <w:p w14:paraId="29EB3D76">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.2竣工验收测量应符合现场行业标准《水运工程测量技术规范》的要求，竣工测量的测量范围、测量比例、测线间距、测量方法和仪器以及精度应与工前测量一致。</w:t>
      </w:r>
    </w:p>
    <w:p w14:paraId="5FE53741">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.3竣工测量应请广州海事测绘中心测量，供应商和采购人可派代表监督，测量前应对平面控制点水尺以及测量仪器进行校准。测量资料和图纸应由合同双方代表签字确认。</w:t>
      </w:r>
    </w:p>
    <w:p w14:paraId="1C126A85">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.4疏浚完工后一个月内以广州海事测绘中心测量出具的水深图为准。初次测量费由采购人承担，因验收不合格发生的一切后续测量费用由供应商承担。</w:t>
      </w:r>
    </w:p>
    <w:p w14:paraId="13C6482B">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.5竣工测量完成后，由供应商代表填写验收报告，提交采购人签署意见。验收报告应做为工程竣工验收、进行质量鉴定、办理验收手续的正式文件。验收报告应包括下列内容：</w:t>
      </w:r>
    </w:p>
    <w:p w14:paraId="6F881CF0">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（1）验收单，包括工程设计要求、施工简况、工程量、工程质量和完成情况、质量自检自评意见等；</w:t>
      </w:r>
    </w:p>
    <w:p w14:paraId="0028DFD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（2）竣工图，竣工图为水深平面图，如有特殊需要，可附断面图；</w:t>
      </w:r>
    </w:p>
    <w:p w14:paraId="23C0FD6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（3）竣工土方计算表。</w:t>
      </w:r>
    </w:p>
    <w:p w14:paraId="1494520B">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.6工程验收的程序和内容应按水运工程建设项目验收管理的有关规定执行，验收的质量标准应按现行行业标准《疏浚工程质量检验评定标准》的有关规定进行评定。</w:t>
      </w:r>
    </w:p>
    <w:p w14:paraId="3B4A70A6">
      <w:pPr>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 xml:space="preserve">.7供应商应在竣工验收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七</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天前，向采购人提供竣工资料一式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份，声像资料一式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份。供应商所提交的竣工资料必须符合交通部、广东省、广州市有关竣工资料归档的规定和要求。</w:t>
      </w:r>
    </w:p>
    <w:p w14:paraId="2E16EB03">
      <w:pPr>
        <w:spacing w:line="360" w:lineRule="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15</w:t>
      </w:r>
      <w:r>
        <w:rPr>
          <w:rFonts w:hint="eastAsia" w:asciiTheme="minorEastAsia" w:hAnsiTheme="minorEastAsia" w:cstheme="minorEastAsia"/>
          <w:b/>
          <w:bCs/>
          <w:color w:val="auto"/>
          <w:kern w:val="2"/>
          <w:sz w:val="21"/>
          <w:szCs w:val="21"/>
          <w:highlight w:val="none"/>
          <w:lang w:val="en-US" w:eastAsia="zh-CN" w:bidi="ar-SA"/>
        </w:rPr>
        <w:t>.</w:t>
      </w:r>
      <w:r>
        <w:rPr>
          <w:rFonts w:hint="eastAsia" w:asciiTheme="minorEastAsia" w:hAnsiTheme="minorEastAsia" w:eastAsiaTheme="minorEastAsia" w:cstheme="minorEastAsia"/>
          <w:b/>
          <w:bCs/>
          <w:color w:val="auto"/>
          <w:kern w:val="2"/>
          <w:sz w:val="21"/>
          <w:szCs w:val="21"/>
          <w:highlight w:val="none"/>
          <w:lang w:val="en-US" w:eastAsia="zh-CN" w:bidi="ar-SA"/>
        </w:rPr>
        <w:t>缺陷责任与保修责任</w:t>
      </w:r>
    </w:p>
    <w:p w14:paraId="52E286BC">
      <w:pPr>
        <w:spacing w:line="360" w:lineRule="auto"/>
        <w:ind w:firstLine="424"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.1缺陷责任期的起算时间</w:t>
      </w:r>
    </w:p>
    <w:p w14:paraId="7B382931">
      <w:pPr>
        <w:spacing w:line="360" w:lineRule="auto"/>
        <w:ind w:firstLine="424"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.1.1缺陷责任期从工程竣工之日起算，分别为：</w:t>
      </w:r>
    </w:p>
    <w:p w14:paraId="57737B78">
      <w:pPr>
        <w:spacing w:line="360" w:lineRule="auto"/>
        <w:ind w:firstLine="636" w:firstLineChars="3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(1)疏浚工程不设缺陷责任期;</w:t>
      </w:r>
    </w:p>
    <w:p w14:paraId="784BA019">
      <w:pPr>
        <w:spacing w:line="360" w:lineRule="auto"/>
        <w:ind w:firstLine="636" w:firstLineChars="3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(2)水工工程缺陷责任期为一年;</w:t>
      </w:r>
    </w:p>
    <w:p w14:paraId="73B194F9">
      <w:pPr>
        <w:spacing w:line="360" w:lineRule="auto"/>
        <w:ind w:firstLine="636"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(3)其他工程按《建设工程质量管理条例》及相关现行法规执行缺陷责任与保修义务。</w:t>
      </w:r>
    </w:p>
    <w:p w14:paraId="1EBB4C02">
      <w:pPr>
        <w:pStyle w:val="8"/>
        <w:numPr>
          <w:ilvl w:val="0"/>
          <w:numId w:val="19"/>
        </w:numPr>
        <w:tabs>
          <w:tab w:val="left" w:pos="540"/>
        </w:tabs>
        <w:adjustRightInd w:val="0"/>
        <w:snapToGrid w:val="0"/>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付款方式</w:t>
      </w:r>
    </w:p>
    <w:p w14:paraId="518A9C64">
      <w:pPr>
        <w:snapToGrid w:val="0"/>
        <w:spacing w:line="360" w:lineRule="auto"/>
        <w:ind w:firstLine="42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由采购人按下列程序付款： </w:t>
      </w:r>
    </w:p>
    <w:p w14:paraId="5E2D9071">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24"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预付款：本合同签订后 14 个工作日内，且采购人收到成交供应商开具的合法有效发票后，采购人支付合同总价的30%作为预付款。</w:t>
      </w:r>
    </w:p>
    <w:p w14:paraId="27306658">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24"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后续按工程进度付款，待工程量完成80%后，采购人在收到成交供应商开具的合法有效发票后 10 个工作日内，支付至合同总价的80%（含已支付的预付款）。</w:t>
      </w:r>
    </w:p>
    <w:p w14:paraId="2EDB0558">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24"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工程完工验收合格后，采购人在收到成交供应商提交的完整结算资料及合法有效发票后 10 个工作日内，支付至结算合同总价的100%。如有工程量变更，核算后一同支付，工程量变更以采购人方代表签字确认为准。</w:t>
      </w:r>
    </w:p>
    <w:p w14:paraId="05D50BD7">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24"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凭以下有效文件与采购人结算：</w:t>
      </w:r>
    </w:p>
    <w:p w14:paraId="46FBBF60">
      <w:pPr>
        <w:snapToGrid w:val="0"/>
        <w:spacing w:line="360" w:lineRule="auto"/>
        <w:ind w:firstLine="318"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w:t>
      </w:r>
    </w:p>
    <w:p w14:paraId="1F477C8C">
      <w:pPr>
        <w:snapToGrid w:val="0"/>
        <w:spacing w:line="360" w:lineRule="auto"/>
        <w:ind w:firstLine="318"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开具的正式发票；</w:t>
      </w:r>
    </w:p>
    <w:p w14:paraId="35A3016E">
      <w:pPr>
        <w:snapToGrid w:val="0"/>
        <w:spacing w:line="360" w:lineRule="auto"/>
        <w:ind w:firstLine="318"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（3）验收</w:t>
      </w:r>
      <w:r>
        <w:rPr>
          <w:rFonts w:hint="eastAsia" w:asciiTheme="minorEastAsia" w:hAnsiTheme="minorEastAsia" w:eastAsiaTheme="minorEastAsia" w:cstheme="minorEastAsia"/>
          <w:color w:val="auto"/>
          <w:sz w:val="21"/>
          <w:szCs w:val="21"/>
          <w:highlight w:val="none"/>
          <w:lang w:val="en-US" w:eastAsia="zh-CN"/>
        </w:rPr>
        <w:t>证明</w:t>
      </w:r>
      <w:r>
        <w:rPr>
          <w:rFonts w:hint="eastAsia" w:asciiTheme="minorEastAsia" w:hAnsiTheme="minorEastAsia" w:eastAsiaTheme="minorEastAsia" w:cstheme="minorEastAsia"/>
          <w:color w:val="auto"/>
          <w:sz w:val="21"/>
          <w:szCs w:val="21"/>
          <w:highlight w:val="none"/>
        </w:rPr>
        <w:t>；</w:t>
      </w:r>
    </w:p>
    <w:p w14:paraId="7D27E9DF">
      <w:pPr>
        <w:snapToGrid w:val="0"/>
        <w:spacing w:line="360" w:lineRule="auto"/>
        <w:ind w:firstLine="318" w:firstLineChars="15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（4）成交通知书。</w:t>
      </w:r>
      <w:r>
        <w:rPr>
          <w:rFonts w:hint="eastAsia" w:asciiTheme="minorEastAsia" w:hAnsiTheme="minorEastAsia" w:eastAsiaTheme="minorEastAsia" w:cstheme="minorEastAsia"/>
          <w:b/>
          <w:color w:val="auto"/>
          <w:sz w:val="21"/>
          <w:szCs w:val="21"/>
          <w:highlight w:val="none"/>
        </w:rPr>
        <w:tab/>
      </w:r>
    </w:p>
    <w:p w14:paraId="70D73B8F">
      <w:pPr>
        <w:widowControl/>
        <w:spacing w:line="360" w:lineRule="auto"/>
        <w:jc w:val="left"/>
        <w:rPr>
          <w:rFonts w:hint="eastAsia" w:asciiTheme="minorEastAsia" w:hAnsiTheme="minorEastAsia" w:eastAsiaTheme="minorEastAsia" w:cstheme="minorEastAsia"/>
          <w:b/>
          <w:bCs/>
          <w:color w:val="auto"/>
          <w:szCs w:val="21"/>
          <w:highlight w:val="none"/>
          <w:lang w:val="en-US" w:eastAsia="zh-CN"/>
        </w:rPr>
      </w:pPr>
    </w:p>
    <w:p w14:paraId="3DD603AD">
      <w:pPr>
        <w:widowControl/>
        <w:spacing w:line="360" w:lineRule="auto"/>
        <w:jc w:val="left"/>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附件：1、回旋水域清淤整治工工程量清单（另册）</w:t>
      </w:r>
    </w:p>
    <w:p w14:paraId="7996BD0A">
      <w:pPr>
        <w:widowControl/>
        <w:spacing w:line="360" w:lineRule="auto"/>
        <w:jc w:val="left"/>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 xml:space="preserve">      2、回旋水域清淤整治工图纸（另册）</w:t>
      </w:r>
    </w:p>
    <w:p w14:paraId="6BD04CEA">
      <w:pPr>
        <w:tabs>
          <w:tab w:val="left" w:pos="562"/>
        </w:tabs>
        <w:adjustRightInd w:val="0"/>
        <w:snapToGrid w:val="0"/>
        <w:spacing w:line="360" w:lineRule="auto"/>
        <w:textAlignment w:val="baseline"/>
        <w:rPr>
          <w:rFonts w:hint="eastAsia" w:ascii="宋体" w:hAnsi="宋体" w:eastAsia="宋体" w:cs="宋体"/>
          <w:b/>
          <w:color w:val="auto"/>
          <w:szCs w:val="21"/>
          <w:highlight w:val="none"/>
        </w:rPr>
      </w:pPr>
    </w:p>
    <w:p w14:paraId="0C2C297D">
      <w:pPr>
        <w:rPr>
          <w:rFonts w:ascii="Times New Roman" w:hAnsi="Times New Roman" w:cs="Times New Roman"/>
          <w:color w:val="auto"/>
          <w:highlight w:val="none"/>
          <w:lang w:val="zh-CN"/>
        </w:rPr>
      </w:pPr>
      <w:bookmarkStart w:id="74" w:name="PO_t_第四章报价附件_13"/>
      <w:r>
        <w:rPr>
          <w:rFonts w:ascii="Times New Roman" w:hAnsi="Times New Roman" w:cs="Times New Roman"/>
          <w:color w:val="auto"/>
          <w:highlight w:val="none"/>
          <w:lang w:val="zh-CN"/>
        </w:rPr>
        <w:br w:type="page"/>
      </w:r>
    </w:p>
    <w:p w14:paraId="3D425C43">
      <w:pPr>
        <w:pStyle w:val="14"/>
        <w:spacing w:before="0" w:after="0"/>
        <w:rPr>
          <w:rFonts w:ascii="Times New Roman" w:hAnsi="Times New Roman" w:cs="Times New Roman"/>
          <w:color w:val="auto"/>
          <w:highlight w:val="none"/>
          <w:lang w:val="zh-CN"/>
        </w:rPr>
      </w:pPr>
      <w:r>
        <w:rPr>
          <w:rFonts w:ascii="Times New Roman" w:hAnsi="Times New Roman" w:cs="Times New Roman"/>
          <w:color w:val="auto"/>
          <w:highlight w:val="none"/>
          <w:lang w:val="zh-CN"/>
        </w:rPr>
        <w:t>第</w:t>
      </w:r>
      <w:r>
        <w:rPr>
          <w:rFonts w:hint="eastAsia" w:ascii="Times New Roman" w:hAnsi="Times New Roman" w:cs="Times New Roman"/>
          <w:color w:val="auto"/>
          <w:highlight w:val="none"/>
        </w:rPr>
        <w:t>四</w:t>
      </w:r>
      <w:r>
        <w:rPr>
          <w:rFonts w:ascii="Times New Roman" w:hAnsi="Times New Roman" w:cs="Times New Roman"/>
          <w:color w:val="auto"/>
          <w:highlight w:val="none"/>
          <w:lang w:val="zh-CN"/>
        </w:rPr>
        <w:t>章 报价附件</w:t>
      </w:r>
    </w:p>
    <w:bookmarkEnd w:id="74"/>
    <w:p w14:paraId="35DA4504">
      <w:pPr>
        <w:pStyle w:val="3"/>
        <w:keepLines w:val="0"/>
        <w:spacing w:before="0" w:after="240" w:line="360" w:lineRule="auto"/>
        <w:ind w:left="720" w:hanging="360"/>
        <w:jc w:val="center"/>
        <w:rPr>
          <w:rFonts w:hint="eastAsia" w:ascii="宋体" w:hAnsi="宋体" w:eastAsia="宋体"/>
          <w:color w:val="auto"/>
          <w:highlight w:val="none"/>
        </w:rPr>
      </w:pPr>
      <w:bookmarkStart w:id="75" w:name="PO_t_报价表_14"/>
      <w:r>
        <w:rPr>
          <w:rFonts w:hint="eastAsia" w:ascii="宋体" w:hAnsi="宋体" w:eastAsia="宋体"/>
          <w:color w:val="auto"/>
          <w:highlight w:val="none"/>
        </w:rPr>
        <w:t>报 价 表</w:t>
      </w:r>
    </w:p>
    <w:bookmarkEnd w:id="75"/>
    <w:tbl>
      <w:tblPr>
        <w:tblStyle w:val="17"/>
        <w:tblW w:w="41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1"/>
        <w:gridCol w:w="1146"/>
        <w:gridCol w:w="1773"/>
        <w:gridCol w:w="2057"/>
        <w:gridCol w:w="1341"/>
      </w:tblGrid>
      <w:tr w14:paraId="3FACD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1711" w:type="dxa"/>
            <w:shd w:val="clear" w:color="auto" w:fill="EEECE1"/>
            <w:noWrap w:val="0"/>
            <w:vAlign w:val="center"/>
          </w:tcPr>
          <w:p w14:paraId="2B2523D3">
            <w:pPr>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采购内容</w:t>
            </w:r>
          </w:p>
        </w:tc>
        <w:tc>
          <w:tcPr>
            <w:tcW w:w="1146" w:type="dxa"/>
            <w:shd w:val="clear" w:color="auto" w:fill="EEECE1"/>
            <w:noWrap w:val="0"/>
            <w:vAlign w:val="center"/>
          </w:tcPr>
          <w:p w14:paraId="0D825E21">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Cs w:val="21"/>
                <w:highlight w:val="none"/>
              </w:rPr>
              <w:t>数量</w:t>
            </w:r>
          </w:p>
        </w:tc>
        <w:tc>
          <w:tcPr>
            <w:tcW w:w="1773" w:type="dxa"/>
            <w:shd w:val="clear" w:color="auto" w:fill="EEECE1"/>
            <w:noWrap w:val="0"/>
            <w:vAlign w:val="center"/>
          </w:tcPr>
          <w:p w14:paraId="4C48F085">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Cs w:val="21"/>
                <w:highlight w:val="none"/>
                <w:lang w:val="en-US" w:eastAsia="zh-CN"/>
              </w:rPr>
              <w:t>项目工期</w:t>
            </w:r>
          </w:p>
        </w:tc>
        <w:tc>
          <w:tcPr>
            <w:tcW w:w="2057" w:type="dxa"/>
            <w:shd w:val="clear" w:color="auto" w:fill="EEECE1"/>
            <w:noWrap w:val="0"/>
            <w:vAlign w:val="center"/>
          </w:tcPr>
          <w:p w14:paraId="52F10497">
            <w:pPr>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总报价</w:t>
            </w:r>
          </w:p>
        </w:tc>
        <w:tc>
          <w:tcPr>
            <w:tcW w:w="1341" w:type="dxa"/>
            <w:shd w:val="clear" w:color="auto" w:fill="EEECE1"/>
            <w:noWrap w:val="0"/>
            <w:vAlign w:val="center"/>
          </w:tcPr>
          <w:p w14:paraId="45AC8B4B">
            <w:pPr>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3568A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6" w:hRule="atLeast"/>
          <w:jc w:val="center"/>
        </w:trPr>
        <w:tc>
          <w:tcPr>
            <w:tcW w:w="1711" w:type="dxa"/>
            <w:shd w:val="clear" w:color="auto" w:fill="auto"/>
            <w:noWrap w:val="0"/>
            <w:vAlign w:val="center"/>
          </w:tcPr>
          <w:p w14:paraId="31A143A5">
            <w:pPr>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回旋水域清淤整治工程</w:t>
            </w:r>
          </w:p>
        </w:tc>
        <w:tc>
          <w:tcPr>
            <w:tcW w:w="1146" w:type="dxa"/>
            <w:noWrap w:val="0"/>
            <w:vAlign w:val="center"/>
          </w:tcPr>
          <w:p w14:paraId="399F1142">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项</w:t>
            </w:r>
          </w:p>
        </w:tc>
        <w:tc>
          <w:tcPr>
            <w:tcW w:w="1773" w:type="dxa"/>
            <w:noWrap w:val="0"/>
            <w:vAlign w:val="center"/>
          </w:tcPr>
          <w:p w14:paraId="7547905E">
            <w:pPr>
              <w:pStyle w:val="25"/>
              <w:snapToGrid w:val="0"/>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snapToGrid/>
                <w:color w:val="auto"/>
                <w:spacing w:val="0"/>
                <w:kern w:val="2"/>
                <w:sz w:val="21"/>
                <w:szCs w:val="21"/>
                <w:highlight w:val="none"/>
              </w:rPr>
              <w:t>自合同签订之日起</w:t>
            </w:r>
            <w:r>
              <w:rPr>
                <w:rFonts w:hint="eastAsia" w:asciiTheme="minorEastAsia" w:hAnsiTheme="minorEastAsia" w:eastAsiaTheme="minorEastAsia"/>
                <w:snapToGrid/>
                <w:color w:val="auto"/>
                <w:spacing w:val="0"/>
                <w:kern w:val="2"/>
                <w:sz w:val="21"/>
                <w:szCs w:val="21"/>
                <w:highlight w:val="none"/>
                <w:u w:val="single"/>
                <w:lang w:val="en-US" w:eastAsia="zh-CN"/>
              </w:rPr>
              <w:t>40</w:t>
            </w:r>
            <w:r>
              <w:rPr>
                <w:rFonts w:hint="eastAsia" w:asciiTheme="minorEastAsia" w:hAnsiTheme="minorEastAsia" w:eastAsiaTheme="minorEastAsia"/>
                <w:snapToGrid/>
                <w:color w:val="auto"/>
                <w:spacing w:val="0"/>
                <w:kern w:val="2"/>
                <w:sz w:val="21"/>
                <w:szCs w:val="21"/>
                <w:highlight w:val="none"/>
              </w:rPr>
              <w:t>个日历天</w:t>
            </w:r>
          </w:p>
        </w:tc>
        <w:tc>
          <w:tcPr>
            <w:tcW w:w="2057" w:type="dxa"/>
            <w:noWrap w:val="0"/>
            <w:vAlign w:val="center"/>
          </w:tcPr>
          <w:p w14:paraId="57A72BC1">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人民币</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元</w:t>
            </w:r>
          </w:p>
        </w:tc>
        <w:tc>
          <w:tcPr>
            <w:tcW w:w="1341" w:type="dxa"/>
            <w:noWrap w:val="0"/>
            <w:vAlign w:val="center"/>
          </w:tcPr>
          <w:p w14:paraId="26F4C92F">
            <w:pPr>
              <w:spacing w:line="240" w:lineRule="auto"/>
              <w:jc w:val="center"/>
              <w:rPr>
                <w:rFonts w:hint="eastAsia" w:ascii="宋体" w:hAnsi="宋体" w:eastAsia="宋体" w:cs="宋体"/>
                <w:bCs/>
                <w:color w:val="auto"/>
                <w:sz w:val="21"/>
                <w:szCs w:val="21"/>
                <w:highlight w:val="none"/>
              </w:rPr>
            </w:pPr>
          </w:p>
        </w:tc>
      </w:tr>
    </w:tbl>
    <w:p w14:paraId="10AEB2E2">
      <w:pPr>
        <w:rPr>
          <w:b/>
          <w:color w:val="auto"/>
          <w:highlight w:val="none"/>
        </w:rPr>
      </w:pPr>
      <w:r>
        <w:rPr>
          <w:rFonts w:hint="eastAsia"/>
          <w:b/>
          <w:color w:val="auto"/>
          <w:highlight w:val="none"/>
        </w:rPr>
        <w:t>注：</w:t>
      </w:r>
    </w:p>
    <w:p w14:paraId="65D5D6B3">
      <w:pPr>
        <w:widowControl/>
        <w:numPr>
          <w:ilvl w:val="0"/>
          <w:numId w:val="21"/>
        </w:numPr>
        <w:spacing w:line="340" w:lineRule="exact"/>
        <w:jc w:val="left"/>
        <w:rPr>
          <w:rFonts w:ascii="宋体" w:hAnsi="宋体"/>
          <w:b/>
          <w:bCs/>
          <w:color w:val="auto"/>
          <w:kern w:val="0"/>
          <w:highlight w:val="none"/>
          <w:u w:val="single"/>
        </w:rPr>
      </w:pPr>
      <w:r>
        <w:rPr>
          <w:rFonts w:hint="eastAsia" w:ascii="宋体" w:hAnsi="宋体" w:cs="宋体"/>
          <w:b/>
          <w:bCs/>
          <w:color w:val="auto"/>
          <w:kern w:val="0"/>
          <w:highlight w:val="none"/>
          <w:u w:val="single"/>
        </w:rPr>
        <w:t>供应商必须按报价表的格式填写，不得增加或删除表格内容。除金额或项目要求填写的内容外，不得擅自改动报价表内容，</w:t>
      </w:r>
      <w:r>
        <w:rPr>
          <w:rFonts w:hint="eastAsia" w:ascii="宋体" w:hAnsi="宋体" w:cs="宋体"/>
          <w:b/>
          <w:bCs/>
          <w:color w:val="auto"/>
          <w:kern w:val="0"/>
          <w:highlight w:val="none"/>
        </w:rPr>
        <w:t>否则将有可能影响成交结果，不推荐为成交候选人</w:t>
      </w:r>
      <w:r>
        <w:rPr>
          <w:rFonts w:hint="eastAsia" w:ascii="宋体" w:hAnsi="宋体" w:cs="宋体"/>
          <w:b/>
          <w:bCs/>
          <w:color w:val="auto"/>
          <w:kern w:val="0"/>
          <w:highlight w:val="none"/>
          <w:lang w:eastAsia="zh-CN"/>
        </w:rPr>
        <w:t>。</w:t>
      </w:r>
    </w:p>
    <w:p w14:paraId="113F8F6A">
      <w:pPr>
        <w:widowControl/>
        <w:numPr>
          <w:ilvl w:val="0"/>
          <w:numId w:val="21"/>
        </w:numPr>
        <w:spacing w:line="340" w:lineRule="exact"/>
        <w:jc w:val="left"/>
        <w:rPr>
          <w:b/>
          <w:color w:val="auto"/>
          <w:highlight w:val="none"/>
        </w:rPr>
      </w:pPr>
      <w:r>
        <w:rPr>
          <w:rFonts w:hint="eastAsia"/>
          <w:b/>
          <w:color w:val="auto"/>
          <w:highlight w:val="none"/>
        </w:rPr>
        <w:t>所有价格均系用人民币表示，单位为元，均为含税价</w:t>
      </w:r>
      <w:r>
        <w:rPr>
          <w:rFonts w:hint="eastAsia"/>
          <w:b/>
          <w:color w:val="auto"/>
          <w:highlight w:val="none"/>
          <w:lang w:eastAsia="zh-CN"/>
        </w:rPr>
        <w:t>。</w:t>
      </w:r>
    </w:p>
    <w:p w14:paraId="6041B995">
      <w:pPr>
        <w:widowControl/>
        <w:numPr>
          <w:ilvl w:val="0"/>
          <w:numId w:val="21"/>
        </w:numPr>
        <w:spacing w:line="340" w:lineRule="exact"/>
        <w:jc w:val="left"/>
        <w:rPr>
          <w:b/>
          <w:color w:val="auto"/>
          <w:highlight w:val="none"/>
        </w:rPr>
      </w:pPr>
      <w:r>
        <w:rPr>
          <w:rFonts w:hint="eastAsia"/>
          <w:b/>
          <w:color w:val="auto"/>
          <w:highlight w:val="none"/>
          <w:lang w:val="en-US" w:eastAsia="zh-CN"/>
        </w:rPr>
        <w:t>平台</w:t>
      </w:r>
      <w:r>
        <w:rPr>
          <w:rFonts w:hint="eastAsia"/>
          <w:b/>
          <w:color w:val="auto"/>
          <w:highlight w:val="none"/>
        </w:rPr>
        <w:t>报价与报价表</w:t>
      </w:r>
      <w:r>
        <w:rPr>
          <w:rFonts w:hint="eastAsia"/>
          <w:b/>
          <w:color w:val="auto"/>
          <w:highlight w:val="none"/>
          <w:lang w:val="en-US" w:eastAsia="zh-CN"/>
        </w:rPr>
        <w:t>总报价</w:t>
      </w:r>
      <w:r>
        <w:rPr>
          <w:rFonts w:hint="eastAsia"/>
          <w:b/>
          <w:color w:val="auto"/>
          <w:highlight w:val="none"/>
        </w:rPr>
        <w:t>不一致的，以报价表</w:t>
      </w:r>
      <w:r>
        <w:rPr>
          <w:rFonts w:hint="eastAsia"/>
          <w:b/>
          <w:color w:val="auto"/>
          <w:highlight w:val="none"/>
          <w:lang w:val="en-US" w:eastAsia="zh-CN"/>
        </w:rPr>
        <w:t>总报价</w:t>
      </w:r>
      <w:r>
        <w:rPr>
          <w:rFonts w:hint="eastAsia"/>
          <w:b/>
          <w:color w:val="auto"/>
          <w:highlight w:val="none"/>
        </w:rPr>
        <w:t>（经价格核准后的价格）为准。</w:t>
      </w:r>
    </w:p>
    <w:p w14:paraId="7658663D">
      <w:pPr>
        <w:widowControl/>
        <w:numPr>
          <w:ilvl w:val="0"/>
          <w:numId w:val="21"/>
        </w:numPr>
        <w:spacing w:line="340" w:lineRule="exact"/>
        <w:jc w:val="left"/>
        <w:rPr>
          <w:rFonts w:ascii="宋体" w:hAnsi="宋体"/>
          <w:b/>
          <w:bCs/>
          <w:color w:val="auto"/>
          <w:kern w:val="0"/>
          <w:highlight w:val="none"/>
        </w:rPr>
      </w:pPr>
      <w:r>
        <w:rPr>
          <w:rFonts w:hint="eastAsia" w:ascii="宋体" w:hAnsi="宋体" w:cs="宋体"/>
          <w:b/>
          <w:bCs/>
          <w:color w:val="auto"/>
          <w:kern w:val="0"/>
          <w:highlight w:val="none"/>
        </w:rPr>
        <w:t>报价表必须加盖单位公章，否则视为无效报价。</w:t>
      </w:r>
    </w:p>
    <w:p w14:paraId="77147D9D">
      <w:pPr>
        <w:spacing w:line="500" w:lineRule="exact"/>
        <w:rPr>
          <w:rFonts w:ascii="宋体" w:hAnsi="宋体" w:cs="宋体"/>
          <w:color w:val="auto"/>
          <w:spacing w:val="4"/>
          <w:highlight w:val="none"/>
        </w:rPr>
      </w:pPr>
    </w:p>
    <w:p w14:paraId="39D60659">
      <w:pPr>
        <w:spacing w:line="500" w:lineRule="exact"/>
        <w:rPr>
          <w:rFonts w:ascii="宋体" w:hAnsi="宋体"/>
          <w:color w:val="auto"/>
          <w:highlight w:val="none"/>
          <w:u w:val="single"/>
        </w:rPr>
      </w:pPr>
      <w:r>
        <w:rPr>
          <w:rFonts w:hint="eastAsia" w:ascii="宋体" w:hAnsi="宋体" w:cs="宋体"/>
          <w:color w:val="auto"/>
          <w:spacing w:val="4"/>
          <w:highlight w:val="none"/>
        </w:rPr>
        <w:t>供应商名称（</w:t>
      </w:r>
      <w:r>
        <w:rPr>
          <w:rFonts w:hint="eastAsia" w:ascii="宋体" w:hAnsi="宋体" w:cs="宋体"/>
          <w:color w:val="auto"/>
          <w:highlight w:val="none"/>
        </w:rPr>
        <w:t>单位盖</w:t>
      </w:r>
      <w:r>
        <w:rPr>
          <w:rFonts w:hint="eastAsia" w:ascii="宋体" w:hAnsi="宋体" w:cs="宋体"/>
          <w:color w:val="auto"/>
          <w:spacing w:val="4"/>
          <w:highlight w:val="none"/>
        </w:rPr>
        <w:t>公章）：</w:t>
      </w:r>
      <w:r>
        <w:rPr>
          <w:rFonts w:ascii="宋体" w:hAnsi="宋体" w:cs="宋体"/>
          <w:color w:val="auto"/>
          <w:spacing w:val="4"/>
          <w:highlight w:val="none"/>
          <w:u w:val="single"/>
        </w:rPr>
        <w:t xml:space="preserve">                     </w:t>
      </w:r>
    </w:p>
    <w:p w14:paraId="4137A0A5">
      <w:pPr>
        <w:spacing w:line="520" w:lineRule="exact"/>
        <w:rPr>
          <w:rFonts w:ascii="宋体" w:hAnsi="宋体" w:cs="宋体"/>
          <w:color w:val="auto"/>
          <w:spacing w:val="4"/>
          <w:highlight w:val="none"/>
          <w:u w:val="single"/>
        </w:rPr>
      </w:pPr>
      <w:r>
        <w:rPr>
          <w:rFonts w:hint="eastAsia" w:ascii="宋体" w:hAnsi="宋体" w:cs="宋体"/>
          <w:color w:val="auto"/>
          <w:spacing w:val="4"/>
          <w:highlight w:val="none"/>
        </w:rPr>
        <w:t>日期：</w:t>
      </w:r>
      <w:r>
        <w:rPr>
          <w:rFonts w:ascii="宋体" w:hAnsi="宋体" w:cs="宋体"/>
          <w:color w:val="auto"/>
          <w:spacing w:val="4"/>
          <w:highlight w:val="none"/>
          <w:u w:val="single"/>
        </w:rPr>
        <w:t xml:space="preserve">                     </w:t>
      </w:r>
    </w:p>
    <w:p w14:paraId="19DF65E6">
      <w:pPr>
        <w:jc w:val="center"/>
        <w:rPr>
          <w:rFonts w:ascii="宋体" w:hAnsi="宋体"/>
          <w:color w:val="auto"/>
          <w:highlight w:val="none"/>
        </w:rPr>
      </w:pPr>
      <w:r>
        <w:rPr>
          <w:color w:val="auto"/>
          <w:highlight w:val="none"/>
        </w:rPr>
        <w:br w:type="page"/>
      </w:r>
      <w:r>
        <w:rPr>
          <w:rFonts w:hint="eastAsia" w:ascii="宋体" w:hAnsi="宋体" w:cs="宋体"/>
          <w:b/>
          <w:bCs/>
          <w:color w:val="auto"/>
          <w:sz w:val="32"/>
          <w:szCs w:val="32"/>
          <w:highlight w:val="none"/>
        </w:rPr>
        <w:t>分项报价表</w:t>
      </w:r>
    </w:p>
    <w:p w14:paraId="0BE8EC7E">
      <w:pPr>
        <w:spacing w:line="440" w:lineRule="exact"/>
        <w:ind w:left="425"/>
        <w:jc w:val="center"/>
        <w:rPr>
          <w:rFonts w:ascii="宋体" w:hAnsi="宋体"/>
          <w:b/>
          <w:color w:val="auto"/>
          <w:highlight w:val="none"/>
        </w:rPr>
      </w:pPr>
    </w:p>
    <w:p w14:paraId="03304D32">
      <w:pPr>
        <w:pStyle w:val="25"/>
        <w:numPr>
          <w:ilvl w:val="0"/>
          <w:numId w:val="0"/>
        </w:numPr>
        <w:autoSpaceDE w:val="0"/>
        <w:autoSpaceDN w:val="0"/>
        <w:adjustRightInd w:val="0"/>
        <w:spacing w:line="440" w:lineRule="exact"/>
        <w:ind w:leftChars="0"/>
        <w:jc w:val="left"/>
        <w:rPr>
          <w:rFonts w:ascii="宋体" w:hAnsi="宋体"/>
          <w:b/>
          <w:color w:val="auto"/>
          <w:szCs w:val="21"/>
          <w:highlight w:val="none"/>
        </w:rPr>
      </w:pPr>
      <w:bookmarkStart w:id="76" w:name="_Hlk77930450"/>
      <w:r>
        <w:rPr>
          <w:rFonts w:hint="eastAsia" w:ascii="宋体" w:hAnsi="宋体"/>
          <w:b/>
          <w:color w:val="auto"/>
          <w:szCs w:val="21"/>
          <w:highlight w:val="none"/>
          <w:lang w:val="en-US" w:eastAsia="zh-CN"/>
        </w:rPr>
        <w:t>1、</w:t>
      </w:r>
      <w:r>
        <w:rPr>
          <w:rFonts w:hint="eastAsia" w:ascii="宋体" w:hAnsi="宋体"/>
          <w:b/>
          <w:color w:val="auto"/>
          <w:szCs w:val="21"/>
          <w:highlight w:val="none"/>
        </w:rPr>
        <w:t>按照采购人提供的工程量清单格式进行明细报价</w:t>
      </w:r>
      <w:bookmarkEnd w:id="76"/>
      <w:r>
        <w:rPr>
          <w:rFonts w:hint="eastAsia" w:ascii="宋体" w:hAnsi="宋体"/>
          <w:b/>
          <w:color w:val="auto"/>
          <w:szCs w:val="21"/>
          <w:highlight w:val="none"/>
        </w:rPr>
        <w:t>，需加盖公章扫描为p</w:t>
      </w:r>
      <w:r>
        <w:rPr>
          <w:rFonts w:ascii="宋体" w:hAnsi="宋体"/>
          <w:b/>
          <w:color w:val="auto"/>
          <w:szCs w:val="21"/>
          <w:highlight w:val="none"/>
        </w:rPr>
        <w:t>df</w:t>
      </w:r>
      <w:r>
        <w:rPr>
          <w:rFonts w:hint="eastAsia" w:ascii="宋体" w:hAnsi="宋体"/>
          <w:b/>
          <w:color w:val="auto"/>
          <w:szCs w:val="21"/>
          <w:highlight w:val="none"/>
        </w:rPr>
        <w:t>文件随报价表打包上传</w:t>
      </w:r>
      <w:r>
        <w:rPr>
          <w:rFonts w:hint="eastAsia" w:ascii="宋体" w:hAnsi="宋体"/>
          <w:b/>
          <w:color w:val="auto"/>
          <w:szCs w:val="21"/>
          <w:highlight w:val="none"/>
          <w:lang w:eastAsia="zh-CN"/>
        </w:rPr>
        <w:t>。</w:t>
      </w:r>
    </w:p>
    <w:p w14:paraId="7227B0EB">
      <w:pPr>
        <w:pStyle w:val="40"/>
        <w:ind w:left="845"/>
        <w:jc w:val="left"/>
        <w:rPr>
          <w:rFonts w:ascii="宋体"/>
          <w:color w:val="auto"/>
          <w:sz w:val="21"/>
          <w:szCs w:val="21"/>
          <w:highlight w:val="none"/>
        </w:rPr>
      </w:pPr>
    </w:p>
    <w:p w14:paraId="30BBD9C4">
      <w:pPr>
        <w:spacing w:line="440" w:lineRule="exact"/>
        <w:rPr>
          <w:rFonts w:ascii="宋体" w:hAnsi="宋体"/>
          <w:color w:val="auto"/>
          <w:highlight w:val="none"/>
        </w:rPr>
      </w:pPr>
      <w:r>
        <w:rPr>
          <w:rFonts w:hint="eastAsia" w:ascii="宋体" w:hAnsi="宋体"/>
          <w:color w:val="auto"/>
          <w:highlight w:val="none"/>
        </w:rPr>
        <w:t>说明：</w:t>
      </w:r>
    </w:p>
    <w:p w14:paraId="4FFE57A3">
      <w:pPr>
        <w:pStyle w:val="25"/>
        <w:numPr>
          <w:ilvl w:val="0"/>
          <w:numId w:val="22"/>
        </w:numPr>
        <w:autoSpaceDE w:val="0"/>
        <w:autoSpaceDN w:val="0"/>
        <w:adjustRightInd w:val="0"/>
        <w:spacing w:line="440" w:lineRule="exact"/>
        <w:ind w:firstLineChars="0"/>
        <w:jc w:val="left"/>
        <w:rPr>
          <w:rFonts w:ascii="宋体" w:hAnsi="宋体"/>
          <w:color w:val="auto"/>
          <w:szCs w:val="21"/>
          <w:highlight w:val="none"/>
        </w:rPr>
      </w:pPr>
      <w:r>
        <w:rPr>
          <w:rFonts w:hint="eastAsia" w:ascii="宋体" w:hAnsi="宋体"/>
          <w:color w:val="auto"/>
          <w:szCs w:val="21"/>
          <w:highlight w:val="none"/>
        </w:rPr>
        <w:t>供应商不得擅自删减工程量清单项目，否则被删减项目的费用视为已隐含在报价中，采购人无需再向供应商支付该部分费用。</w:t>
      </w:r>
    </w:p>
    <w:p w14:paraId="1F75EB03">
      <w:pPr>
        <w:pStyle w:val="25"/>
        <w:numPr>
          <w:ilvl w:val="0"/>
          <w:numId w:val="22"/>
        </w:numPr>
        <w:autoSpaceDE w:val="0"/>
        <w:autoSpaceDN w:val="0"/>
        <w:adjustRightInd w:val="0"/>
        <w:spacing w:line="440" w:lineRule="exact"/>
        <w:ind w:firstLineChars="0"/>
        <w:jc w:val="left"/>
        <w:rPr>
          <w:rFonts w:ascii="宋体" w:hAnsi="宋体"/>
          <w:color w:val="auto"/>
          <w:szCs w:val="21"/>
          <w:highlight w:val="none"/>
        </w:rPr>
      </w:pPr>
      <w:r>
        <w:rPr>
          <w:rFonts w:hint="eastAsia" w:ascii="宋体" w:hAnsi="宋体"/>
          <w:color w:val="auto"/>
          <w:szCs w:val="21"/>
          <w:highlight w:val="none"/>
        </w:rPr>
        <w:t>按照采购人提供的工程量清单格式进行明细报价。</w:t>
      </w:r>
    </w:p>
    <w:p w14:paraId="3271A88D">
      <w:pPr>
        <w:pStyle w:val="25"/>
        <w:numPr>
          <w:ilvl w:val="0"/>
          <w:numId w:val="22"/>
        </w:numPr>
        <w:autoSpaceDE w:val="0"/>
        <w:autoSpaceDN w:val="0"/>
        <w:adjustRightInd w:val="0"/>
        <w:spacing w:line="440" w:lineRule="exact"/>
        <w:ind w:firstLineChars="0"/>
        <w:jc w:val="left"/>
        <w:rPr>
          <w:rFonts w:hint="eastAsia" w:ascii="宋体" w:hAnsi="宋体" w:cs="宋体"/>
          <w:b/>
          <w:bCs/>
          <w:color w:val="auto"/>
          <w:sz w:val="32"/>
          <w:szCs w:val="32"/>
          <w:highlight w:val="none"/>
        </w:rPr>
        <w:sectPr>
          <w:headerReference r:id="rId5" w:type="default"/>
          <w:footerReference r:id="rId6" w:type="default"/>
          <w:pgSz w:w="11906" w:h="16838"/>
          <w:pgMar w:top="1276" w:right="1276" w:bottom="1276" w:left="1276" w:header="567" w:footer="567" w:gutter="0"/>
          <w:pgNumType w:fmt="decimal" w:start="1"/>
          <w:cols w:space="720" w:num="1"/>
          <w:docGrid w:type="linesAndChars" w:linePitch="322" w:charSpace="530"/>
        </w:sectPr>
      </w:pPr>
      <w:r>
        <w:rPr>
          <w:rFonts w:hint="eastAsia" w:ascii="宋体" w:hAnsi="宋体"/>
          <w:b/>
          <w:bCs/>
          <w:color w:val="auto"/>
          <w:szCs w:val="21"/>
          <w:highlight w:val="none"/>
          <w:u w:val="double"/>
        </w:rPr>
        <w:t>分项报价表须和报价表一起上传，否则视为无效报价</w:t>
      </w:r>
      <w:r>
        <w:rPr>
          <w:rFonts w:hint="eastAsia" w:ascii="宋体" w:hAnsi="宋体"/>
          <w:b/>
          <w:bCs/>
          <w:color w:val="auto"/>
          <w:szCs w:val="21"/>
          <w:highlight w:val="none"/>
          <w:u w:val="double"/>
          <w:lang w:eastAsia="zh-CN"/>
        </w:rPr>
        <w:t>。</w:t>
      </w:r>
    </w:p>
    <w:p w14:paraId="037E49F3">
      <w:pPr>
        <w:wordWrap w:val="0"/>
        <w:spacing w:line="360" w:lineRule="auto"/>
        <w:jc w:val="right"/>
        <w:rPr>
          <w:rFonts w:hint="eastAsia" w:ascii="宋体" w:hAnsi="宋体"/>
          <w:color w:val="auto"/>
          <w:szCs w:val="21"/>
          <w:highlight w:val="none"/>
          <w:u w:val="single"/>
        </w:rPr>
      </w:pPr>
    </w:p>
    <w:p w14:paraId="2829003D">
      <w:pPr>
        <w:pStyle w:val="25"/>
        <w:autoSpaceDE w:val="0"/>
        <w:autoSpaceDN w:val="0"/>
        <w:adjustRightInd w:val="0"/>
        <w:spacing w:line="440" w:lineRule="exact"/>
        <w:ind w:firstLine="0" w:firstLineChars="0"/>
        <w:jc w:val="left"/>
        <w:rPr>
          <w:rFonts w:ascii="Times New Roman" w:hAnsi="Times New Roman" w:eastAsia="宋体"/>
          <w:color w:val="auto"/>
          <w:highlight w:val="none"/>
        </w:rPr>
      </w:pPr>
      <w:r>
        <w:rPr>
          <w:rFonts w:ascii="Times New Roman" w:hAnsi="Times New Roman" w:eastAsia="宋体"/>
          <w:color w:val="auto"/>
          <w:highlight w:val="none"/>
        </w:rPr>
        <w:br w:type="page"/>
      </w:r>
    </w:p>
    <w:p w14:paraId="47FAF7C8">
      <w:pPr>
        <w:pStyle w:val="3"/>
        <w:keepLines w:val="0"/>
        <w:spacing w:before="0" w:after="240" w:line="360" w:lineRule="auto"/>
        <w:ind w:left="720" w:hanging="360"/>
        <w:jc w:val="center"/>
        <w:rPr>
          <w:rFonts w:ascii="Times New Roman" w:hAnsi="Times New Roman" w:eastAsia="宋体"/>
          <w:color w:val="auto"/>
          <w:highlight w:val="none"/>
        </w:rPr>
      </w:pPr>
      <w:bookmarkStart w:id="77" w:name="PO_t_用户需求书响应声明函_17"/>
      <w:r>
        <w:rPr>
          <w:rFonts w:ascii="Times New Roman" w:hAnsi="Times New Roman" w:eastAsia="宋体"/>
          <w:color w:val="auto"/>
          <w:highlight w:val="none"/>
        </w:rPr>
        <w:t>用户需求书响应声明函</w:t>
      </w:r>
      <w:bookmarkEnd w:id="77"/>
    </w:p>
    <w:p w14:paraId="02008269">
      <w:pPr>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致：交通运输部南海航海保障中心广州航标处、</w:t>
      </w:r>
      <w:r>
        <w:rPr>
          <w:rFonts w:hint="eastAsia" w:ascii="Times New Roman" w:hAnsi="Times New Roman" w:eastAsia="宋体" w:cs="Times New Roman"/>
          <w:b/>
          <w:color w:val="auto"/>
          <w:highlight w:val="none"/>
        </w:rPr>
        <w:t>采联国际招标采购集团有限公司</w:t>
      </w:r>
    </w:p>
    <w:p w14:paraId="6897A5F2">
      <w:pPr>
        <w:spacing w:line="360" w:lineRule="auto"/>
        <w:rPr>
          <w:rFonts w:ascii="Times New Roman" w:hAnsi="Times New Roman" w:eastAsia="宋体" w:cs="Times New Roman"/>
          <w:color w:val="auto"/>
          <w:highlight w:val="none"/>
          <w:lang w:val="zh-CN"/>
        </w:rPr>
      </w:pPr>
    </w:p>
    <w:p w14:paraId="1CC630C6">
      <w:pPr>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关于贵单位、贵司发布</w:t>
      </w:r>
      <w:r>
        <w:rPr>
          <w:rFonts w:hint="eastAsia" w:ascii="宋体" w:hAnsi="宋体" w:eastAsia="宋体" w:cs="Times New Roman"/>
          <w:b/>
          <w:bCs/>
          <w:color w:val="auto"/>
          <w:szCs w:val="24"/>
          <w:highlight w:val="none"/>
          <w:u w:val="single"/>
          <w:lang w:eastAsia="zh-CN"/>
        </w:rPr>
        <w:t>回旋水域清淤整治工程</w:t>
      </w:r>
      <w:r>
        <w:rPr>
          <w:rFonts w:ascii="Times New Roman" w:hAnsi="Times New Roman" w:eastAsia="宋体" w:cs="Times New Roman"/>
          <w:color w:val="auto"/>
          <w:szCs w:val="21"/>
          <w:highlight w:val="none"/>
        </w:rPr>
        <w:t>的</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公告，本公司（企业）愿意参加</w:t>
      </w:r>
      <w:r>
        <w:rPr>
          <w:rFonts w:hint="eastAsia" w:ascii="Times New Roman" w:hAnsi="Times New Roman" w:eastAsia="宋体" w:cs="Times New Roman"/>
          <w:color w:val="auto"/>
          <w:szCs w:val="21"/>
          <w:highlight w:val="none"/>
        </w:rPr>
        <w:t>比价</w:t>
      </w:r>
      <w:r>
        <w:rPr>
          <w:rFonts w:ascii="Times New Roman" w:hAnsi="Times New Roman" w:eastAsia="宋体" w:cs="Times New Roman"/>
          <w:color w:val="auto"/>
          <w:szCs w:val="21"/>
          <w:highlight w:val="none"/>
        </w:rPr>
        <w:t>活动，并作出如下声明：</w:t>
      </w:r>
    </w:p>
    <w:p w14:paraId="7A49F012">
      <w:pPr>
        <w:pStyle w:val="35"/>
        <w:tabs>
          <w:tab w:val="left" w:pos="426"/>
        </w:tabs>
        <w:snapToGrid w:val="0"/>
        <w:spacing w:line="360" w:lineRule="auto"/>
        <w:ind w:firstLineChars="0"/>
        <w:rPr>
          <w:color w:val="auto"/>
          <w:highlight w:val="none"/>
        </w:rPr>
      </w:pPr>
      <w:r>
        <w:rPr>
          <w:color w:val="auto"/>
          <w:highlight w:val="none"/>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018BE212">
      <w:pPr>
        <w:pStyle w:val="35"/>
        <w:tabs>
          <w:tab w:val="left" w:pos="426"/>
        </w:tabs>
        <w:snapToGrid w:val="0"/>
        <w:spacing w:line="360" w:lineRule="auto"/>
        <w:ind w:firstLineChars="0"/>
        <w:rPr>
          <w:color w:val="auto"/>
          <w:highlight w:val="none"/>
        </w:rPr>
      </w:pPr>
      <w:r>
        <w:rPr>
          <w:color w:val="auto"/>
          <w:highlight w:val="none"/>
        </w:rPr>
        <w:t>本公司（企业）承诺在本次采购活动中，如有违法、违规、弄虚作假行为，所造成的损失、不良后果及法律责任，一律由本公司（企业）承担。</w:t>
      </w:r>
    </w:p>
    <w:p w14:paraId="6E6C8602">
      <w:pPr>
        <w:autoSpaceDE w:val="0"/>
        <w:autoSpaceDN w:val="0"/>
        <w:adjustRightInd w:val="0"/>
        <w:spacing w:line="360" w:lineRule="auto"/>
        <w:ind w:firstLine="413" w:firstLineChars="196"/>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备注：</w:t>
      </w:r>
    </w:p>
    <w:p w14:paraId="545DE0C7">
      <w:pPr>
        <w:pStyle w:val="25"/>
        <w:numPr>
          <w:ilvl w:val="0"/>
          <w:numId w:val="23"/>
        </w:numPr>
        <w:autoSpaceDE w:val="0"/>
        <w:autoSpaceDN w:val="0"/>
        <w:adjustRightInd w:val="0"/>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本声明函必须提供且内容不得擅自删改，否则视为响应无效。</w:t>
      </w:r>
    </w:p>
    <w:p w14:paraId="308526CF">
      <w:pPr>
        <w:pStyle w:val="25"/>
        <w:numPr>
          <w:ilvl w:val="0"/>
          <w:numId w:val="23"/>
        </w:numPr>
        <w:snapToGrid w:val="0"/>
        <w:spacing w:line="360" w:lineRule="auto"/>
        <w:ind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本声明函如有虚假或与事实不符的，作无效报价处理。</w:t>
      </w:r>
    </w:p>
    <w:p w14:paraId="7F2E97FB">
      <w:pPr>
        <w:widowControl/>
        <w:spacing w:line="360" w:lineRule="auto"/>
        <w:jc w:val="left"/>
        <w:rPr>
          <w:rFonts w:ascii="Times New Roman" w:hAnsi="Times New Roman" w:eastAsia="宋体" w:cs="Times New Roman"/>
          <w:b/>
          <w:bCs/>
          <w:color w:val="auto"/>
          <w:kern w:val="0"/>
          <w:sz w:val="32"/>
          <w:szCs w:val="32"/>
          <w:highlight w:val="none"/>
        </w:rPr>
      </w:pPr>
    </w:p>
    <w:p w14:paraId="39896EA5">
      <w:pPr>
        <w:wordWrap w:val="0"/>
        <w:spacing w:line="360" w:lineRule="auto"/>
        <w:jc w:val="righ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pacing w:val="4"/>
          <w:szCs w:val="21"/>
          <w:highlight w:val="none"/>
        </w:rPr>
        <w:t>供应商名称（</w:t>
      </w:r>
      <w:r>
        <w:rPr>
          <w:rFonts w:ascii="Times New Roman" w:hAnsi="Times New Roman" w:eastAsia="宋体" w:cs="Times New Roman"/>
          <w:color w:val="auto"/>
          <w:szCs w:val="21"/>
          <w:highlight w:val="none"/>
        </w:rPr>
        <w:t>单位盖</w:t>
      </w:r>
      <w:r>
        <w:rPr>
          <w:rFonts w:ascii="Times New Roman" w:hAnsi="Times New Roman" w:eastAsia="宋体" w:cs="Times New Roman"/>
          <w:color w:val="auto"/>
          <w:spacing w:val="4"/>
          <w:szCs w:val="21"/>
          <w:highlight w:val="none"/>
        </w:rPr>
        <w:t>公章）：</w:t>
      </w:r>
      <w:r>
        <w:rPr>
          <w:rFonts w:ascii="Times New Roman" w:hAnsi="Times New Roman" w:eastAsia="宋体" w:cs="Times New Roman"/>
          <w:color w:val="auto"/>
          <w:spacing w:val="4"/>
          <w:szCs w:val="21"/>
          <w:highlight w:val="none"/>
          <w:u w:val="single"/>
        </w:rPr>
        <w:t xml:space="preserve">          </w:t>
      </w:r>
    </w:p>
    <w:p w14:paraId="68669086">
      <w:pPr>
        <w:spacing w:line="360" w:lineRule="auto"/>
        <w:ind w:firstLine="105" w:firstLineChars="50"/>
        <w:jc w:val="right"/>
        <w:rPr>
          <w:rFonts w:ascii="Times New Roman" w:hAnsi="Times New Roman" w:eastAsia="宋体" w:cs="Times New Roman"/>
          <w:color w:val="auto"/>
          <w:szCs w:val="21"/>
          <w:highlight w:val="none"/>
          <w:u w:val="single"/>
        </w:rPr>
      </w:pPr>
    </w:p>
    <w:p w14:paraId="41C343B0">
      <w:pPr>
        <w:wordWrap w:val="0"/>
        <w:spacing w:line="360" w:lineRule="auto"/>
        <w:jc w:val="righ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pacing w:val="4"/>
          <w:szCs w:val="21"/>
          <w:highlight w:val="none"/>
        </w:rPr>
        <w:t>日期：</w:t>
      </w:r>
      <w:r>
        <w:rPr>
          <w:rFonts w:ascii="Times New Roman" w:hAnsi="Times New Roman" w:eastAsia="宋体" w:cs="Times New Roman"/>
          <w:color w:val="auto"/>
          <w:spacing w:val="4"/>
          <w:szCs w:val="21"/>
          <w:highlight w:val="none"/>
          <w:u w:val="single"/>
        </w:rPr>
        <w:t xml:space="preserve">          </w:t>
      </w:r>
    </w:p>
    <w:p w14:paraId="7B089D10">
      <w:pPr>
        <w:widowControl/>
        <w:spacing w:line="360" w:lineRule="auto"/>
        <w:jc w:val="right"/>
        <w:rPr>
          <w:rFonts w:ascii="Times New Roman" w:hAnsi="Times New Roman" w:eastAsia="宋体" w:cs="Times New Roman"/>
          <w:b/>
          <w:bCs/>
          <w:color w:val="auto"/>
          <w:kern w:val="0"/>
          <w:sz w:val="32"/>
          <w:szCs w:val="32"/>
          <w:highlight w:val="none"/>
          <w:lang w:val="zh-CN"/>
        </w:rPr>
      </w:pPr>
    </w:p>
    <w:p w14:paraId="147E5EC2">
      <w:pPr>
        <w:spacing w:line="360" w:lineRule="auto"/>
        <w:rPr>
          <w:rFonts w:ascii="Times New Roman" w:hAnsi="Times New Roman" w:eastAsia="宋体" w:cs="Times New Roman"/>
          <w:color w:val="auto"/>
          <w:highlight w:val="none"/>
        </w:rPr>
      </w:pPr>
    </w:p>
    <w:p w14:paraId="4F05FA57">
      <w:pPr>
        <w:widowControl/>
        <w:spacing w:line="360" w:lineRule="auto"/>
        <w:jc w:val="left"/>
        <w:rPr>
          <w:rFonts w:ascii="Times New Roman" w:hAnsi="Times New Roman" w:eastAsia="宋体" w:cs="Times New Roman"/>
          <w:b/>
          <w:bCs/>
          <w:color w:val="auto"/>
          <w:kern w:val="0"/>
          <w:sz w:val="32"/>
          <w:szCs w:val="32"/>
          <w:highlight w:val="none"/>
          <w:lang w:val="zh-CN"/>
        </w:rPr>
      </w:pPr>
      <w:r>
        <w:rPr>
          <w:rFonts w:ascii="Times New Roman" w:hAnsi="Times New Roman" w:eastAsia="宋体" w:cs="Times New Roman"/>
          <w:color w:val="auto"/>
          <w:highlight w:val="none"/>
        </w:rPr>
        <w:br w:type="page"/>
      </w:r>
    </w:p>
    <w:p w14:paraId="3361A87C">
      <w:pPr>
        <w:pStyle w:val="3"/>
        <w:spacing w:before="0" w:after="0"/>
        <w:jc w:val="center"/>
        <w:rPr>
          <w:rFonts w:ascii="Times New Roman" w:hAnsi="Times New Roman" w:eastAsia="宋体"/>
          <w:color w:val="auto"/>
          <w:highlight w:val="none"/>
        </w:rPr>
      </w:pPr>
      <w:bookmarkStart w:id="78" w:name="PO_t_供应商资格声明函_16"/>
      <w:r>
        <w:rPr>
          <w:rFonts w:ascii="Times New Roman" w:hAnsi="Times New Roman" w:eastAsia="宋体"/>
          <w:color w:val="auto"/>
          <w:highlight w:val="none"/>
        </w:rPr>
        <w:t>供应商资格声明函</w:t>
      </w:r>
    </w:p>
    <w:bookmarkEnd w:id="78"/>
    <w:p w14:paraId="44895E76">
      <w:pPr>
        <w:rPr>
          <w:rFonts w:ascii="Times New Roman" w:hAnsi="Times New Roman" w:eastAsia="宋体" w:cs="Times New Roman"/>
          <w:b/>
          <w:color w:val="auto"/>
          <w:szCs w:val="24"/>
          <w:highlight w:val="none"/>
        </w:rPr>
      </w:pPr>
    </w:p>
    <w:p w14:paraId="64F99E4C">
      <w:pPr>
        <w:rPr>
          <w:rFonts w:ascii="Times New Roman" w:hAnsi="Times New Roman" w:eastAsia="宋体" w:cs="Times New Roman"/>
          <w:b/>
          <w:color w:val="auto"/>
          <w:szCs w:val="24"/>
          <w:highlight w:val="none"/>
        </w:rPr>
      </w:pPr>
      <w:r>
        <w:rPr>
          <w:rFonts w:ascii="Times New Roman" w:hAnsi="Times New Roman" w:eastAsia="宋体" w:cs="Times New Roman"/>
          <w:b/>
          <w:color w:val="auto"/>
          <w:szCs w:val="21"/>
          <w:highlight w:val="none"/>
        </w:rPr>
        <w:t>致：</w:t>
      </w:r>
      <w:r>
        <w:rPr>
          <w:rFonts w:ascii="Times New Roman" w:hAnsi="Times New Roman" w:eastAsia="宋体" w:cs="Times New Roman"/>
          <w:b/>
          <w:color w:val="auto"/>
          <w:szCs w:val="24"/>
          <w:highlight w:val="none"/>
        </w:rPr>
        <w:t>交通运输部南海航海保障中心广州航标处、</w:t>
      </w:r>
      <w:r>
        <w:rPr>
          <w:rFonts w:hint="eastAsia" w:ascii="Times New Roman" w:hAnsi="Times New Roman" w:eastAsia="宋体" w:cs="Times New Roman"/>
          <w:b/>
          <w:color w:val="auto"/>
          <w:highlight w:val="none"/>
        </w:rPr>
        <w:t>采联国际招标采购集团有限公司</w:t>
      </w:r>
      <w:r>
        <w:rPr>
          <w:rFonts w:ascii="Times New Roman" w:hAnsi="Times New Roman" w:eastAsia="宋体" w:cs="Times New Roman"/>
          <w:b/>
          <w:color w:val="auto"/>
          <w:szCs w:val="24"/>
          <w:highlight w:val="none"/>
        </w:rPr>
        <w:t>：</w:t>
      </w:r>
    </w:p>
    <w:p w14:paraId="573AA3BF">
      <w:pPr>
        <w:rPr>
          <w:rFonts w:ascii="Times New Roman" w:hAnsi="Times New Roman" w:eastAsia="宋体" w:cs="Times New Roman"/>
          <w:b/>
          <w:color w:val="auto"/>
          <w:szCs w:val="24"/>
          <w:highlight w:val="none"/>
        </w:rPr>
      </w:pPr>
    </w:p>
    <w:p w14:paraId="7FA8C3EE">
      <w:pPr>
        <w:snapToGrid w:val="0"/>
        <w:spacing w:line="360" w:lineRule="auto"/>
        <w:ind w:firstLine="424" w:firstLineChars="202"/>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关于贵单位、贵司发布</w:t>
      </w:r>
      <w:r>
        <w:rPr>
          <w:rFonts w:hint="eastAsia" w:ascii="宋体" w:hAnsi="宋体" w:eastAsia="宋体" w:cs="Times New Roman"/>
          <w:b/>
          <w:bCs/>
          <w:color w:val="auto"/>
          <w:szCs w:val="24"/>
          <w:highlight w:val="none"/>
          <w:u w:val="single"/>
          <w:lang w:eastAsia="zh-CN"/>
        </w:rPr>
        <w:t>回旋水域清淤整治工程</w:t>
      </w:r>
      <w:r>
        <w:rPr>
          <w:rFonts w:ascii="Times New Roman" w:hAnsi="Times New Roman" w:eastAsia="宋体" w:cs="Times New Roman"/>
          <w:color w:val="auto"/>
          <w:szCs w:val="24"/>
          <w:highlight w:val="none"/>
        </w:rPr>
        <w:t>的</w:t>
      </w:r>
      <w:r>
        <w:rPr>
          <w:rFonts w:hint="eastAsia" w:ascii="Times New Roman" w:hAnsi="Times New Roman" w:eastAsia="宋体" w:cs="Times New Roman"/>
          <w:color w:val="auto"/>
          <w:szCs w:val="24"/>
          <w:highlight w:val="none"/>
        </w:rPr>
        <w:t>比价</w:t>
      </w:r>
      <w:r>
        <w:rPr>
          <w:rFonts w:ascii="Times New Roman" w:hAnsi="Times New Roman" w:eastAsia="宋体" w:cs="Times New Roman"/>
          <w:color w:val="auto"/>
          <w:szCs w:val="24"/>
          <w:highlight w:val="none"/>
        </w:rPr>
        <w:t>公告，本公司（企业）愿意参加</w:t>
      </w:r>
      <w:r>
        <w:rPr>
          <w:rFonts w:hint="eastAsia" w:ascii="Times New Roman" w:hAnsi="Times New Roman" w:eastAsia="宋体" w:cs="Times New Roman"/>
          <w:color w:val="auto"/>
          <w:szCs w:val="24"/>
          <w:highlight w:val="none"/>
        </w:rPr>
        <w:t>比价</w:t>
      </w:r>
      <w:r>
        <w:rPr>
          <w:rFonts w:ascii="Times New Roman" w:hAnsi="Times New Roman" w:eastAsia="宋体" w:cs="Times New Roman"/>
          <w:color w:val="auto"/>
          <w:szCs w:val="24"/>
          <w:highlight w:val="none"/>
        </w:rPr>
        <w:t>活动，并作出如下声明：</w:t>
      </w:r>
    </w:p>
    <w:p w14:paraId="087170BC">
      <w:pPr>
        <w:snapToGrid w:val="0"/>
        <w:spacing w:line="360" w:lineRule="auto"/>
        <w:ind w:firstLine="420" w:firstLineChars="200"/>
        <w:rPr>
          <w:rFonts w:ascii="Times New Roman" w:hAnsi="Times New Roman" w:eastAsia="宋体" w:cs="Times New Roman"/>
          <w:bCs/>
          <w:color w:val="auto"/>
          <w:szCs w:val="20"/>
          <w:highlight w:val="none"/>
        </w:rPr>
      </w:pPr>
      <w:r>
        <w:rPr>
          <w:rFonts w:ascii="Times New Roman" w:hAnsi="Times New Roman" w:eastAsia="宋体" w:cs="Times New Roman"/>
          <w:color w:val="auto"/>
          <w:szCs w:val="24"/>
          <w:highlight w:val="none"/>
        </w:rPr>
        <w:t>一、本公司（企业）</w:t>
      </w:r>
      <w:r>
        <w:rPr>
          <w:rFonts w:ascii="Times New Roman" w:hAnsi="Times New Roman" w:eastAsia="宋体" w:cs="Times New Roman"/>
          <w:bCs/>
          <w:color w:val="auto"/>
          <w:szCs w:val="20"/>
          <w:highlight w:val="none"/>
        </w:rPr>
        <w:t>具备《中华人民共和国政府采购法》第二十二条规定的条件：</w:t>
      </w:r>
    </w:p>
    <w:p w14:paraId="02FE85BC">
      <w:pPr>
        <w:widowControl/>
        <w:spacing w:line="360" w:lineRule="auto"/>
        <w:ind w:firstLine="36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（一）具有独立承担民事责任的能力；</w:t>
      </w:r>
    </w:p>
    <w:p w14:paraId="795D41EE">
      <w:pPr>
        <w:widowControl/>
        <w:spacing w:line="360" w:lineRule="auto"/>
        <w:ind w:firstLine="36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（二）具有良好的商业信誉和健全的财务会计制度； </w:t>
      </w:r>
    </w:p>
    <w:p w14:paraId="09B72FFE">
      <w:pPr>
        <w:widowControl/>
        <w:spacing w:line="360" w:lineRule="auto"/>
        <w:ind w:firstLine="36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（三）具有履行合同所必需的</w:t>
      </w:r>
      <w:r>
        <w:rPr>
          <w:rFonts w:hint="eastAsia" w:ascii="Times New Roman" w:hAnsi="Times New Roman" w:eastAsia="宋体" w:cs="Times New Roman"/>
          <w:color w:val="auto"/>
          <w:kern w:val="0"/>
          <w:szCs w:val="21"/>
          <w:highlight w:val="none"/>
        </w:rPr>
        <w:t>货物</w:t>
      </w:r>
      <w:r>
        <w:rPr>
          <w:rFonts w:ascii="Times New Roman" w:hAnsi="Times New Roman" w:eastAsia="宋体" w:cs="Times New Roman"/>
          <w:color w:val="auto"/>
          <w:kern w:val="0"/>
          <w:szCs w:val="21"/>
          <w:highlight w:val="none"/>
        </w:rPr>
        <w:t>和专业技术能力；</w:t>
      </w:r>
    </w:p>
    <w:p w14:paraId="53B8D64C">
      <w:pPr>
        <w:widowControl/>
        <w:spacing w:line="360" w:lineRule="auto"/>
        <w:ind w:firstLine="36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（四）有依法缴纳税收和社会保障资金的良好记录；</w:t>
      </w:r>
    </w:p>
    <w:p w14:paraId="75021632">
      <w:pPr>
        <w:widowControl/>
        <w:spacing w:line="360" w:lineRule="auto"/>
        <w:ind w:firstLine="36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（五）参加政府采购活动前三年内，在经营活动中没有重大违法记录；</w:t>
      </w:r>
    </w:p>
    <w:p w14:paraId="6C1A6E47">
      <w:pPr>
        <w:widowControl/>
        <w:spacing w:line="360" w:lineRule="auto"/>
        <w:ind w:firstLine="36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（六）法律、行政法规规定的其他条件。</w:t>
      </w:r>
    </w:p>
    <w:p w14:paraId="4D058C35">
      <w:pPr>
        <w:snapToGrid w:val="0"/>
        <w:spacing w:line="360" w:lineRule="auto"/>
        <w:ind w:firstLine="424" w:firstLineChars="202"/>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二、本公司（企业）具有本次采购项目服务能力。</w:t>
      </w:r>
    </w:p>
    <w:p w14:paraId="68E0B52D">
      <w:pPr>
        <w:snapToGrid w:val="0"/>
        <w:spacing w:line="360" w:lineRule="auto"/>
        <w:ind w:firstLine="424" w:firstLineChars="202"/>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三、本公司（企业）有固定的经营场所，信誉良好、售后维护服务好，并且在经营活动中无严重违法记录。</w:t>
      </w:r>
    </w:p>
    <w:p w14:paraId="0F937D15">
      <w:pPr>
        <w:snapToGrid w:val="0"/>
        <w:spacing w:line="360" w:lineRule="auto"/>
        <w:ind w:firstLine="424" w:firstLineChars="202"/>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四、本公司（企业）没有为采购项目同一合同项下提供整体设计、规范编制或者项目管理、监理、检测等服务。</w:t>
      </w:r>
    </w:p>
    <w:p w14:paraId="28323A2A">
      <w:pPr>
        <w:snapToGrid w:val="0"/>
        <w:spacing w:line="360" w:lineRule="auto"/>
        <w:ind w:firstLine="424" w:firstLineChars="202"/>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五、本公司（企业）的法定代表人或单位负责人与所参</w:t>
      </w:r>
      <w:r>
        <w:rPr>
          <w:rFonts w:hint="eastAsia" w:ascii="Times New Roman" w:hAnsi="Times New Roman" w:eastAsia="宋体" w:cs="Times New Roman"/>
          <w:color w:val="auto"/>
          <w:szCs w:val="24"/>
          <w:highlight w:val="none"/>
        </w:rPr>
        <w:t>与</w:t>
      </w:r>
      <w:r>
        <w:rPr>
          <w:rFonts w:ascii="Times New Roman" w:hAnsi="Times New Roman" w:eastAsia="宋体" w:cs="Times New Roman"/>
          <w:color w:val="auto"/>
          <w:szCs w:val="24"/>
          <w:highlight w:val="none"/>
        </w:rPr>
        <w:t>的本项目其他供应商的法定代表人或单位负责人不为同一人且与其他供应商之间不存在直接控股、管理关系。</w:t>
      </w:r>
    </w:p>
    <w:p w14:paraId="29EE2531">
      <w:pPr>
        <w:snapToGrid w:val="0"/>
        <w:spacing w:line="360" w:lineRule="auto"/>
        <w:ind w:firstLine="424" w:firstLineChars="202"/>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六</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本公司（企业）</w:t>
      </w:r>
      <w:r>
        <w:rPr>
          <w:rFonts w:hint="eastAsia" w:ascii="宋体" w:hAnsi="宋体"/>
          <w:color w:val="auto"/>
          <w:highlight w:val="none"/>
        </w:rPr>
        <w:t>在本项目中不转包且不联合比价。</w:t>
      </w:r>
    </w:p>
    <w:p w14:paraId="30158AAA">
      <w:pPr>
        <w:snapToGrid w:val="0"/>
        <w:spacing w:line="360" w:lineRule="auto"/>
        <w:ind w:firstLine="424" w:firstLineChars="202"/>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本公司（企业）承诺在本次采购活动中，如有违法、违规</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4"/>
          <w:highlight w:val="none"/>
        </w:rPr>
        <w:t>弄虚作假行为，所造成的损失、不良后果及法律责任，一律由</w:t>
      </w:r>
      <w:r>
        <w:rPr>
          <w:color w:val="auto"/>
          <w:highlight w:val="none"/>
        </w:rPr>
        <w:t>本公司（企业）</w:t>
      </w:r>
      <w:r>
        <w:rPr>
          <w:rFonts w:ascii="Times New Roman" w:hAnsi="Times New Roman" w:eastAsia="宋体" w:cs="Times New Roman"/>
          <w:color w:val="auto"/>
          <w:szCs w:val="24"/>
          <w:highlight w:val="none"/>
        </w:rPr>
        <w:t>承担。</w:t>
      </w:r>
    </w:p>
    <w:p w14:paraId="457568A2">
      <w:pPr>
        <w:spacing w:line="360" w:lineRule="auto"/>
        <w:ind w:firstLine="42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特此声明！</w:t>
      </w:r>
    </w:p>
    <w:p w14:paraId="443BF6A1">
      <w:pPr>
        <w:autoSpaceDE w:val="0"/>
        <w:autoSpaceDN w:val="0"/>
        <w:adjustRightInd w:val="0"/>
        <w:spacing w:line="360" w:lineRule="auto"/>
        <w:ind w:firstLine="413" w:firstLineChars="196"/>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备注：</w:t>
      </w:r>
    </w:p>
    <w:p w14:paraId="4B7147EB">
      <w:pPr>
        <w:pStyle w:val="25"/>
        <w:numPr>
          <w:ilvl w:val="0"/>
          <w:numId w:val="24"/>
        </w:numPr>
        <w:autoSpaceDE w:val="0"/>
        <w:autoSpaceDN w:val="0"/>
        <w:adjustRightInd w:val="0"/>
        <w:spacing w:line="360" w:lineRule="auto"/>
        <w:ind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本声明函必须提供且内容不得擅自删改，否则视为响应无效。</w:t>
      </w:r>
    </w:p>
    <w:p w14:paraId="53E0DC82">
      <w:pPr>
        <w:pStyle w:val="25"/>
        <w:numPr>
          <w:ilvl w:val="0"/>
          <w:numId w:val="24"/>
        </w:numPr>
        <w:snapToGrid w:val="0"/>
        <w:spacing w:line="360" w:lineRule="auto"/>
        <w:ind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本声明函如有虚假或与事实不符的，作无效报价处理。</w:t>
      </w:r>
    </w:p>
    <w:p w14:paraId="747854C5">
      <w:pPr>
        <w:widowControl/>
        <w:spacing w:line="360" w:lineRule="auto"/>
        <w:ind w:left="840"/>
        <w:jc w:val="left"/>
        <w:rPr>
          <w:rFonts w:ascii="Times New Roman" w:hAnsi="Times New Roman" w:eastAsia="宋体" w:cs="Times New Roman"/>
          <w:b/>
          <w:bCs/>
          <w:color w:val="auto"/>
          <w:kern w:val="0"/>
          <w:sz w:val="32"/>
          <w:szCs w:val="32"/>
          <w:highlight w:val="none"/>
        </w:rPr>
      </w:pPr>
    </w:p>
    <w:p w14:paraId="4758F8D6">
      <w:pPr>
        <w:pStyle w:val="25"/>
        <w:wordWrap w:val="0"/>
        <w:spacing w:line="360" w:lineRule="auto"/>
        <w:ind w:left="1200" w:right="218" w:firstLine="0" w:firstLineChars="0"/>
        <w:jc w:val="righ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pacing w:val="4"/>
          <w:szCs w:val="21"/>
          <w:highlight w:val="none"/>
        </w:rPr>
        <w:t>供应商名称（</w:t>
      </w:r>
      <w:r>
        <w:rPr>
          <w:rFonts w:ascii="Times New Roman" w:hAnsi="Times New Roman" w:eastAsia="宋体" w:cs="Times New Roman"/>
          <w:color w:val="auto"/>
          <w:szCs w:val="21"/>
          <w:highlight w:val="none"/>
        </w:rPr>
        <w:t>单位盖</w:t>
      </w:r>
      <w:r>
        <w:rPr>
          <w:rFonts w:ascii="Times New Roman" w:hAnsi="Times New Roman" w:eastAsia="宋体" w:cs="Times New Roman"/>
          <w:color w:val="auto"/>
          <w:spacing w:val="4"/>
          <w:szCs w:val="21"/>
          <w:highlight w:val="none"/>
        </w:rPr>
        <w:t>公章）：</w:t>
      </w:r>
      <w:r>
        <w:rPr>
          <w:rFonts w:ascii="Times New Roman" w:hAnsi="Times New Roman" w:eastAsia="宋体" w:cs="Times New Roman"/>
          <w:color w:val="auto"/>
          <w:spacing w:val="4"/>
          <w:szCs w:val="21"/>
          <w:highlight w:val="none"/>
          <w:u w:val="single"/>
        </w:rPr>
        <w:t xml:space="preserve">          </w:t>
      </w:r>
    </w:p>
    <w:p w14:paraId="3B4EF98B">
      <w:pPr>
        <w:pStyle w:val="25"/>
        <w:spacing w:line="360" w:lineRule="auto"/>
        <w:ind w:left="1200" w:right="210" w:firstLine="0" w:firstLineChars="0"/>
        <w:jc w:val="right"/>
        <w:rPr>
          <w:rFonts w:ascii="Times New Roman" w:hAnsi="Times New Roman" w:eastAsia="宋体" w:cs="Times New Roman"/>
          <w:color w:val="auto"/>
          <w:szCs w:val="21"/>
          <w:highlight w:val="none"/>
          <w:u w:val="single"/>
        </w:rPr>
      </w:pPr>
    </w:p>
    <w:p w14:paraId="5FC80E21">
      <w:pPr>
        <w:wordWrap w:val="0"/>
        <w:spacing w:line="360" w:lineRule="auto"/>
        <w:ind w:left="840"/>
        <w:jc w:val="right"/>
        <w:rPr>
          <w:rFonts w:ascii="Times New Roman" w:hAnsi="Times New Roman" w:eastAsia="宋体" w:cs="Times New Roman"/>
          <w:color w:val="auto"/>
          <w:spacing w:val="4"/>
          <w:szCs w:val="21"/>
          <w:highlight w:val="none"/>
          <w:u w:val="single"/>
        </w:rPr>
      </w:pPr>
      <w:r>
        <w:rPr>
          <w:rFonts w:ascii="Times New Roman" w:hAnsi="Times New Roman" w:eastAsia="宋体" w:cs="Times New Roman"/>
          <w:color w:val="auto"/>
          <w:spacing w:val="4"/>
          <w:szCs w:val="21"/>
          <w:highlight w:val="none"/>
        </w:rPr>
        <w:t>日期：</w:t>
      </w:r>
      <w:r>
        <w:rPr>
          <w:rFonts w:ascii="Times New Roman" w:hAnsi="Times New Roman" w:eastAsia="宋体" w:cs="Times New Roman"/>
          <w:color w:val="auto"/>
          <w:spacing w:val="4"/>
          <w:szCs w:val="21"/>
          <w:highlight w:val="none"/>
          <w:u w:val="single"/>
        </w:rPr>
        <w:t xml:space="preserve">          </w:t>
      </w:r>
    </w:p>
    <w:p w14:paraId="18D2F084">
      <w:pPr>
        <w:rPr>
          <w:rFonts w:ascii="Times New Roman" w:hAnsi="Times New Roman" w:eastAsia="宋体" w:cs="Times New Roman"/>
          <w:color w:val="auto"/>
          <w:highlight w:val="none"/>
        </w:rPr>
      </w:pPr>
    </w:p>
    <w:bookmarkEnd w:id="79"/>
    <w:sectPr>
      <w:footerReference r:id="rId9" w:type="first"/>
      <w:headerReference r:id="rId7" w:type="default"/>
      <w:footerReference r:id="rId8"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0193">
    <w:pPr>
      <w:pStyle w:val="10"/>
      <w:jc w:val="center"/>
    </w:pPr>
  </w:p>
  <w:p w14:paraId="07211DA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00D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D3F3F">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5D3F3F">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1BC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7F91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8BD4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C18BD4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734A">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02DC">
    <w:pPr>
      <w:pStyle w:val="11"/>
      <w:pBdr>
        <w:bottom w:val="single" w:color="auto" w:sz="4" w:space="1"/>
      </w:pBdr>
      <w:jc w:val="left"/>
    </w:pPr>
    <w:r>
      <w:rPr>
        <w:rFonts w:ascii="黑体" w:hAnsi="黑体" w:eastAsia="黑体"/>
        <w:b/>
        <w:bCs/>
        <w:sz w:val="72"/>
        <w:szCs w:val="72"/>
      </w:rPr>
      <w:drawing>
        <wp:inline distT="0" distB="0" distL="114300" distR="114300">
          <wp:extent cx="1390650" cy="647065"/>
          <wp:effectExtent l="0" t="0" r="0" b="635"/>
          <wp:docPr id="1" name="图片 1" descr="1554773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54773602(1)"/>
                  <pic:cNvPicPr>
                    <a:picLocks noChangeAspect="1"/>
                  </pic:cNvPicPr>
                </pic:nvPicPr>
                <pic:blipFill>
                  <a:blip r:embed="rId1"/>
                  <a:stretch>
                    <a:fillRect/>
                  </a:stretch>
                </pic:blipFill>
                <pic:spPr>
                  <a:xfrm>
                    <a:off x="0" y="0"/>
                    <a:ext cx="1390650" cy="6470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E431E">
    <w:pPr>
      <w:pStyle w:val="11"/>
      <w:pBdr>
        <w:bottom w:val="none" w:color="auto" w:sz="0" w:space="0"/>
      </w:pBdr>
      <w:tabs>
        <w:tab w:val="left" w:pos="4200"/>
        <w:tab w:val="clear" w:pos="8306"/>
      </w:tabs>
      <w:jc w:val="left"/>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3FA3F"/>
    <w:multiLevelType w:val="multilevel"/>
    <w:tmpl w:val="92F3FA3F"/>
    <w:lvl w:ilvl="0" w:tentative="0">
      <w:start w:val="1"/>
      <w:numFmt w:val="decimal"/>
      <w:suff w:val="nothing"/>
      <w:lvlText w:val="%1)"/>
      <w:lvlJc w:val="left"/>
      <w:pPr>
        <w:ind w:left="840" w:hanging="420"/>
      </w:pPr>
      <w:rPr>
        <w:rFonts w:hint="default" w:ascii="宋体" w:hAnsi="宋体" w:eastAsia="宋体"/>
        <w:sz w:val="21"/>
        <w:szCs w:val="21"/>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
    <w:nsid w:val="FBFFF3A2"/>
    <w:multiLevelType w:val="singleLevel"/>
    <w:tmpl w:val="FBFFF3A2"/>
    <w:lvl w:ilvl="0" w:tentative="0">
      <w:start w:val="1"/>
      <w:numFmt w:val="decimal"/>
      <w:suff w:val="nothing"/>
      <w:lvlText w:val="%1、"/>
      <w:lvlJc w:val="left"/>
    </w:lvl>
  </w:abstractNum>
  <w:abstractNum w:abstractNumId="2">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34"/>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19FA063"/>
    <w:multiLevelType w:val="singleLevel"/>
    <w:tmpl w:val="019FA063"/>
    <w:lvl w:ilvl="0" w:tentative="0">
      <w:start w:val="2"/>
      <w:numFmt w:val="chineseCounting"/>
      <w:suff w:val="nothing"/>
      <w:lvlText w:val="%1、"/>
      <w:lvlJc w:val="left"/>
      <w:rPr>
        <w:rFonts w:hint="eastAsia"/>
      </w:rPr>
    </w:lvl>
  </w:abstractNum>
  <w:abstractNum w:abstractNumId="4">
    <w:nsid w:val="03DD5FD5"/>
    <w:multiLevelType w:val="multilevel"/>
    <w:tmpl w:val="03DD5FD5"/>
    <w:lvl w:ilvl="0" w:tentative="0">
      <w:start w:val="1"/>
      <w:numFmt w:val="decimal"/>
      <w:suff w:val="nothing"/>
      <w:lvlText w:val="%1)"/>
      <w:lvlJc w:val="left"/>
      <w:pPr>
        <w:ind w:left="840" w:hanging="420"/>
      </w:pPr>
      <w:rPr>
        <w:rFonts w:hint="eastAsia" w:asciiTheme="minorEastAsia" w:hAnsiTheme="minorEastAsia" w:eastAsiaTheme="minor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125214F2"/>
    <w:multiLevelType w:val="multilevel"/>
    <w:tmpl w:val="125214F2"/>
    <w:lvl w:ilvl="0" w:tentative="0">
      <w:start w:val="1"/>
      <w:numFmt w:val="decimal"/>
      <w:suff w:val="nothing"/>
      <w:lvlText w:val="%1)"/>
      <w:lvlJc w:val="left"/>
      <w:pPr>
        <w:ind w:left="840" w:hanging="420"/>
      </w:pPr>
      <w:rPr>
        <w:rFonts w:hint="eastAsia" w:asciiTheme="minorEastAsia" w:hAnsiTheme="minorEastAsia" w:eastAsiaTheme="minorEastAsia"/>
        <w:color w:val="auto"/>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140A6B21"/>
    <w:multiLevelType w:val="multilevel"/>
    <w:tmpl w:val="140A6B21"/>
    <w:lvl w:ilvl="0" w:tentative="0">
      <w:start w:val="1"/>
      <w:numFmt w:val="decimal"/>
      <w:suff w:val="nothing"/>
      <w:lvlText w:val="%1)"/>
      <w:lvlJc w:val="left"/>
      <w:pPr>
        <w:ind w:left="420" w:hanging="420"/>
      </w:pPr>
      <w:rPr>
        <w:rFonts w:hint="eastAsia" w:asciiTheme="minorEastAsia" w:hAnsiTheme="minorEastAsia" w:eastAsiaTheme="minor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27D41A0"/>
    <w:multiLevelType w:val="multilevel"/>
    <w:tmpl w:val="227D41A0"/>
    <w:lvl w:ilvl="0" w:tentative="0">
      <w:start w:val="1"/>
      <w:numFmt w:val="decimal"/>
      <w:suff w:val="nothing"/>
      <w:lvlText w:val="%1)"/>
      <w:lvlJc w:val="left"/>
      <w:pPr>
        <w:ind w:left="840" w:hanging="420"/>
      </w:pPr>
      <w:rPr>
        <w:rFonts w:hint="default" w:ascii="宋体" w:hAnsi="宋体" w:eastAsia="宋体"/>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25AC778E"/>
    <w:multiLevelType w:val="multilevel"/>
    <w:tmpl w:val="25AC778E"/>
    <w:lvl w:ilvl="0" w:tentative="0">
      <w:start w:val="1"/>
      <w:numFmt w:val="chineseCountingThousand"/>
      <w:suff w:val="nothing"/>
      <w:lvlText w:val="%1、"/>
      <w:lvlJc w:val="left"/>
      <w:pPr>
        <w:ind w:left="420" w:hanging="420"/>
      </w:pPr>
      <w:rPr>
        <w:rFonts w:hint="eastAsia" w:ascii="宋体" w:hAnsi="宋体" w:eastAsia="宋体" w:cs="宋体"/>
        <w:b/>
        <w:sz w:val="21"/>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28BA236C"/>
    <w:multiLevelType w:val="multilevel"/>
    <w:tmpl w:val="28BA236C"/>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asciiTheme="minorEastAsia" w:hAnsiTheme="minorEastAsia" w:eastAsia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1">
    <w:nsid w:val="34433F59"/>
    <w:multiLevelType w:val="multilevel"/>
    <w:tmpl w:val="34433F59"/>
    <w:lvl w:ilvl="0" w:tentative="0">
      <w:start w:val="1"/>
      <w:numFmt w:val="decimal"/>
      <w:suff w:val="nothing"/>
      <w:lvlText w:val="%1."/>
      <w:lvlJc w:val="left"/>
      <w:pPr>
        <w:ind w:left="420" w:hanging="420"/>
      </w:pPr>
      <w:rPr>
        <w:rFonts w:hint="eastAsia"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E44964"/>
    <w:multiLevelType w:val="multilevel"/>
    <w:tmpl w:val="3CE44964"/>
    <w:lvl w:ilvl="0" w:tentative="0">
      <w:start w:val="1"/>
      <w:numFmt w:val="decimal"/>
      <w:suff w:val="nothing"/>
      <w:lvlText w:val="%1)"/>
      <w:lvlJc w:val="left"/>
      <w:pPr>
        <w:ind w:left="840" w:hanging="420"/>
      </w:pPr>
      <w:rPr>
        <w:rFonts w:hint="eastAsia" w:asciiTheme="minorEastAsia" w:hAnsiTheme="minorEastAsia" w:eastAsiaTheme="minor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D34215B"/>
    <w:multiLevelType w:val="multilevel"/>
    <w:tmpl w:val="3D34215B"/>
    <w:lvl w:ilvl="0" w:tentative="0">
      <w:start w:val="2"/>
      <w:numFmt w:val="chineseCountingThousand"/>
      <w:lvlText w:val="%1、"/>
      <w:lvlJc w:val="left"/>
      <w:pPr>
        <w:tabs>
          <w:tab w:val="left" w:pos="420"/>
        </w:tabs>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asciiTheme="minorEastAsia" w:hAnsiTheme="minorEastAsia" w:eastAsia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CE23F7C"/>
    <w:multiLevelType w:val="multilevel"/>
    <w:tmpl w:val="4CE23F7C"/>
    <w:lvl w:ilvl="0" w:tentative="0">
      <w:start w:val="1"/>
      <w:numFmt w:val="decimal"/>
      <w:lvlText w:val="(%1)"/>
      <w:lvlJc w:val="left"/>
      <w:pPr>
        <w:tabs>
          <w:tab w:val="left" w:pos="1200"/>
        </w:tabs>
        <w:ind w:left="1200" w:hanging="360"/>
      </w:pPr>
      <w:rPr>
        <w:rFonts w:hint="default" w:asciiTheme="minorEastAsia" w:hAnsiTheme="minorEastAsia" w:eastAsiaTheme="minorEastAsia"/>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7">
    <w:nsid w:val="4D006620"/>
    <w:multiLevelType w:val="singleLevel"/>
    <w:tmpl w:val="4D006620"/>
    <w:lvl w:ilvl="0" w:tentative="0">
      <w:start w:val="1"/>
      <w:numFmt w:val="decimal"/>
      <w:suff w:val="nothing"/>
      <w:lvlText w:val="%1."/>
      <w:lvlJc w:val="left"/>
      <w:pPr>
        <w:ind w:left="425" w:hanging="425"/>
      </w:pPr>
      <w:rPr>
        <w:rFonts w:hint="default" w:ascii="宋体" w:hAnsi="宋体" w:eastAsia="宋体" w:cs="宋体"/>
        <w:sz w:val="21"/>
        <w:szCs w:val="21"/>
      </w:rPr>
    </w:lvl>
  </w:abstractNum>
  <w:abstractNum w:abstractNumId="18">
    <w:nsid w:val="53DC66C2"/>
    <w:multiLevelType w:val="multilevel"/>
    <w:tmpl w:val="53DC66C2"/>
    <w:lvl w:ilvl="0" w:tentative="0">
      <w:start w:val="1"/>
      <w:numFmt w:val="decimal"/>
      <w:suff w:val="nothing"/>
      <w:lvlText w:val="%1)"/>
      <w:lvlJc w:val="left"/>
      <w:pPr>
        <w:ind w:left="840" w:hanging="420"/>
      </w:pPr>
      <w:rPr>
        <w:rFonts w:hint="default" w:ascii="宋体" w:hAnsi="宋体" w:eastAsia="宋体"/>
        <w:sz w:val="21"/>
        <w:szCs w:val="21"/>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9">
    <w:nsid w:val="56890EBB"/>
    <w:multiLevelType w:val="multilevel"/>
    <w:tmpl w:val="56890EBB"/>
    <w:lvl w:ilvl="0" w:tentative="0">
      <w:start w:val="1"/>
      <w:numFmt w:val="decimal"/>
      <w:lvlText w:val="%1)"/>
      <w:lvlJc w:val="left"/>
      <w:pPr>
        <w:ind w:left="420" w:hanging="420"/>
      </w:pPr>
      <w:rPr>
        <w:rFonts w:hint="default" w:ascii="宋体" w:hAnsi="宋体" w:eastAsia="宋体" w:cs="宋体"/>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9794862"/>
    <w:multiLevelType w:val="multilevel"/>
    <w:tmpl w:val="59794862"/>
    <w:lvl w:ilvl="0" w:tentative="0">
      <w:start w:val="1"/>
      <w:numFmt w:val="decimal"/>
      <w:suff w:val="nothing"/>
      <w:lvlText w:val="%1)"/>
      <w:lvlJc w:val="left"/>
      <w:pPr>
        <w:ind w:left="840" w:hanging="420"/>
      </w:pPr>
      <w:rPr>
        <w:rFonts w:hint="eastAsia" w:asciiTheme="minorEastAsia" w:hAnsiTheme="minorEastAsia" w:eastAsiaTheme="minor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63784A10"/>
    <w:multiLevelType w:val="multilevel"/>
    <w:tmpl w:val="63784A10"/>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56D6133"/>
    <w:multiLevelType w:val="multilevel"/>
    <w:tmpl w:val="656D6133"/>
    <w:lvl w:ilvl="0" w:tentative="0">
      <w:start w:val="1"/>
      <w:numFmt w:val="chineseCountingThousand"/>
      <w:pStyle w:val="2"/>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3">
    <w:nsid w:val="6572B90C"/>
    <w:multiLevelType w:val="multilevel"/>
    <w:tmpl w:val="6572B90C"/>
    <w:lvl w:ilvl="0" w:tentative="0">
      <w:start w:val="1"/>
      <w:numFmt w:val="decimal"/>
      <w:lvlText w:val="%1."/>
      <w:lvlJc w:val="left"/>
      <w:pPr>
        <w:ind w:left="420" w:hanging="420"/>
      </w:pPr>
      <w:rPr>
        <w:rFonts w:hint="default" w:ascii="宋体" w:hAnsi="宋体" w:eastAsia="宋体" w:cs="宋体"/>
        <w:sz w:val="21"/>
        <w:szCs w:val="21"/>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2"/>
  </w:num>
  <w:num w:numId="3">
    <w:abstractNumId w:val="3"/>
  </w:num>
  <w:num w:numId="4">
    <w:abstractNumId w:val="17"/>
  </w:num>
  <w:num w:numId="5">
    <w:abstractNumId w:val="21"/>
  </w:num>
  <w:num w:numId="6">
    <w:abstractNumId w:val="11"/>
  </w:num>
  <w:num w:numId="7">
    <w:abstractNumId w:val="12"/>
  </w:num>
  <w:num w:numId="8">
    <w:abstractNumId w:val="18"/>
  </w:num>
  <w:num w:numId="9">
    <w:abstractNumId w:val="0"/>
  </w:num>
  <w:num w:numId="10">
    <w:abstractNumId w:val="20"/>
  </w:num>
  <w:num w:numId="11">
    <w:abstractNumId w:val="4"/>
  </w:num>
  <w:num w:numId="12">
    <w:abstractNumId w:val="5"/>
  </w:num>
  <w:num w:numId="13">
    <w:abstractNumId w:val="14"/>
  </w:num>
  <w:num w:numId="14">
    <w:abstractNumId w:val="6"/>
  </w:num>
  <w:num w:numId="15">
    <w:abstractNumId w:val="9"/>
  </w:num>
  <w:num w:numId="16">
    <w:abstractNumId w:val="7"/>
  </w:num>
  <w:num w:numId="17">
    <w:abstractNumId w:val="15"/>
  </w:num>
  <w:num w:numId="18">
    <w:abstractNumId w:val="8"/>
  </w:num>
  <w:num w:numId="19">
    <w:abstractNumId w:val="13"/>
  </w:num>
  <w:num w:numId="20">
    <w:abstractNumId w:val="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iMzM3MzE3ZjRkN2VmNDQ5NmMzZDdjMmIwMDZkZGIifQ=="/>
    <w:docVar w:name="KSO_WPS_MARK_KEY" w:val="8ada5278-3d6d-4f9c-aa4e-5682e7569d71"/>
  </w:docVars>
  <w:rsids>
    <w:rsidRoot w:val="00603670"/>
    <w:rsid w:val="0000298A"/>
    <w:rsid w:val="00003BFB"/>
    <w:rsid w:val="00010BE8"/>
    <w:rsid w:val="00011A82"/>
    <w:rsid w:val="00014F25"/>
    <w:rsid w:val="000163AB"/>
    <w:rsid w:val="000221E4"/>
    <w:rsid w:val="00025E94"/>
    <w:rsid w:val="00027036"/>
    <w:rsid w:val="00035559"/>
    <w:rsid w:val="00042B6B"/>
    <w:rsid w:val="00042E6B"/>
    <w:rsid w:val="000431C9"/>
    <w:rsid w:val="00045E6F"/>
    <w:rsid w:val="00045EA7"/>
    <w:rsid w:val="00050534"/>
    <w:rsid w:val="00051837"/>
    <w:rsid w:val="000521F6"/>
    <w:rsid w:val="00053978"/>
    <w:rsid w:val="000565F1"/>
    <w:rsid w:val="000573AB"/>
    <w:rsid w:val="000642F0"/>
    <w:rsid w:val="0006472A"/>
    <w:rsid w:val="00064D48"/>
    <w:rsid w:val="00067178"/>
    <w:rsid w:val="00072D57"/>
    <w:rsid w:val="000749D9"/>
    <w:rsid w:val="00075391"/>
    <w:rsid w:val="00082CDE"/>
    <w:rsid w:val="00083BE6"/>
    <w:rsid w:val="00086704"/>
    <w:rsid w:val="00090C2B"/>
    <w:rsid w:val="00091E7F"/>
    <w:rsid w:val="00097894"/>
    <w:rsid w:val="000A48E2"/>
    <w:rsid w:val="000A4979"/>
    <w:rsid w:val="000B040C"/>
    <w:rsid w:val="000B3F59"/>
    <w:rsid w:val="000C249E"/>
    <w:rsid w:val="000C5ABD"/>
    <w:rsid w:val="000D383D"/>
    <w:rsid w:val="000D7959"/>
    <w:rsid w:val="000E1199"/>
    <w:rsid w:val="000E2E9F"/>
    <w:rsid w:val="000F1249"/>
    <w:rsid w:val="000F423D"/>
    <w:rsid w:val="000F55F3"/>
    <w:rsid w:val="000F64F3"/>
    <w:rsid w:val="00103C66"/>
    <w:rsid w:val="00107E2D"/>
    <w:rsid w:val="00110B0D"/>
    <w:rsid w:val="001133A4"/>
    <w:rsid w:val="0011556A"/>
    <w:rsid w:val="00116EDF"/>
    <w:rsid w:val="00121777"/>
    <w:rsid w:val="00123BEA"/>
    <w:rsid w:val="00130048"/>
    <w:rsid w:val="001304CF"/>
    <w:rsid w:val="00131ACF"/>
    <w:rsid w:val="00140AD2"/>
    <w:rsid w:val="001519AE"/>
    <w:rsid w:val="0016171E"/>
    <w:rsid w:val="00175ECB"/>
    <w:rsid w:val="00182BE9"/>
    <w:rsid w:val="001863E0"/>
    <w:rsid w:val="001977C1"/>
    <w:rsid w:val="001A0DDF"/>
    <w:rsid w:val="001A58AD"/>
    <w:rsid w:val="001A5E9B"/>
    <w:rsid w:val="001A769F"/>
    <w:rsid w:val="001B0A70"/>
    <w:rsid w:val="001B36E2"/>
    <w:rsid w:val="001B6881"/>
    <w:rsid w:val="001B74DB"/>
    <w:rsid w:val="001C071E"/>
    <w:rsid w:val="001C3B25"/>
    <w:rsid w:val="001C3D61"/>
    <w:rsid w:val="001C43C7"/>
    <w:rsid w:val="001C6BE3"/>
    <w:rsid w:val="001D1026"/>
    <w:rsid w:val="001D1E73"/>
    <w:rsid w:val="001D33E6"/>
    <w:rsid w:val="001D76C6"/>
    <w:rsid w:val="001E48AC"/>
    <w:rsid w:val="001E5C33"/>
    <w:rsid w:val="001F3F8C"/>
    <w:rsid w:val="0020097F"/>
    <w:rsid w:val="002056C6"/>
    <w:rsid w:val="00212CDD"/>
    <w:rsid w:val="00215B7A"/>
    <w:rsid w:val="0022207F"/>
    <w:rsid w:val="002341AB"/>
    <w:rsid w:val="002379C7"/>
    <w:rsid w:val="0024390D"/>
    <w:rsid w:val="00251790"/>
    <w:rsid w:val="0025292E"/>
    <w:rsid w:val="00252A97"/>
    <w:rsid w:val="00253352"/>
    <w:rsid w:val="00256003"/>
    <w:rsid w:val="002600C2"/>
    <w:rsid w:val="00262DAA"/>
    <w:rsid w:val="0026399A"/>
    <w:rsid w:val="002674A4"/>
    <w:rsid w:val="00270E13"/>
    <w:rsid w:val="00274FF8"/>
    <w:rsid w:val="00281058"/>
    <w:rsid w:val="00283853"/>
    <w:rsid w:val="00283A1B"/>
    <w:rsid w:val="00285761"/>
    <w:rsid w:val="002920CA"/>
    <w:rsid w:val="00297575"/>
    <w:rsid w:val="002A1D82"/>
    <w:rsid w:val="002A1FE5"/>
    <w:rsid w:val="002A2B84"/>
    <w:rsid w:val="002A50F6"/>
    <w:rsid w:val="002B2992"/>
    <w:rsid w:val="002B4DF8"/>
    <w:rsid w:val="002B6EEB"/>
    <w:rsid w:val="002B787F"/>
    <w:rsid w:val="002C0900"/>
    <w:rsid w:val="002C7CC8"/>
    <w:rsid w:val="002D4EBD"/>
    <w:rsid w:val="002D5B83"/>
    <w:rsid w:val="002E0263"/>
    <w:rsid w:val="002E1AAF"/>
    <w:rsid w:val="002E61D3"/>
    <w:rsid w:val="002E66A9"/>
    <w:rsid w:val="002F352E"/>
    <w:rsid w:val="002F4A33"/>
    <w:rsid w:val="002F5E67"/>
    <w:rsid w:val="002F71C1"/>
    <w:rsid w:val="00306A44"/>
    <w:rsid w:val="00327C22"/>
    <w:rsid w:val="00330194"/>
    <w:rsid w:val="00332AF3"/>
    <w:rsid w:val="00334AAF"/>
    <w:rsid w:val="00342E19"/>
    <w:rsid w:val="00345F86"/>
    <w:rsid w:val="00355F34"/>
    <w:rsid w:val="003615B0"/>
    <w:rsid w:val="003661F1"/>
    <w:rsid w:val="00366797"/>
    <w:rsid w:val="00366BF0"/>
    <w:rsid w:val="00377FCC"/>
    <w:rsid w:val="003818F2"/>
    <w:rsid w:val="00383905"/>
    <w:rsid w:val="0038597B"/>
    <w:rsid w:val="00392847"/>
    <w:rsid w:val="00393D24"/>
    <w:rsid w:val="00394537"/>
    <w:rsid w:val="00395A64"/>
    <w:rsid w:val="00395C9C"/>
    <w:rsid w:val="003A1AA1"/>
    <w:rsid w:val="003A2EDA"/>
    <w:rsid w:val="003B0A20"/>
    <w:rsid w:val="003B48C0"/>
    <w:rsid w:val="003C419C"/>
    <w:rsid w:val="003D2DE8"/>
    <w:rsid w:val="003D3C42"/>
    <w:rsid w:val="003E273C"/>
    <w:rsid w:val="003F180A"/>
    <w:rsid w:val="003F38D5"/>
    <w:rsid w:val="004015E7"/>
    <w:rsid w:val="00403AB2"/>
    <w:rsid w:val="00412749"/>
    <w:rsid w:val="00416702"/>
    <w:rsid w:val="004211A3"/>
    <w:rsid w:val="00425F66"/>
    <w:rsid w:val="00431DBE"/>
    <w:rsid w:val="00433B9F"/>
    <w:rsid w:val="00436D92"/>
    <w:rsid w:val="004410DD"/>
    <w:rsid w:val="0045760A"/>
    <w:rsid w:val="00460BBF"/>
    <w:rsid w:val="004610D7"/>
    <w:rsid w:val="004613B9"/>
    <w:rsid w:val="00467991"/>
    <w:rsid w:val="0047081D"/>
    <w:rsid w:val="004765F8"/>
    <w:rsid w:val="00476745"/>
    <w:rsid w:val="00491A6A"/>
    <w:rsid w:val="00492B35"/>
    <w:rsid w:val="00493336"/>
    <w:rsid w:val="00494623"/>
    <w:rsid w:val="0049588D"/>
    <w:rsid w:val="00496883"/>
    <w:rsid w:val="004A1FC5"/>
    <w:rsid w:val="004A355E"/>
    <w:rsid w:val="004A36A8"/>
    <w:rsid w:val="004A4CF1"/>
    <w:rsid w:val="004B1FD6"/>
    <w:rsid w:val="004B4136"/>
    <w:rsid w:val="004B57DA"/>
    <w:rsid w:val="004B7182"/>
    <w:rsid w:val="004C0179"/>
    <w:rsid w:val="004D072B"/>
    <w:rsid w:val="004D2165"/>
    <w:rsid w:val="004D2A3E"/>
    <w:rsid w:val="004D3F6F"/>
    <w:rsid w:val="004D491B"/>
    <w:rsid w:val="004D6D34"/>
    <w:rsid w:val="004D6DAD"/>
    <w:rsid w:val="004E32E8"/>
    <w:rsid w:val="004E3790"/>
    <w:rsid w:val="004E6008"/>
    <w:rsid w:val="004F1479"/>
    <w:rsid w:val="00501F2E"/>
    <w:rsid w:val="00521996"/>
    <w:rsid w:val="00522280"/>
    <w:rsid w:val="0053142D"/>
    <w:rsid w:val="005316BD"/>
    <w:rsid w:val="00533B92"/>
    <w:rsid w:val="00534F6E"/>
    <w:rsid w:val="00535EEC"/>
    <w:rsid w:val="00536A9F"/>
    <w:rsid w:val="00537275"/>
    <w:rsid w:val="005456E9"/>
    <w:rsid w:val="005462F7"/>
    <w:rsid w:val="005521A5"/>
    <w:rsid w:val="00555B34"/>
    <w:rsid w:val="0056247F"/>
    <w:rsid w:val="00564989"/>
    <w:rsid w:val="00565168"/>
    <w:rsid w:val="005656FE"/>
    <w:rsid w:val="005678E8"/>
    <w:rsid w:val="00571D15"/>
    <w:rsid w:val="005726CC"/>
    <w:rsid w:val="00585A83"/>
    <w:rsid w:val="00591BC0"/>
    <w:rsid w:val="00593C7A"/>
    <w:rsid w:val="005B1D70"/>
    <w:rsid w:val="005B3711"/>
    <w:rsid w:val="005B42E6"/>
    <w:rsid w:val="005C064C"/>
    <w:rsid w:val="005C25B4"/>
    <w:rsid w:val="005C3A40"/>
    <w:rsid w:val="005C79BB"/>
    <w:rsid w:val="005D72B7"/>
    <w:rsid w:val="005D796C"/>
    <w:rsid w:val="005E4015"/>
    <w:rsid w:val="005E748F"/>
    <w:rsid w:val="005F4F7A"/>
    <w:rsid w:val="005F6D53"/>
    <w:rsid w:val="00603670"/>
    <w:rsid w:val="006037D5"/>
    <w:rsid w:val="00613BA0"/>
    <w:rsid w:val="00616532"/>
    <w:rsid w:val="00616AE3"/>
    <w:rsid w:val="00620F2C"/>
    <w:rsid w:val="00627F1C"/>
    <w:rsid w:val="00645DC1"/>
    <w:rsid w:val="0064715C"/>
    <w:rsid w:val="0066018A"/>
    <w:rsid w:val="00665EC8"/>
    <w:rsid w:val="00673379"/>
    <w:rsid w:val="00675146"/>
    <w:rsid w:val="006779F7"/>
    <w:rsid w:val="00680244"/>
    <w:rsid w:val="006817FD"/>
    <w:rsid w:val="006923B3"/>
    <w:rsid w:val="006A61C8"/>
    <w:rsid w:val="006B07B5"/>
    <w:rsid w:val="006B1BFB"/>
    <w:rsid w:val="006B764E"/>
    <w:rsid w:val="006D213E"/>
    <w:rsid w:val="006D5FC6"/>
    <w:rsid w:val="006D7E04"/>
    <w:rsid w:val="006E7BCC"/>
    <w:rsid w:val="006F08BA"/>
    <w:rsid w:val="006F4F8D"/>
    <w:rsid w:val="006F728F"/>
    <w:rsid w:val="00700C51"/>
    <w:rsid w:val="00704006"/>
    <w:rsid w:val="00704031"/>
    <w:rsid w:val="007056A1"/>
    <w:rsid w:val="007059E9"/>
    <w:rsid w:val="007077BC"/>
    <w:rsid w:val="0071097B"/>
    <w:rsid w:val="007128C2"/>
    <w:rsid w:val="00713BF5"/>
    <w:rsid w:val="00715D44"/>
    <w:rsid w:val="00717FA5"/>
    <w:rsid w:val="007214B0"/>
    <w:rsid w:val="00724E13"/>
    <w:rsid w:val="00726EDF"/>
    <w:rsid w:val="0073094F"/>
    <w:rsid w:val="007342B9"/>
    <w:rsid w:val="007346D5"/>
    <w:rsid w:val="00736BAB"/>
    <w:rsid w:val="00741354"/>
    <w:rsid w:val="00743786"/>
    <w:rsid w:val="007440B0"/>
    <w:rsid w:val="00746ADE"/>
    <w:rsid w:val="007470DA"/>
    <w:rsid w:val="007516DF"/>
    <w:rsid w:val="00765E0C"/>
    <w:rsid w:val="00766BD6"/>
    <w:rsid w:val="00781957"/>
    <w:rsid w:val="00783A0E"/>
    <w:rsid w:val="00783B9B"/>
    <w:rsid w:val="00795820"/>
    <w:rsid w:val="00795E7D"/>
    <w:rsid w:val="007960C7"/>
    <w:rsid w:val="007A571C"/>
    <w:rsid w:val="007B2677"/>
    <w:rsid w:val="007C37A9"/>
    <w:rsid w:val="007C5792"/>
    <w:rsid w:val="007E017A"/>
    <w:rsid w:val="007E26FA"/>
    <w:rsid w:val="007E3EDE"/>
    <w:rsid w:val="007F0753"/>
    <w:rsid w:val="007F26F4"/>
    <w:rsid w:val="007F6642"/>
    <w:rsid w:val="007F6B25"/>
    <w:rsid w:val="0080065E"/>
    <w:rsid w:val="00800C68"/>
    <w:rsid w:val="008034FC"/>
    <w:rsid w:val="00803518"/>
    <w:rsid w:val="0080763B"/>
    <w:rsid w:val="00811E08"/>
    <w:rsid w:val="00812470"/>
    <w:rsid w:val="008124C1"/>
    <w:rsid w:val="00816018"/>
    <w:rsid w:val="00820BE0"/>
    <w:rsid w:val="00823894"/>
    <w:rsid w:val="00824180"/>
    <w:rsid w:val="00825FF0"/>
    <w:rsid w:val="00830919"/>
    <w:rsid w:val="00833B54"/>
    <w:rsid w:val="00845D82"/>
    <w:rsid w:val="00847407"/>
    <w:rsid w:val="00847870"/>
    <w:rsid w:val="00847B89"/>
    <w:rsid w:val="0085037D"/>
    <w:rsid w:val="008526EF"/>
    <w:rsid w:val="008537C7"/>
    <w:rsid w:val="008556E4"/>
    <w:rsid w:val="00856F2F"/>
    <w:rsid w:val="008677C1"/>
    <w:rsid w:val="00875023"/>
    <w:rsid w:val="00877DB7"/>
    <w:rsid w:val="00881257"/>
    <w:rsid w:val="00882269"/>
    <w:rsid w:val="00886B8B"/>
    <w:rsid w:val="008A5110"/>
    <w:rsid w:val="008A7093"/>
    <w:rsid w:val="008A75A4"/>
    <w:rsid w:val="008A7A2A"/>
    <w:rsid w:val="008B07D3"/>
    <w:rsid w:val="008B0F2B"/>
    <w:rsid w:val="008B7BAC"/>
    <w:rsid w:val="008B7C71"/>
    <w:rsid w:val="008C2AB1"/>
    <w:rsid w:val="008C3917"/>
    <w:rsid w:val="008C7245"/>
    <w:rsid w:val="008D60A4"/>
    <w:rsid w:val="008E3CD8"/>
    <w:rsid w:val="008E49E5"/>
    <w:rsid w:val="008E6EDC"/>
    <w:rsid w:val="008F3BD8"/>
    <w:rsid w:val="008F3E0F"/>
    <w:rsid w:val="008F3F79"/>
    <w:rsid w:val="008F480D"/>
    <w:rsid w:val="00904D13"/>
    <w:rsid w:val="009227C3"/>
    <w:rsid w:val="0092421F"/>
    <w:rsid w:val="009252C0"/>
    <w:rsid w:val="00931016"/>
    <w:rsid w:val="00932E40"/>
    <w:rsid w:val="00937F4D"/>
    <w:rsid w:val="00945FC8"/>
    <w:rsid w:val="0094675A"/>
    <w:rsid w:val="00946F73"/>
    <w:rsid w:val="00947E20"/>
    <w:rsid w:val="009500CB"/>
    <w:rsid w:val="00950D89"/>
    <w:rsid w:val="009526DD"/>
    <w:rsid w:val="00966193"/>
    <w:rsid w:val="009666D4"/>
    <w:rsid w:val="00977403"/>
    <w:rsid w:val="00981D28"/>
    <w:rsid w:val="00981FCF"/>
    <w:rsid w:val="009877F1"/>
    <w:rsid w:val="00990253"/>
    <w:rsid w:val="00991F41"/>
    <w:rsid w:val="009A1D10"/>
    <w:rsid w:val="009A21C0"/>
    <w:rsid w:val="009A3BB4"/>
    <w:rsid w:val="009A4BF3"/>
    <w:rsid w:val="009B4D41"/>
    <w:rsid w:val="009C2D78"/>
    <w:rsid w:val="009C5877"/>
    <w:rsid w:val="009C5E28"/>
    <w:rsid w:val="009D0859"/>
    <w:rsid w:val="009D48FC"/>
    <w:rsid w:val="009D4FC9"/>
    <w:rsid w:val="009D770C"/>
    <w:rsid w:val="009E5075"/>
    <w:rsid w:val="009E5F7B"/>
    <w:rsid w:val="009E7BCB"/>
    <w:rsid w:val="009F22AA"/>
    <w:rsid w:val="00A01AC2"/>
    <w:rsid w:val="00A02581"/>
    <w:rsid w:val="00A042E3"/>
    <w:rsid w:val="00A0472A"/>
    <w:rsid w:val="00A07CF5"/>
    <w:rsid w:val="00A10016"/>
    <w:rsid w:val="00A128C6"/>
    <w:rsid w:val="00A13934"/>
    <w:rsid w:val="00A14754"/>
    <w:rsid w:val="00A14B3F"/>
    <w:rsid w:val="00A16824"/>
    <w:rsid w:val="00A16C1A"/>
    <w:rsid w:val="00A202CE"/>
    <w:rsid w:val="00A20307"/>
    <w:rsid w:val="00A30C64"/>
    <w:rsid w:val="00A35A63"/>
    <w:rsid w:val="00A45A6D"/>
    <w:rsid w:val="00A63298"/>
    <w:rsid w:val="00A7405A"/>
    <w:rsid w:val="00A82740"/>
    <w:rsid w:val="00AB13A8"/>
    <w:rsid w:val="00AB6105"/>
    <w:rsid w:val="00AC2AF9"/>
    <w:rsid w:val="00AD08E8"/>
    <w:rsid w:val="00AD3C05"/>
    <w:rsid w:val="00AD6219"/>
    <w:rsid w:val="00AE270A"/>
    <w:rsid w:val="00AE2F48"/>
    <w:rsid w:val="00AE6795"/>
    <w:rsid w:val="00AF19C8"/>
    <w:rsid w:val="00AF1D6C"/>
    <w:rsid w:val="00AF4372"/>
    <w:rsid w:val="00B0099A"/>
    <w:rsid w:val="00B03E4F"/>
    <w:rsid w:val="00B04636"/>
    <w:rsid w:val="00B057F0"/>
    <w:rsid w:val="00B06AE0"/>
    <w:rsid w:val="00B112E7"/>
    <w:rsid w:val="00B16927"/>
    <w:rsid w:val="00B17E4D"/>
    <w:rsid w:val="00B27141"/>
    <w:rsid w:val="00B273D6"/>
    <w:rsid w:val="00B4687C"/>
    <w:rsid w:val="00B5406D"/>
    <w:rsid w:val="00B617FE"/>
    <w:rsid w:val="00B7069B"/>
    <w:rsid w:val="00B722C9"/>
    <w:rsid w:val="00B83164"/>
    <w:rsid w:val="00B85FC9"/>
    <w:rsid w:val="00B87479"/>
    <w:rsid w:val="00B9732A"/>
    <w:rsid w:val="00B97FDC"/>
    <w:rsid w:val="00BA1245"/>
    <w:rsid w:val="00BA578C"/>
    <w:rsid w:val="00BB45E3"/>
    <w:rsid w:val="00BB566D"/>
    <w:rsid w:val="00BB591F"/>
    <w:rsid w:val="00BB67EB"/>
    <w:rsid w:val="00BC4505"/>
    <w:rsid w:val="00BC697C"/>
    <w:rsid w:val="00BD07C5"/>
    <w:rsid w:val="00BD3301"/>
    <w:rsid w:val="00BD4CD9"/>
    <w:rsid w:val="00BF04FE"/>
    <w:rsid w:val="00BF1BF2"/>
    <w:rsid w:val="00BF3DBA"/>
    <w:rsid w:val="00BF568B"/>
    <w:rsid w:val="00C00098"/>
    <w:rsid w:val="00C016A3"/>
    <w:rsid w:val="00C02598"/>
    <w:rsid w:val="00C02804"/>
    <w:rsid w:val="00C2026A"/>
    <w:rsid w:val="00C20A26"/>
    <w:rsid w:val="00C21B82"/>
    <w:rsid w:val="00C25A9E"/>
    <w:rsid w:val="00C31252"/>
    <w:rsid w:val="00C368FE"/>
    <w:rsid w:val="00C40805"/>
    <w:rsid w:val="00C419B5"/>
    <w:rsid w:val="00C45C6A"/>
    <w:rsid w:val="00C45F0F"/>
    <w:rsid w:val="00C476C2"/>
    <w:rsid w:val="00C539FF"/>
    <w:rsid w:val="00C56A1C"/>
    <w:rsid w:val="00C65789"/>
    <w:rsid w:val="00C713DD"/>
    <w:rsid w:val="00C74651"/>
    <w:rsid w:val="00C776A4"/>
    <w:rsid w:val="00C811C6"/>
    <w:rsid w:val="00C83E6E"/>
    <w:rsid w:val="00C90DA1"/>
    <w:rsid w:val="00CA090A"/>
    <w:rsid w:val="00CA0AA6"/>
    <w:rsid w:val="00CA0B0D"/>
    <w:rsid w:val="00CA0FD7"/>
    <w:rsid w:val="00CB79D3"/>
    <w:rsid w:val="00CC2B09"/>
    <w:rsid w:val="00CD143C"/>
    <w:rsid w:val="00CD57F2"/>
    <w:rsid w:val="00CE35BB"/>
    <w:rsid w:val="00CF2666"/>
    <w:rsid w:val="00CF28CD"/>
    <w:rsid w:val="00D002F2"/>
    <w:rsid w:val="00D015A2"/>
    <w:rsid w:val="00D10072"/>
    <w:rsid w:val="00D10E67"/>
    <w:rsid w:val="00D1634D"/>
    <w:rsid w:val="00D2020D"/>
    <w:rsid w:val="00D221F4"/>
    <w:rsid w:val="00D24487"/>
    <w:rsid w:val="00D32910"/>
    <w:rsid w:val="00D36217"/>
    <w:rsid w:val="00D4308A"/>
    <w:rsid w:val="00D467C0"/>
    <w:rsid w:val="00D47164"/>
    <w:rsid w:val="00D47D22"/>
    <w:rsid w:val="00D531A7"/>
    <w:rsid w:val="00D533FC"/>
    <w:rsid w:val="00D54834"/>
    <w:rsid w:val="00D55057"/>
    <w:rsid w:val="00D61271"/>
    <w:rsid w:val="00D638E3"/>
    <w:rsid w:val="00D6705F"/>
    <w:rsid w:val="00D7179D"/>
    <w:rsid w:val="00D71805"/>
    <w:rsid w:val="00D75C80"/>
    <w:rsid w:val="00D77837"/>
    <w:rsid w:val="00D81455"/>
    <w:rsid w:val="00D8277B"/>
    <w:rsid w:val="00D82EF0"/>
    <w:rsid w:val="00D83B95"/>
    <w:rsid w:val="00D9501D"/>
    <w:rsid w:val="00D953AB"/>
    <w:rsid w:val="00D95FC8"/>
    <w:rsid w:val="00D96CBE"/>
    <w:rsid w:val="00DA5447"/>
    <w:rsid w:val="00DA60BE"/>
    <w:rsid w:val="00DA70FD"/>
    <w:rsid w:val="00DB00FB"/>
    <w:rsid w:val="00DB6327"/>
    <w:rsid w:val="00DB6593"/>
    <w:rsid w:val="00DD1F0C"/>
    <w:rsid w:val="00DD34EA"/>
    <w:rsid w:val="00DD3557"/>
    <w:rsid w:val="00DD4221"/>
    <w:rsid w:val="00DE0EBA"/>
    <w:rsid w:val="00DF6B4E"/>
    <w:rsid w:val="00E01F9F"/>
    <w:rsid w:val="00E06F98"/>
    <w:rsid w:val="00E07AB9"/>
    <w:rsid w:val="00E127FA"/>
    <w:rsid w:val="00E26778"/>
    <w:rsid w:val="00E300EB"/>
    <w:rsid w:val="00E3273E"/>
    <w:rsid w:val="00E33E2A"/>
    <w:rsid w:val="00E3421A"/>
    <w:rsid w:val="00E45475"/>
    <w:rsid w:val="00E4552F"/>
    <w:rsid w:val="00E5185B"/>
    <w:rsid w:val="00E520C1"/>
    <w:rsid w:val="00E616E2"/>
    <w:rsid w:val="00E70313"/>
    <w:rsid w:val="00E706B4"/>
    <w:rsid w:val="00E72E35"/>
    <w:rsid w:val="00E81F84"/>
    <w:rsid w:val="00E84F37"/>
    <w:rsid w:val="00E96562"/>
    <w:rsid w:val="00EA08B8"/>
    <w:rsid w:val="00EA4C23"/>
    <w:rsid w:val="00EA518C"/>
    <w:rsid w:val="00EA6C46"/>
    <w:rsid w:val="00EB3E5D"/>
    <w:rsid w:val="00EC6376"/>
    <w:rsid w:val="00EC6A4D"/>
    <w:rsid w:val="00EC6B71"/>
    <w:rsid w:val="00EC7CC4"/>
    <w:rsid w:val="00ED5181"/>
    <w:rsid w:val="00EE203B"/>
    <w:rsid w:val="00EE22B8"/>
    <w:rsid w:val="00EE4F28"/>
    <w:rsid w:val="00EE6332"/>
    <w:rsid w:val="00EE7439"/>
    <w:rsid w:val="00EF1B95"/>
    <w:rsid w:val="00EF5F21"/>
    <w:rsid w:val="00EF648A"/>
    <w:rsid w:val="00F07AFD"/>
    <w:rsid w:val="00F124EF"/>
    <w:rsid w:val="00F14A8B"/>
    <w:rsid w:val="00F15985"/>
    <w:rsid w:val="00F1651A"/>
    <w:rsid w:val="00F16A55"/>
    <w:rsid w:val="00F21DD8"/>
    <w:rsid w:val="00F2484C"/>
    <w:rsid w:val="00F264F6"/>
    <w:rsid w:val="00F31DBA"/>
    <w:rsid w:val="00F31E19"/>
    <w:rsid w:val="00F4747C"/>
    <w:rsid w:val="00F5165D"/>
    <w:rsid w:val="00F523A2"/>
    <w:rsid w:val="00F61DA9"/>
    <w:rsid w:val="00F67ABD"/>
    <w:rsid w:val="00F705B7"/>
    <w:rsid w:val="00F736C3"/>
    <w:rsid w:val="00F74919"/>
    <w:rsid w:val="00F805E4"/>
    <w:rsid w:val="00F83212"/>
    <w:rsid w:val="00F850A5"/>
    <w:rsid w:val="00F93710"/>
    <w:rsid w:val="00F9432B"/>
    <w:rsid w:val="00FA4B6B"/>
    <w:rsid w:val="00FA642F"/>
    <w:rsid w:val="00FA64A3"/>
    <w:rsid w:val="00FB6842"/>
    <w:rsid w:val="00FC353C"/>
    <w:rsid w:val="00FC401C"/>
    <w:rsid w:val="00FC5B3A"/>
    <w:rsid w:val="00FD01BC"/>
    <w:rsid w:val="00FD08B2"/>
    <w:rsid w:val="00FD12C6"/>
    <w:rsid w:val="00FD56B9"/>
    <w:rsid w:val="00FE1170"/>
    <w:rsid w:val="00FE5DE6"/>
    <w:rsid w:val="00FF04E2"/>
    <w:rsid w:val="00FF424F"/>
    <w:rsid w:val="00FF4E26"/>
    <w:rsid w:val="00FF7703"/>
    <w:rsid w:val="01170C55"/>
    <w:rsid w:val="01577CF3"/>
    <w:rsid w:val="01830099"/>
    <w:rsid w:val="01AF5332"/>
    <w:rsid w:val="01FB40D3"/>
    <w:rsid w:val="0263637C"/>
    <w:rsid w:val="02897931"/>
    <w:rsid w:val="02D212D8"/>
    <w:rsid w:val="02F20765"/>
    <w:rsid w:val="03101E00"/>
    <w:rsid w:val="033B56D0"/>
    <w:rsid w:val="035C5045"/>
    <w:rsid w:val="03667137"/>
    <w:rsid w:val="037203C5"/>
    <w:rsid w:val="03E5160F"/>
    <w:rsid w:val="03F66D0E"/>
    <w:rsid w:val="040E6340"/>
    <w:rsid w:val="04105830"/>
    <w:rsid w:val="044E739D"/>
    <w:rsid w:val="04561706"/>
    <w:rsid w:val="04814BBE"/>
    <w:rsid w:val="04A92035"/>
    <w:rsid w:val="04BD2621"/>
    <w:rsid w:val="04DC0A6D"/>
    <w:rsid w:val="054E09BE"/>
    <w:rsid w:val="055F3FDB"/>
    <w:rsid w:val="05635592"/>
    <w:rsid w:val="05B60A3D"/>
    <w:rsid w:val="060109C3"/>
    <w:rsid w:val="069C40D7"/>
    <w:rsid w:val="070B300A"/>
    <w:rsid w:val="071F6AB6"/>
    <w:rsid w:val="075A189C"/>
    <w:rsid w:val="07C21A6A"/>
    <w:rsid w:val="07CF31BA"/>
    <w:rsid w:val="07EB5D21"/>
    <w:rsid w:val="08442073"/>
    <w:rsid w:val="08B11B50"/>
    <w:rsid w:val="08B13458"/>
    <w:rsid w:val="08D33D2E"/>
    <w:rsid w:val="090F0896"/>
    <w:rsid w:val="09184D77"/>
    <w:rsid w:val="09C61466"/>
    <w:rsid w:val="09E431C6"/>
    <w:rsid w:val="0A1B53D3"/>
    <w:rsid w:val="0A9D03F6"/>
    <w:rsid w:val="0AD749D3"/>
    <w:rsid w:val="0B17481F"/>
    <w:rsid w:val="0B2B77D7"/>
    <w:rsid w:val="0B7203FC"/>
    <w:rsid w:val="0D0F515B"/>
    <w:rsid w:val="0D7B7E36"/>
    <w:rsid w:val="0DA668CA"/>
    <w:rsid w:val="0DB42190"/>
    <w:rsid w:val="0DC950AB"/>
    <w:rsid w:val="0DE00553"/>
    <w:rsid w:val="0E122B6E"/>
    <w:rsid w:val="0E50408A"/>
    <w:rsid w:val="0EAA5EF8"/>
    <w:rsid w:val="0EAD49A7"/>
    <w:rsid w:val="0F0E3393"/>
    <w:rsid w:val="0F7E1279"/>
    <w:rsid w:val="0FB35FED"/>
    <w:rsid w:val="102C39AE"/>
    <w:rsid w:val="104B4477"/>
    <w:rsid w:val="10AB2BE5"/>
    <w:rsid w:val="1102722C"/>
    <w:rsid w:val="110A0E7A"/>
    <w:rsid w:val="11AB78C4"/>
    <w:rsid w:val="11BB40A7"/>
    <w:rsid w:val="11D34725"/>
    <w:rsid w:val="11DD425B"/>
    <w:rsid w:val="11E10BF2"/>
    <w:rsid w:val="12437483"/>
    <w:rsid w:val="124F2F1B"/>
    <w:rsid w:val="126F630A"/>
    <w:rsid w:val="12731463"/>
    <w:rsid w:val="12802AFE"/>
    <w:rsid w:val="12BC7D67"/>
    <w:rsid w:val="12D46D72"/>
    <w:rsid w:val="12DE7825"/>
    <w:rsid w:val="1300260E"/>
    <w:rsid w:val="13333D5C"/>
    <w:rsid w:val="137361BF"/>
    <w:rsid w:val="139F6FB4"/>
    <w:rsid w:val="13C24A51"/>
    <w:rsid w:val="14322C84"/>
    <w:rsid w:val="14535FF1"/>
    <w:rsid w:val="145F3AC3"/>
    <w:rsid w:val="147B7751"/>
    <w:rsid w:val="147C72F5"/>
    <w:rsid w:val="14F30D6E"/>
    <w:rsid w:val="150E5397"/>
    <w:rsid w:val="151D7BB0"/>
    <w:rsid w:val="158E131F"/>
    <w:rsid w:val="1598015F"/>
    <w:rsid w:val="15AB60E4"/>
    <w:rsid w:val="160C6659"/>
    <w:rsid w:val="161377E5"/>
    <w:rsid w:val="16482398"/>
    <w:rsid w:val="17A708DF"/>
    <w:rsid w:val="17DB4037"/>
    <w:rsid w:val="18194E5B"/>
    <w:rsid w:val="18277578"/>
    <w:rsid w:val="18B560F0"/>
    <w:rsid w:val="18E54BB3"/>
    <w:rsid w:val="18F669D8"/>
    <w:rsid w:val="193D197C"/>
    <w:rsid w:val="198F7599"/>
    <w:rsid w:val="19B25567"/>
    <w:rsid w:val="1A613215"/>
    <w:rsid w:val="1AB538EA"/>
    <w:rsid w:val="1ABF1CEA"/>
    <w:rsid w:val="1B5857F8"/>
    <w:rsid w:val="1B7F1E29"/>
    <w:rsid w:val="1B9211AC"/>
    <w:rsid w:val="1BF92FB4"/>
    <w:rsid w:val="1BFC453C"/>
    <w:rsid w:val="1C13528C"/>
    <w:rsid w:val="1C6B47D6"/>
    <w:rsid w:val="1C9B12FC"/>
    <w:rsid w:val="1CB533A4"/>
    <w:rsid w:val="1CC92887"/>
    <w:rsid w:val="1CE23FBB"/>
    <w:rsid w:val="1CF629B8"/>
    <w:rsid w:val="1CF87A8E"/>
    <w:rsid w:val="1D7B63DC"/>
    <w:rsid w:val="1EE91A2B"/>
    <w:rsid w:val="1EE937D9"/>
    <w:rsid w:val="1F336601"/>
    <w:rsid w:val="1F3D2127"/>
    <w:rsid w:val="1F470500"/>
    <w:rsid w:val="1F543A73"/>
    <w:rsid w:val="1F6D7F66"/>
    <w:rsid w:val="1FB82198"/>
    <w:rsid w:val="1FC55429"/>
    <w:rsid w:val="1FE43DE1"/>
    <w:rsid w:val="200D1749"/>
    <w:rsid w:val="20387569"/>
    <w:rsid w:val="20686518"/>
    <w:rsid w:val="207277FE"/>
    <w:rsid w:val="20B17B2F"/>
    <w:rsid w:val="216058A9"/>
    <w:rsid w:val="216B0BDF"/>
    <w:rsid w:val="219A700D"/>
    <w:rsid w:val="21D173FB"/>
    <w:rsid w:val="226513C9"/>
    <w:rsid w:val="229A52E8"/>
    <w:rsid w:val="232C638A"/>
    <w:rsid w:val="236D292E"/>
    <w:rsid w:val="23F53B0C"/>
    <w:rsid w:val="24A042F1"/>
    <w:rsid w:val="24C31A17"/>
    <w:rsid w:val="24C60456"/>
    <w:rsid w:val="250C58E6"/>
    <w:rsid w:val="254566C3"/>
    <w:rsid w:val="25563E70"/>
    <w:rsid w:val="256A25E6"/>
    <w:rsid w:val="25AA086D"/>
    <w:rsid w:val="25CA126D"/>
    <w:rsid w:val="25D54AB7"/>
    <w:rsid w:val="25F95133"/>
    <w:rsid w:val="262C093B"/>
    <w:rsid w:val="264D28A0"/>
    <w:rsid w:val="26927DE8"/>
    <w:rsid w:val="273870AC"/>
    <w:rsid w:val="274B5144"/>
    <w:rsid w:val="27711845"/>
    <w:rsid w:val="285F68BA"/>
    <w:rsid w:val="28761586"/>
    <w:rsid w:val="287E686B"/>
    <w:rsid w:val="288A7DDB"/>
    <w:rsid w:val="28BB61E6"/>
    <w:rsid w:val="28EB63A0"/>
    <w:rsid w:val="290F5519"/>
    <w:rsid w:val="297331AE"/>
    <w:rsid w:val="297E0FC2"/>
    <w:rsid w:val="29944785"/>
    <w:rsid w:val="29E256AC"/>
    <w:rsid w:val="29FD1237"/>
    <w:rsid w:val="2A0066C4"/>
    <w:rsid w:val="2A0C2A72"/>
    <w:rsid w:val="2A2C0A1E"/>
    <w:rsid w:val="2A3000C3"/>
    <w:rsid w:val="2A3C4787"/>
    <w:rsid w:val="2A9632EB"/>
    <w:rsid w:val="2ACB21DF"/>
    <w:rsid w:val="2AFC6512"/>
    <w:rsid w:val="2B30453E"/>
    <w:rsid w:val="2BB31262"/>
    <w:rsid w:val="2C11611D"/>
    <w:rsid w:val="2C2F7B89"/>
    <w:rsid w:val="2C5D1363"/>
    <w:rsid w:val="2C814110"/>
    <w:rsid w:val="2D3E56E7"/>
    <w:rsid w:val="2D5B3D07"/>
    <w:rsid w:val="2D6C0E86"/>
    <w:rsid w:val="2D742E08"/>
    <w:rsid w:val="2DF103C9"/>
    <w:rsid w:val="2E262354"/>
    <w:rsid w:val="2E933762"/>
    <w:rsid w:val="2EAA3A90"/>
    <w:rsid w:val="2EE47B19"/>
    <w:rsid w:val="2F7470EF"/>
    <w:rsid w:val="2FBE7F3E"/>
    <w:rsid w:val="2FCA6D0F"/>
    <w:rsid w:val="2FEA5460"/>
    <w:rsid w:val="30F524B2"/>
    <w:rsid w:val="319C62C1"/>
    <w:rsid w:val="31C3610C"/>
    <w:rsid w:val="31F775CC"/>
    <w:rsid w:val="329B2BE5"/>
    <w:rsid w:val="333C6176"/>
    <w:rsid w:val="334D073A"/>
    <w:rsid w:val="33B2059C"/>
    <w:rsid w:val="33DB598F"/>
    <w:rsid w:val="340919EE"/>
    <w:rsid w:val="340C5B48"/>
    <w:rsid w:val="34232598"/>
    <w:rsid w:val="34FA1E45"/>
    <w:rsid w:val="35BC70FA"/>
    <w:rsid w:val="35DB3C61"/>
    <w:rsid w:val="35F04FF6"/>
    <w:rsid w:val="35FD3123"/>
    <w:rsid w:val="3608233F"/>
    <w:rsid w:val="361707D4"/>
    <w:rsid w:val="36514DAB"/>
    <w:rsid w:val="3660007A"/>
    <w:rsid w:val="37113475"/>
    <w:rsid w:val="371A67CE"/>
    <w:rsid w:val="37A90590"/>
    <w:rsid w:val="37CC2099"/>
    <w:rsid w:val="37EE32C1"/>
    <w:rsid w:val="383E025E"/>
    <w:rsid w:val="386A108F"/>
    <w:rsid w:val="388B33D1"/>
    <w:rsid w:val="38E00D8C"/>
    <w:rsid w:val="39381699"/>
    <w:rsid w:val="39AE63D1"/>
    <w:rsid w:val="39CE641A"/>
    <w:rsid w:val="3A775CE5"/>
    <w:rsid w:val="3A982496"/>
    <w:rsid w:val="3B2C3D25"/>
    <w:rsid w:val="3B547DD5"/>
    <w:rsid w:val="3B9D79CE"/>
    <w:rsid w:val="3C6B0733"/>
    <w:rsid w:val="3C716C78"/>
    <w:rsid w:val="3C7C75E3"/>
    <w:rsid w:val="3C813B5D"/>
    <w:rsid w:val="3C973023"/>
    <w:rsid w:val="3CAD3C40"/>
    <w:rsid w:val="3CCA47F2"/>
    <w:rsid w:val="3D003CC6"/>
    <w:rsid w:val="3D132237"/>
    <w:rsid w:val="3D322A00"/>
    <w:rsid w:val="3D453E79"/>
    <w:rsid w:val="3D595B76"/>
    <w:rsid w:val="3E09134A"/>
    <w:rsid w:val="3E7E65AC"/>
    <w:rsid w:val="3EBF7C5B"/>
    <w:rsid w:val="3EC22607"/>
    <w:rsid w:val="3EC50AC5"/>
    <w:rsid w:val="3EE80126"/>
    <w:rsid w:val="3FCE5B6D"/>
    <w:rsid w:val="3FE72BAA"/>
    <w:rsid w:val="3FEF0250"/>
    <w:rsid w:val="403C77B5"/>
    <w:rsid w:val="40E75429"/>
    <w:rsid w:val="40F82226"/>
    <w:rsid w:val="412413B8"/>
    <w:rsid w:val="41732F67"/>
    <w:rsid w:val="420378EC"/>
    <w:rsid w:val="421D0D04"/>
    <w:rsid w:val="422D6E0C"/>
    <w:rsid w:val="42471AC1"/>
    <w:rsid w:val="427101C8"/>
    <w:rsid w:val="42BE0955"/>
    <w:rsid w:val="43066DF4"/>
    <w:rsid w:val="434B2807"/>
    <w:rsid w:val="43B655A2"/>
    <w:rsid w:val="43B835F7"/>
    <w:rsid w:val="446846DD"/>
    <w:rsid w:val="446F27D2"/>
    <w:rsid w:val="4470534A"/>
    <w:rsid w:val="44877E79"/>
    <w:rsid w:val="448A4339"/>
    <w:rsid w:val="44D51F86"/>
    <w:rsid w:val="44F3082D"/>
    <w:rsid w:val="45AB1DC0"/>
    <w:rsid w:val="466E61EE"/>
    <w:rsid w:val="46C44060"/>
    <w:rsid w:val="46CC1167"/>
    <w:rsid w:val="47347C1D"/>
    <w:rsid w:val="47503B46"/>
    <w:rsid w:val="477261B2"/>
    <w:rsid w:val="4792415F"/>
    <w:rsid w:val="47A93EC5"/>
    <w:rsid w:val="47AC0A26"/>
    <w:rsid w:val="47CF655A"/>
    <w:rsid w:val="48271D32"/>
    <w:rsid w:val="486E5261"/>
    <w:rsid w:val="48897310"/>
    <w:rsid w:val="48D84B2B"/>
    <w:rsid w:val="491017DF"/>
    <w:rsid w:val="493A685C"/>
    <w:rsid w:val="494D3FC6"/>
    <w:rsid w:val="4A061355"/>
    <w:rsid w:val="4A1B043B"/>
    <w:rsid w:val="4A286FFC"/>
    <w:rsid w:val="4A485FEA"/>
    <w:rsid w:val="4A981EEF"/>
    <w:rsid w:val="4ACE54AE"/>
    <w:rsid w:val="4B225EDD"/>
    <w:rsid w:val="4B2F2866"/>
    <w:rsid w:val="4B6A1C3E"/>
    <w:rsid w:val="4B7E5126"/>
    <w:rsid w:val="4BC44A01"/>
    <w:rsid w:val="4BD502E3"/>
    <w:rsid w:val="4BDC009E"/>
    <w:rsid w:val="4BF623B7"/>
    <w:rsid w:val="4C15185F"/>
    <w:rsid w:val="4C1C049B"/>
    <w:rsid w:val="4C455C43"/>
    <w:rsid w:val="4C575B13"/>
    <w:rsid w:val="4CF353F7"/>
    <w:rsid w:val="4D5C3245"/>
    <w:rsid w:val="4D6A784F"/>
    <w:rsid w:val="4D6B7C12"/>
    <w:rsid w:val="4DA46CB0"/>
    <w:rsid w:val="4DF420F5"/>
    <w:rsid w:val="4E061402"/>
    <w:rsid w:val="4E141324"/>
    <w:rsid w:val="4E147DBD"/>
    <w:rsid w:val="4E2C5D94"/>
    <w:rsid w:val="4E377D75"/>
    <w:rsid w:val="4E7B76FB"/>
    <w:rsid w:val="4E960E86"/>
    <w:rsid w:val="4EDE7C89"/>
    <w:rsid w:val="4EF120B3"/>
    <w:rsid w:val="4EF31987"/>
    <w:rsid w:val="4F041DE6"/>
    <w:rsid w:val="4F6E54B1"/>
    <w:rsid w:val="500E233C"/>
    <w:rsid w:val="50365B27"/>
    <w:rsid w:val="508458B2"/>
    <w:rsid w:val="50C86928"/>
    <w:rsid w:val="50CE594E"/>
    <w:rsid w:val="50D17F23"/>
    <w:rsid w:val="51114346"/>
    <w:rsid w:val="517555E9"/>
    <w:rsid w:val="518E282D"/>
    <w:rsid w:val="51B6149B"/>
    <w:rsid w:val="51BD2161"/>
    <w:rsid w:val="528172AA"/>
    <w:rsid w:val="52920C44"/>
    <w:rsid w:val="529C2921"/>
    <w:rsid w:val="53316F22"/>
    <w:rsid w:val="537A2677"/>
    <w:rsid w:val="53AC47FA"/>
    <w:rsid w:val="53D0673A"/>
    <w:rsid w:val="5407197E"/>
    <w:rsid w:val="54613836"/>
    <w:rsid w:val="558C043F"/>
    <w:rsid w:val="55B236AD"/>
    <w:rsid w:val="55F83D27"/>
    <w:rsid w:val="56150435"/>
    <w:rsid w:val="561D19DF"/>
    <w:rsid w:val="561F3061"/>
    <w:rsid w:val="567355E1"/>
    <w:rsid w:val="5684380C"/>
    <w:rsid w:val="56970256"/>
    <w:rsid w:val="56B0015D"/>
    <w:rsid w:val="56B80088"/>
    <w:rsid w:val="572A5116"/>
    <w:rsid w:val="577473DD"/>
    <w:rsid w:val="5796443F"/>
    <w:rsid w:val="57CA203C"/>
    <w:rsid w:val="580D58E7"/>
    <w:rsid w:val="58B02697"/>
    <w:rsid w:val="58BC103B"/>
    <w:rsid w:val="58C919AA"/>
    <w:rsid w:val="58DF7618"/>
    <w:rsid w:val="58F9403E"/>
    <w:rsid w:val="58FC3B2E"/>
    <w:rsid w:val="59417793"/>
    <w:rsid w:val="595F636A"/>
    <w:rsid w:val="59607D5E"/>
    <w:rsid w:val="59626DD3"/>
    <w:rsid w:val="599504DA"/>
    <w:rsid w:val="5A04694A"/>
    <w:rsid w:val="5AB549E9"/>
    <w:rsid w:val="5AD67D94"/>
    <w:rsid w:val="5AF52F61"/>
    <w:rsid w:val="5AFA5E4B"/>
    <w:rsid w:val="5B85605C"/>
    <w:rsid w:val="5C0C010D"/>
    <w:rsid w:val="5C176227"/>
    <w:rsid w:val="5CC74949"/>
    <w:rsid w:val="5D1076B3"/>
    <w:rsid w:val="5D1F7DEB"/>
    <w:rsid w:val="5E272AFC"/>
    <w:rsid w:val="5E6160E7"/>
    <w:rsid w:val="5E873FB8"/>
    <w:rsid w:val="5EBF1885"/>
    <w:rsid w:val="5ED864A3"/>
    <w:rsid w:val="5F2429C1"/>
    <w:rsid w:val="5F265461"/>
    <w:rsid w:val="5F3828C7"/>
    <w:rsid w:val="5F396D54"/>
    <w:rsid w:val="5F3B5A4A"/>
    <w:rsid w:val="5F952235"/>
    <w:rsid w:val="5FE60C0E"/>
    <w:rsid w:val="5FEA25DF"/>
    <w:rsid w:val="60934EB4"/>
    <w:rsid w:val="60DA1417"/>
    <w:rsid w:val="619B7808"/>
    <w:rsid w:val="619C2744"/>
    <w:rsid w:val="62875C56"/>
    <w:rsid w:val="63765FCC"/>
    <w:rsid w:val="637C2B6A"/>
    <w:rsid w:val="638C50BD"/>
    <w:rsid w:val="63A948B2"/>
    <w:rsid w:val="63E23ADE"/>
    <w:rsid w:val="643C6CB2"/>
    <w:rsid w:val="646856C7"/>
    <w:rsid w:val="646A64ED"/>
    <w:rsid w:val="65121E97"/>
    <w:rsid w:val="653A748F"/>
    <w:rsid w:val="65407929"/>
    <w:rsid w:val="65684FFF"/>
    <w:rsid w:val="65A00326"/>
    <w:rsid w:val="65A92F4B"/>
    <w:rsid w:val="65B5279C"/>
    <w:rsid w:val="66001F65"/>
    <w:rsid w:val="66DE44A6"/>
    <w:rsid w:val="67113427"/>
    <w:rsid w:val="67177DB9"/>
    <w:rsid w:val="676034DA"/>
    <w:rsid w:val="67732727"/>
    <w:rsid w:val="67A32996"/>
    <w:rsid w:val="67BD28CF"/>
    <w:rsid w:val="67DC13FF"/>
    <w:rsid w:val="67FD1DAB"/>
    <w:rsid w:val="681C56E8"/>
    <w:rsid w:val="68416615"/>
    <w:rsid w:val="684B418A"/>
    <w:rsid w:val="686D205F"/>
    <w:rsid w:val="686D5C6F"/>
    <w:rsid w:val="68BF24D0"/>
    <w:rsid w:val="693130A1"/>
    <w:rsid w:val="6948480F"/>
    <w:rsid w:val="696C43B8"/>
    <w:rsid w:val="69E71C90"/>
    <w:rsid w:val="69E93615"/>
    <w:rsid w:val="6A8B7443"/>
    <w:rsid w:val="6ACE6346"/>
    <w:rsid w:val="6B1C1E0E"/>
    <w:rsid w:val="6B713F07"/>
    <w:rsid w:val="6B9E0A74"/>
    <w:rsid w:val="6BDA5F51"/>
    <w:rsid w:val="6C382C77"/>
    <w:rsid w:val="6C554EC8"/>
    <w:rsid w:val="6C615D2A"/>
    <w:rsid w:val="6C70605E"/>
    <w:rsid w:val="6C983716"/>
    <w:rsid w:val="6CA4030D"/>
    <w:rsid w:val="6CB42D91"/>
    <w:rsid w:val="6CBE13CE"/>
    <w:rsid w:val="6D1504AB"/>
    <w:rsid w:val="6D471016"/>
    <w:rsid w:val="6D714693"/>
    <w:rsid w:val="6DF79B98"/>
    <w:rsid w:val="6E0F1884"/>
    <w:rsid w:val="6E1D29D4"/>
    <w:rsid w:val="6E2B261D"/>
    <w:rsid w:val="6E4B2FD6"/>
    <w:rsid w:val="6E7F06E9"/>
    <w:rsid w:val="6ECE341F"/>
    <w:rsid w:val="6EDF73DA"/>
    <w:rsid w:val="6EF636E0"/>
    <w:rsid w:val="6EFE4E26"/>
    <w:rsid w:val="6F2F0E79"/>
    <w:rsid w:val="6F7076E4"/>
    <w:rsid w:val="6F71097A"/>
    <w:rsid w:val="6F9A42D9"/>
    <w:rsid w:val="6FCF7F1F"/>
    <w:rsid w:val="6FF70753"/>
    <w:rsid w:val="6FF82AC0"/>
    <w:rsid w:val="704936A5"/>
    <w:rsid w:val="707C3BEB"/>
    <w:rsid w:val="70B700AB"/>
    <w:rsid w:val="713E2ADE"/>
    <w:rsid w:val="71681909"/>
    <w:rsid w:val="71813E9E"/>
    <w:rsid w:val="71CB4036"/>
    <w:rsid w:val="71CC633B"/>
    <w:rsid w:val="720A6E64"/>
    <w:rsid w:val="72121874"/>
    <w:rsid w:val="723233AA"/>
    <w:rsid w:val="723F30C3"/>
    <w:rsid w:val="725D57AD"/>
    <w:rsid w:val="72A04FF1"/>
    <w:rsid w:val="72C309D4"/>
    <w:rsid w:val="73025D8D"/>
    <w:rsid w:val="73186167"/>
    <w:rsid w:val="735955DB"/>
    <w:rsid w:val="73AC1E4B"/>
    <w:rsid w:val="73C22DCA"/>
    <w:rsid w:val="74B45232"/>
    <w:rsid w:val="75542513"/>
    <w:rsid w:val="75C630A2"/>
    <w:rsid w:val="75E8550C"/>
    <w:rsid w:val="75EA0EF3"/>
    <w:rsid w:val="75F45E61"/>
    <w:rsid w:val="76116A13"/>
    <w:rsid w:val="76703C4B"/>
    <w:rsid w:val="773F4EBA"/>
    <w:rsid w:val="77716BAC"/>
    <w:rsid w:val="77DE46D3"/>
    <w:rsid w:val="78586D7C"/>
    <w:rsid w:val="78EE4DE9"/>
    <w:rsid w:val="78F10436"/>
    <w:rsid w:val="792451CB"/>
    <w:rsid w:val="794B223C"/>
    <w:rsid w:val="79AA2B53"/>
    <w:rsid w:val="79C15FC3"/>
    <w:rsid w:val="7AC878BC"/>
    <w:rsid w:val="7ACA53E2"/>
    <w:rsid w:val="7AD149C3"/>
    <w:rsid w:val="7AEE0147"/>
    <w:rsid w:val="7AF4420D"/>
    <w:rsid w:val="7B4A5F29"/>
    <w:rsid w:val="7B5559A9"/>
    <w:rsid w:val="7B6A44CF"/>
    <w:rsid w:val="7B75534E"/>
    <w:rsid w:val="7B88062D"/>
    <w:rsid w:val="7B886492"/>
    <w:rsid w:val="7B991FC9"/>
    <w:rsid w:val="7C2B3C5E"/>
    <w:rsid w:val="7C8B33D3"/>
    <w:rsid w:val="7CB3606E"/>
    <w:rsid w:val="7CB91CF9"/>
    <w:rsid w:val="7D2A21F5"/>
    <w:rsid w:val="7D4D4B10"/>
    <w:rsid w:val="7D87797E"/>
    <w:rsid w:val="7D9F4FAC"/>
    <w:rsid w:val="7E35746A"/>
    <w:rsid w:val="7E731B02"/>
    <w:rsid w:val="7EA86627"/>
    <w:rsid w:val="7EBD3697"/>
    <w:rsid w:val="BDE8CFAA"/>
    <w:rsid w:val="EDF69BB9"/>
    <w:rsid w:val="FEAFC1A6"/>
    <w:rsid w:val="FEF98F06"/>
    <w:rsid w:val="FF7B4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outlineLvl w:val="2"/>
    </w:pPr>
    <w:rPr>
      <w:rFonts w:ascii="楷体_GB2312" w:hAnsi="宋体" w:eastAsia="楷体_GB2312"/>
      <w:b/>
      <w:bCs/>
      <w:sz w:val="32"/>
    </w:rPr>
  </w:style>
  <w:style w:type="paragraph" w:styleId="5">
    <w:name w:val="heading 4"/>
    <w:basedOn w:val="1"/>
    <w:next w:val="1"/>
    <w:unhideWhenUsed/>
    <w:qFormat/>
    <w:uiPriority w:val="0"/>
    <w:pPr>
      <w:keepNext/>
      <w:keepLines/>
      <w:outlineLvl w:val="3"/>
    </w:pPr>
    <w:rPr>
      <w:rFonts w:ascii="Arial" w:hAnsi="Arial"/>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unhideWhenUsed/>
    <w:qFormat/>
    <w:uiPriority w:val="0"/>
    <w:pPr>
      <w:jc w:val="left"/>
    </w:pPr>
  </w:style>
  <w:style w:type="paragraph" w:styleId="7">
    <w:name w:val="Body Text Indent"/>
    <w:basedOn w:val="1"/>
    <w:link w:val="45"/>
    <w:semiHidden/>
    <w:unhideWhenUsed/>
    <w:qFormat/>
    <w:uiPriority w:val="99"/>
    <w:pPr>
      <w:spacing w:after="120"/>
      <w:ind w:left="420" w:leftChars="200"/>
    </w:pPr>
  </w:style>
  <w:style w:type="paragraph" w:styleId="8">
    <w:name w:val="Plain Text"/>
    <w:basedOn w:val="1"/>
    <w:link w:val="31"/>
    <w:qFormat/>
    <w:uiPriority w:val="0"/>
    <w:rPr>
      <w:rFonts w:ascii="宋体" w:hAnsi="Courier New" w:eastAsia="宋体" w:cs="Times New Roman"/>
      <w:kern w:val="0"/>
      <w:sz w:val="20"/>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400" w:lineRule="exact"/>
      <w:jc w:val="center"/>
    </w:pPr>
    <w:rPr>
      <w:rFonts w:ascii="宋体" w:hAnsi="宋体" w:eastAsia="宋体" w:cs="宋体"/>
      <w:b/>
      <w:bCs/>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29"/>
    <w:qFormat/>
    <w:uiPriority w:val="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6"/>
    <w:next w:val="6"/>
    <w:link w:val="28"/>
    <w:semiHidden/>
    <w:unhideWhenUsed/>
    <w:qFormat/>
    <w:uiPriority w:val="99"/>
    <w:rPr>
      <w:b/>
      <w:bCs/>
    </w:rPr>
  </w:style>
  <w:style w:type="paragraph" w:styleId="16">
    <w:name w:val="Body Text First Indent 2"/>
    <w:basedOn w:val="7"/>
    <w:link w:val="46"/>
    <w:unhideWhenUsed/>
    <w:qFormat/>
    <w:uiPriority w:val="99"/>
    <w:pPr>
      <w:spacing w:line="520" w:lineRule="exact"/>
      <w:ind w:firstLine="420"/>
    </w:pPr>
    <w:rPr>
      <w:rFonts w:ascii="Calibri" w:hAnsi="Calibri"/>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annotation reference"/>
    <w:basedOn w:val="19"/>
    <w:unhideWhenUsed/>
    <w:qFormat/>
    <w:uiPriority w:val="0"/>
    <w:rPr>
      <w:sz w:val="21"/>
      <w:szCs w:val="21"/>
    </w:rPr>
  </w:style>
  <w:style w:type="paragraph" w:customStyle="1" w:styleId="22">
    <w:name w:val="表格文字"/>
    <w:basedOn w:val="1"/>
    <w:qFormat/>
    <w:uiPriority w:val="0"/>
    <w:pPr>
      <w:spacing w:before="25" w:after="25" w:line="300" w:lineRule="auto"/>
    </w:pPr>
    <w:rPr>
      <w:rFonts w:ascii="Times" w:hAnsi="Times"/>
      <w:spacing w:val="10"/>
      <w:sz w:val="24"/>
    </w:rPr>
  </w:style>
  <w:style w:type="character" w:customStyle="1" w:styleId="23">
    <w:name w:val="页眉 字符"/>
    <w:basedOn w:val="19"/>
    <w:link w:val="11"/>
    <w:qFormat/>
    <w:uiPriority w:val="99"/>
    <w:rPr>
      <w:sz w:val="18"/>
      <w:szCs w:val="18"/>
    </w:rPr>
  </w:style>
  <w:style w:type="character" w:customStyle="1" w:styleId="24">
    <w:name w:val="页脚 字符"/>
    <w:basedOn w:val="19"/>
    <w:link w:val="10"/>
    <w:qFormat/>
    <w:uiPriority w:val="99"/>
    <w:rPr>
      <w:sz w:val="18"/>
      <w:szCs w:val="18"/>
    </w:rPr>
  </w:style>
  <w:style w:type="paragraph" w:styleId="25">
    <w:name w:val="List Paragraph"/>
    <w:basedOn w:val="1"/>
    <w:link w:val="33"/>
    <w:qFormat/>
    <w:uiPriority w:val="99"/>
    <w:pPr>
      <w:ind w:firstLine="420" w:firstLineChars="200"/>
    </w:pPr>
  </w:style>
  <w:style w:type="character" w:customStyle="1" w:styleId="26">
    <w:name w:val="批注文字 字符"/>
    <w:basedOn w:val="19"/>
    <w:link w:val="6"/>
    <w:qFormat/>
    <w:uiPriority w:val="0"/>
  </w:style>
  <w:style w:type="character" w:customStyle="1" w:styleId="27">
    <w:name w:val="批注框文本 字符"/>
    <w:basedOn w:val="19"/>
    <w:link w:val="9"/>
    <w:semiHidden/>
    <w:qFormat/>
    <w:uiPriority w:val="99"/>
    <w:rPr>
      <w:sz w:val="18"/>
      <w:szCs w:val="18"/>
    </w:rPr>
  </w:style>
  <w:style w:type="character" w:customStyle="1" w:styleId="28">
    <w:name w:val="批注主题 字符"/>
    <w:basedOn w:val="26"/>
    <w:link w:val="15"/>
    <w:semiHidden/>
    <w:qFormat/>
    <w:uiPriority w:val="99"/>
    <w:rPr>
      <w:b/>
      <w:bCs/>
    </w:rPr>
  </w:style>
  <w:style w:type="character" w:customStyle="1" w:styleId="29">
    <w:name w:val="标题 字符"/>
    <w:basedOn w:val="19"/>
    <w:link w:val="14"/>
    <w:qFormat/>
    <w:uiPriority w:val="0"/>
    <w:rPr>
      <w:rFonts w:eastAsia="宋体" w:asciiTheme="majorHAnsi" w:hAnsiTheme="majorHAnsi" w:cstheme="majorBidi"/>
      <w:b/>
      <w:bCs/>
      <w:sz w:val="32"/>
      <w:szCs w:val="32"/>
    </w:rPr>
  </w:style>
  <w:style w:type="character" w:customStyle="1" w:styleId="30">
    <w:name w:val="标题 2 字符"/>
    <w:basedOn w:val="19"/>
    <w:link w:val="3"/>
    <w:qFormat/>
    <w:uiPriority w:val="0"/>
    <w:rPr>
      <w:rFonts w:ascii="Arial" w:hAnsi="Arial" w:eastAsia="黑体" w:cs="Times New Roman"/>
      <w:b/>
      <w:bCs/>
      <w:sz w:val="32"/>
      <w:szCs w:val="32"/>
    </w:rPr>
  </w:style>
  <w:style w:type="character" w:customStyle="1" w:styleId="31">
    <w:name w:val="纯文本 字符"/>
    <w:basedOn w:val="19"/>
    <w:link w:val="8"/>
    <w:qFormat/>
    <w:uiPriority w:val="0"/>
    <w:rPr>
      <w:rFonts w:ascii="宋体" w:hAnsi="Courier New" w:eastAsia="宋体" w:cs="Times New Roman"/>
      <w:kern w:val="0"/>
      <w:sz w:val="20"/>
      <w:szCs w:val="21"/>
    </w:rPr>
  </w:style>
  <w:style w:type="paragraph" w:customStyle="1" w:styleId="3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character" w:customStyle="1" w:styleId="33">
    <w:name w:val="列表段落 字符"/>
    <w:link w:val="25"/>
    <w:qFormat/>
    <w:uiPriority w:val="99"/>
  </w:style>
  <w:style w:type="paragraph" w:customStyle="1" w:styleId="34">
    <w:name w:val="样式4"/>
    <w:basedOn w:val="1"/>
    <w:qFormat/>
    <w:uiPriority w:val="0"/>
    <w:pPr>
      <w:numPr>
        <w:ilvl w:val="3"/>
        <w:numId w:val="2"/>
      </w:numPr>
      <w:tabs>
        <w:tab w:val="left" w:pos="425"/>
        <w:tab w:val="left" w:pos="1984"/>
        <w:tab w:val="clear" w:pos="851"/>
      </w:tabs>
    </w:pPr>
    <w:rPr>
      <w:rFonts w:ascii="Times New Roman" w:hAnsi="Times New Roman" w:eastAsia="宋体" w:cs="Times New Roman"/>
      <w:szCs w:val="24"/>
    </w:rPr>
  </w:style>
  <w:style w:type="paragraph" w:customStyle="1" w:styleId="35">
    <w:name w:val="列出段落1"/>
    <w:basedOn w:val="1"/>
    <w:link w:val="36"/>
    <w:qFormat/>
    <w:uiPriority w:val="99"/>
    <w:pPr>
      <w:ind w:firstLine="420" w:firstLineChars="200"/>
    </w:pPr>
    <w:rPr>
      <w:rFonts w:ascii="Times New Roman" w:hAnsi="Times New Roman" w:eastAsia="宋体" w:cs="Times New Roman"/>
      <w:szCs w:val="21"/>
    </w:rPr>
  </w:style>
  <w:style w:type="character" w:customStyle="1" w:styleId="36">
    <w:name w:val="List Paragraph Char"/>
    <w:link w:val="35"/>
    <w:qFormat/>
    <w:locked/>
    <w:uiPriority w:val="99"/>
    <w:rPr>
      <w:rFonts w:ascii="Times New Roman" w:hAnsi="Times New Roman" w:eastAsia="宋体" w:cs="Times New Roman"/>
      <w:szCs w:val="21"/>
    </w:rPr>
  </w:style>
  <w:style w:type="paragraph" w:customStyle="1" w:styleId="37">
    <w:name w:val="_Style 121"/>
    <w:basedOn w:val="1"/>
    <w:next w:val="25"/>
    <w:qFormat/>
    <w:uiPriority w:val="34"/>
    <w:pPr>
      <w:ind w:firstLine="420" w:firstLineChars="200"/>
    </w:pPr>
    <w:rPr>
      <w:rFonts w:ascii="Calibri" w:hAnsi="Calibri" w:eastAsia="宋体" w:cs="Times New Roman"/>
    </w:rPr>
  </w:style>
  <w:style w:type="paragraph" w:customStyle="1" w:styleId="38">
    <w:name w:val="start-fon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start-font-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正题"/>
    <w:basedOn w:val="1"/>
    <w:next w:val="1"/>
    <w:unhideWhenUsed/>
    <w:qFormat/>
    <w:uiPriority w:val="99"/>
    <w:pPr>
      <w:topLinePunct/>
      <w:adjustRightInd w:val="0"/>
      <w:snapToGrid w:val="0"/>
      <w:spacing w:line="360" w:lineRule="auto"/>
      <w:jc w:val="center"/>
    </w:pPr>
    <w:rPr>
      <w:rFonts w:ascii="Calibri" w:hAnsi="Calibri" w:eastAsia="黑体" w:cs="Times New Roman"/>
      <w:b/>
      <w:spacing w:val="4"/>
      <w:kern w:val="0"/>
      <w:sz w:val="36"/>
      <w:szCs w:val="20"/>
    </w:rPr>
  </w:style>
  <w:style w:type="character" w:customStyle="1" w:styleId="41">
    <w:name w:val="批注文字 字符1"/>
    <w:qFormat/>
    <w:uiPriority w:val="0"/>
  </w:style>
  <w:style w:type="character" w:customStyle="1" w:styleId="42">
    <w:name w:val="批注文字 Char1"/>
    <w:qFormat/>
    <w:uiPriority w:val="0"/>
    <w:rPr>
      <w:rFonts w:ascii="Times New Roman" w:hAnsi="Times New Roman" w:eastAsia="宋体" w:cs="Times New Roman"/>
      <w:szCs w:val="24"/>
    </w:rPr>
  </w:style>
  <w:style w:type="character" w:customStyle="1" w:styleId="43">
    <w:name w:val="列出段落 Char1"/>
    <w:qFormat/>
    <w:locked/>
    <w:uiPriority w:val="99"/>
    <w:rPr>
      <w:rFonts w:ascii="Times New Roman" w:hAnsi="Times New Roman" w:eastAsia="宋体" w:cs="Times New Roman"/>
      <w:szCs w:val="24"/>
    </w:rPr>
  </w:style>
  <w:style w:type="character" w:customStyle="1" w:styleId="44">
    <w:name w:val="纯文本 Char1"/>
    <w:basedOn w:val="19"/>
    <w:qFormat/>
    <w:uiPriority w:val="0"/>
    <w:rPr>
      <w:rFonts w:ascii="宋体" w:hAnsi="Courier New" w:eastAsia="宋体" w:cs="Times New Roman"/>
      <w:kern w:val="0"/>
      <w:sz w:val="20"/>
      <w:szCs w:val="21"/>
    </w:rPr>
  </w:style>
  <w:style w:type="character" w:customStyle="1" w:styleId="45">
    <w:name w:val="正文文本缩进 字符"/>
    <w:basedOn w:val="19"/>
    <w:link w:val="7"/>
    <w:semiHidden/>
    <w:qFormat/>
    <w:uiPriority w:val="99"/>
    <w:rPr>
      <w:kern w:val="2"/>
      <w:sz w:val="21"/>
      <w:szCs w:val="22"/>
    </w:rPr>
  </w:style>
  <w:style w:type="character" w:customStyle="1" w:styleId="46">
    <w:name w:val="正文文本首行缩进 2 字符"/>
    <w:basedOn w:val="45"/>
    <w:link w:val="16"/>
    <w:qFormat/>
    <w:uiPriority w:val="99"/>
    <w:rPr>
      <w:rFonts w:ascii="Calibri" w:hAnsi="Calibri"/>
      <w:kern w:val="2"/>
      <w:sz w:val="21"/>
      <w:szCs w:val="21"/>
    </w:rPr>
  </w:style>
  <w:style w:type="paragraph" w:customStyle="1" w:styleId="47">
    <w:name w:val="正文正"/>
    <w:basedOn w:val="1"/>
    <w:qFormat/>
    <w:uiPriority w:val="0"/>
    <w:pPr>
      <w:spacing w:line="560" w:lineRule="exact"/>
      <w:ind w:firstLine="561"/>
    </w:pPr>
    <w:rPr>
      <w:rFonts w:ascii="Calibri" w:hAnsi="Calibri"/>
      <w:sz w:val="28"/>
      <w:szCs w:val="28"/>
    </w:rPr>
  </w:style>
  <w:style w:type="paragraph" w:customStyle="1" w:styleId="48">
    <w:name w:val="BT2"/>
    <w:basedOn w:val="3"/>
    <w:next w:val="1"/>
    <w:qFormat/>
    <w:uiPriority w:val="0"/>
    <w:pPr>
      <w:spacing w:before="120" w:after="120" w:line="520" w:lineRule="exact"/>
    </w:pPr>
    <w:rPr>
      <w:b w:val="0"/>
      <w:bCs w:val="0"/>
      <w:sz w:val="28"/>
      <w:szCs w:val="20"/>
    </w:rPr>
  </w:style>
  <w:style w:type="paragraph" w:customStyle="1" w:styleId="49">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50">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52">
    <w:name w:val="msolistparagraph"/>
    <w:basedOn w:val="1"/>
    <w:qFormat/>
    <w:uiPriority w:val="0"/>
    <w:pPr>
      <w:ind w:firstLine="420" w:firstLineChars="200"/>
    </w:pPr>
    <w:rPr>
      <w:rFonts w:ascii="Times New Roman" w:hAnsi="Times New Roman" w:eastAsia="黑体" w:cs="Times New Roman"/>
      <w:bCs/>
      <w:sz w:val="30"/>
      <w:szCs w:val="30"/>
    </w:rPr>
  </w:style>
  <w:style w:type="paragraph" w:customStyle="1" w:styleId="5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5">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90303-DFF9-4B49-9AE7-95CD3422E488}">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19</Pages>
  <Words>3810</Words>
  <Characters>3912</Characters>
  <Lines>184</Lines>
  <Paragraphs>240</Paragraphs>
  <TotalTime>22</TotalTime>
  <ScaleCrop>false</ScaleCrop>
  <LinksUpToDate>false</LinksUpToDate>
  <CharactersWithSpaces>4350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2024-08-02T08:20:00Z</dcterms:created>
  <dc:creator>dreamsummit</dc:creator>
  <cp:lastModifiedBy>云采链</cp:lastModifiedBy>
  <cp:lastPrinted>2018-10-16T20:01:00Z</cp:lastPrinted>
  <dcterms:modified xsi:type="dcterms:W3CDTF">2025-10-27T07:56:31Z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CDFC6522C3004701A4D0118429B03EA8_13</vt:lpwstr>
  </property>
  <property fmtid="{D5CDD505-2E9C-101B-9397-08002B2CF9AE}" pid="4" name="KSOTemplateDocerSaveRecord">
    <vt:lpwstr>eyJoZGlkIjoiODliYjkzNWRjZTlhNzk4YWU3Yzk0ZDNjMGNhM2MyMjIiLCJ1c2VySWQiOiI0MDkwNDAzNDUifQ==</vt:lpwstr>
  </property>
</Properties>
</file>