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48CCD">
      <w:pPr>
        <w:widowControl/>
        <w:shd w:val="clear"/>
        <w:ind w:firstLine="360" w:firstLineChars="200"/>
        <w:jc w:val="left"/>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一、采购项目基本情况</w:t>
      </w:r>
    </w:p>
    <w:p w14:paraId="616AEB12">
      <w:pPr>
        <w:widowControl/>
        <w:shd w:val="clear"/>
        <w:ind w:firstLine="360" w:firstLineChars="200"/>
        <w:jc w:val="left"/>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（一）项目名称：中山大学孙逸仙纪念医院基础与转化医学研究中心实验场地租赁项目</w:t>
      </w:r>
    </w:p>
    <w:p w14:paraId="081FBE18">
      <w:pPr>
        <w:widowControl/>
        <w:shd w:val="clear"/>
        <w:ind w:firstLine="360" w:firstLineChars="200"/>
        <w:jc w:val="left"/>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二）项目采购背景及目的：中山大学孙逸仙纪念医院基础与转化医学研究中心实验室是采购人为大力支持科研、人才培养而投资建立的院外研究平台之一，中心布局有遗传与表观遗传学、免疫学、材料学等功能分区，目前已进驻PI及研究团队的研究人员</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研究生</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达</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200</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余</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人</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为更好开展科研工作，现对基础与转化医学研究中心实验场地租赁项目进行公开招标采购。</w:t>
      </w:r>
    </w:p>
    <w:p w14:paraId="1AED8B2A">
      <w:pPr>
        <w:keepNext w:val="0"/>
        <w:keepLines w:val="0"/>
        <w:pageBreakBefore w:val="0"/>
        <w:widowControl/>
        <w:shd w:val="clear"/>
        <w:kinsoku/>
        <w:wordWrap/>
        <w:overflowPunct/>
        <w:topLinePunct w:val="0"/>
        <w:autoSpaceDE/>
        <w:autoSpaceDN/>
        <w:bidi w:val="0"/>
        <w:adjustRightInd w:val="0"/>
        <w:snapToGrid w:val="0"/>
        <w:spacing w:line="240" w:lineRule="auto"/>
        <w:ind w:left="0" w:firstLine="360" w:firstLineChars="200"/>
        <w:jc w:val="left"/>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三</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）项目预算：634.7万元人民币/3年</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资金来源已落实。</w:t>
      </w:r>
    </w:p>
    <w:p w14:paraId="44D996CA">
      <w:pPr>
        <w:keepNext w:val="0"/>
        <w:keepLines w:val="0"/>
        <w:pageBreakBefore w:val="0"/>
        <w:widowControl/>
        <w:shd w:val="clear"/>
        <w:kinsoku/>
        <w:wordWrap/>
        <w:overflowPunct/>
        <w:topLinePunct w:val="0"/>
        <w:autoSpaceDE/>
        <w:autoSpaceDN/>
        <w:bidi w:val="0"/>
        <w:adjustRightInd w:val="0"/>
        <w:snapToGrid w:val="0"/>
        <w:spacing w:line="240" w:lineRule="auto"/>
        <w:ind w:left="0" w:firstLine="360" w:firstLineChars="200"/>
        <w:jc w:val="left"/>
        <w:textAlignment w:val="auto"/>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四</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本项目不属于专门面向中小企业采购项目。本项目所属行业为租赁和商务服务业。本项目不允许联合体投标。不接受中标备选方案。</w:t>
      </w:r>
    </w:p>
    <w:p w14:paraId="3D13579F">
      <w:pPr>
        <w:keepNext w:val="0"/>
        <w:keepLines w:val="0"/>
        <w:pageBreakBefore w:val="0"/>
        <w:shd w:val="clear"/>
        <w:kinsoku/>
        <w:wordWrap/>
        <w:overflowPunct/>
        <w:topLinePunct w:val="0"/>
        <w:autoSpaceDE/>
        <w:autoSpaceDN/>
        <w:bidi w:val="0"/>
        <w:adjustRightInd w:val="0"/>
        <w:snapToGrid w:val="0"/>
        <w:spacing w:line="240" w:lineRule="auto"/>
        <w:ind w:left="0" w:firstLine="360" w:firstLineChars="200"/>
        <w:textAlignment w:val="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五</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spacing w:val="-2"/>
          <w:sz w:val="18"/>
          <w:szCs w:val="18"/>
          <w:highlight w:val="none"/>
          <w14:textFill>
            <w14:solidFill>
              <w14:schemeClr w14:val="tx1"/>
            </w14:solidFill>
          </w14:textFill>
        </w:rPr>
        <w:t>采购需求：</w:t>
      </w:r>
    </w:p>
    <w:p w14:paraId="571AF5EA">
      <w:pPr>
        <w:keepNext w:val="0"/>
        <w:keepLines w:val="0"/>
        <w:pageBreakBefore w:val="0"/>
        <w:numPr>
          <w:ilvl w:val="0"/>
          <w:numId w:val="0"/>
        </w:numPr>
        <w:shd w:val="clear"/>
        <w:kinsoku/>
        <w:wordWrap/>
        <w:overflowPunct/>
        <w:topLinePunct w:val="0"/>
        <w:autoSpaceDE/>
        <w:autoSpaceDN/>
        <w:bidi w:val="0"/>
        <w:adjustRightInd w:val="0"/>
        <w:snapToGrid w:val="0"/>
        <w:spacing w:line="240" w:lineRule="auto"/>
        <w:ind w:left="0" w:leftChars="0" w:firstLine="172" w:firstLineChars="100"/>
        <w:textAlignment w:val="auto"/>
        <w:rPr>
          <w:rFonts w:hint="eastAsia" w:ascii="微软雅黑" w:hAnsi="微软雅黑" w:eastAsia="微软雅黑" w:cs="微软雅黑"/>
          <w:b w:val="0"/>
          <w:bCs w:val="0"/>
          <w:color w:val="000000" w:themeColor="text1"/>
          <w:spacing w:val="-4"/>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spacing w:val="-4"/>
          <w:kern w:val="2"/>
          <w:sz w:val="18"/>
          <w:szCs w:val="18"/>
          <w:highlight w:val="none"/>
          <w:lang w:val="en-US" w:eastAsia="zh-CN" w:bidi="ar-SA"/>
          <w14:textFill>
            <w14:solidFill>
              <w14:schemeClr w14:val="tx1"/>
            </w14:solidFill>
          </w14:textFill>
        </w:rPr>
        <w:t>（1）</w:t>
      </w:r>
      <w:r>
        <w:rPr>
          <w:rFonts w:hint="eastAsia" w:ascii="微软雅黑" w:hAnsi="微软雅黑" w:eastAsia="微软雅黑" w:cs="微软雅黑"/>
          <w:b w:val="0"/>
          <w:bCs w:val="0"/>
          <w:color w:val="000000" w:themeColor="text1"/>
          <w:spacing w:val="-4"/>
          <w:sz w:val="18"/>
          <w:szCs w:val="18"/>
          <w:highlight w:val="none"/>
          <w14:textFill>
            <w14:solidFill>
              <w14:schemeClr w14:val="tx1"/>
            </w14:solidFill>
          </w14:textFill>
        </w:rPr>
        <w:t>具体包组划分如下：</w:t>
      </w:r>
    </w:p>
    <w:p w14:paraId="245D0AEC">
      <w:pPr>
        <w:shd w:val="clear"/>
        <w:spacing w:line="22" w:lineRule="exact"/>
        <w:rPr>
          <w:rFonts w:hint="eastAsia" w:ascii="微软雅黑" w:hAnsi="微软雅黑" w:eastAsia="微软雅黑" w:cs="微软雅黑"/>
          <w:color w:val="000000" w:themeColor="text1"/>
          <w:sz w:val="18"/>
          <w:szCs w:val="18"/>
          <w:highlight w:val="none"/>
          <w14:textFill>
            <w14:solidFill>
              <w14:schemeClr w14:val="tx1"/>
            </w14:solidFill>
          </w14:textFill>
        </w:rPr>
      </w:pPr>
    </w:p>
    <w:tbl>
      <w:tblPr>
        <w:tblStyle w:val="7"/>
        <w:tblpPr w:leftFromText="180" w:rightFromText="180" w:vertAnchor="text" w:horzAnchor="page" w:tblpX="1347" w:tblpY="212"/>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86"/>
        <w:gridCol w:w="1675"/>
        <w:gridCol w:w="1063"/>
        <w:gridCol w:w="1219"/>
        <w:gridCol w:w="1087"/>
        <w:gridCol w:w="1188"/>
        <w:gridCol w:w="966"/>
        <w:gridCol w:w="1315"/>
      </w:tblGrid>
      <w:tr w14:paraId="2DE3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D67128F">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序号</w:t>
            </w:r>
          </w:p>
        </w:tc>
        <w:tc>
          <w:tcPr>
            <w:tcW w:w="886" w:type="dxa"/>
            <w:vAlign w:val="center"/>
          </w:tcPr>
          <w:p w14:paraId="2E94ACE8">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品目</w:t>
            </w:r>
          </w:p>
        </w:tc>
        <w:tc>
          <w:tcPr>
            <w:tcW w:w="1675" w:type="dxa"/>
            <w:vAlign w:val="center"/>
          </w:tcPr>
          <w:p w14:paraId="1A492F6E">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采购内容</w:t>
            </w:r>
          </w:p>
        </w:tc>
        <w:tc>
          <w:tcPr>
            <w:tcW w:w="1063" w:type="dxa"/>
            <w:vAlign w:val="top"/>
          </w:tcPr>
          <w:p w14:paraId="5994C7C1">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租赁</w:t>
            </w:r>
            <w:r>
              <w:rPr>
                <w:rFonts w:hint="eastAsia" w:ascii="微软雅黑" w:hAnsi="微软雅黑" w:eastAsia="微软雅黑" w:cs="微软雅黑"/>
                <w:b/>
                <w:bCs/>
                <w:color w:val="000000" w:themeColor="text1"/>
                <w:spacing w:val="-8"/>
                <w:sz w:val="18"/>
                <w:szCs w:val="18"/>
                <w:highlight w:val="none"/>
                <w14:textFill>
                  <w14:solidFill>
                    <w14:schemeClr w14:val="tx1"/>
                  </w14:solidFill>
                </w14:textFill>
              </w:rPr>
              <w:t>建筑</w:t>
            </w: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面积</w:t>
            </w:r>
          </w:p>
        </w:tc>
        <w:tc>
          <w:tcPr>
            <w:tcW w:w="1219" w:type="dxa"/>
            <w:vAlign w:val="top"/>
          </w:tcPr>
          <w:p w14:paraId="49C9CB3E">
            <w:pPr>
              <w:pStyle w:val="10"/>
              <w:keepNext w:val="0"/>
              <w:keepLines w:val="0"/>
              <w:pageBreakBefore w:val="0"/>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14:textFill>
                  <w14:solidFill>
                    <w14:schemeClr w14:val="tx1"/>
                  </w14:solidFill>
                </w14:textFill>
              </w:rPr>
              <w:t>租赁期限</w:t>
            </w:r>
          </w:p>
        </w:tc>
        <w:tc>
          <w:tcPr>
            <w:tcW w:w="1087" w:type="dxa"/>
            <w:vAlign w:val="center"/>
          </w:tcPr>
          <w:p w14:paraId="11C891A0">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项目预算（含税费）</w:t>
            </w:r>
          </w:p>
        </w:tc>
        <w:tc>
          <w:tcPr>
            <w:tcW w:w="1188" w:type="dxa"/>
            <w:vAlign w:val="top"/>
          </w:tcPr>
          <w:p w14:paraId="6D510CF7">
            <w:pPr>
              <w:pStyle w:val="10"/>
              <w:keepNext w:val="0"/>
              <w:keepLines w:val="0"/>
              <w:pageBreakBefore w:val="0"/>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6"/>
                <w:sz w:val="18"/>
                <w:szCs w:val="18"/>
                <w:highlight w:val="none"/>
                <w:lang w:val="en-US" w:eastAsia="zh-CN"/>
                <w14:textFill>
                  <w14:solidFill>
                    <w14:schemeClr w14:val="tx1"/>
                  </w14:solidFill>
                </w14:textFill>
              </w:rPr>
              <w:t>首年</w:t>
            </w:r>
            <w:r>
              <w:rPr>
                <w:rFonts w:hint="eastAsia" w:ascii="微软雅黑" w:hAnsi="微软雅黑" w:eastAsia="微软雅黑" w:cs="微软雅黑"/>
                <w:b/>
                <w:bCs/>
                <w:color w:val="000000" w:themeColor="text1"/>
                <w:spacing w:val="-6"/>
                <w:sz w:val="18"/>
                <w:szCs w:val="18"/>
                <w:highlight w:val="none"/>
                <w14:textFill>
                  <w14:solidFill>
                    <w14:schemeClr w14:val="tx1"/>
                  </w14:solidFill>
                </w14:textFill>
              </w:rPr>
              <w:t>每月</w:t>
            </w: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租金单价</w:t>
            </w:r>
            <w:r>
              <w:rPr>
                <w:rFonts w:hint="eastAsia" w:ascii="微软雅黑" w:hAnsi="微软雅黑" w:eastAsia="微软雅黑" w:cs="微软雅黑"/>
                <w:b/>
                <w:bCs/>
                <w:color w:val="000000" w:themeColor="text1"/>
                <w:spacing w:val="-14"/>
                <w:sz w:val="18"/>
                <w:szCs w:val="18"/>
                <w:highlight w:val="none"/>
                <w14:textFill>
                  <w14:solidFill>
                    <w14:schemeClr w14:val="tx1"/>
                  </w14:solidFill>
                </w14:textFill>
              </w:rPr>
              <w:t>限价</w:t>
            </w:r>
          </w:p>
        </w:tc>
        <w:tc>
          <w:tcPr>
            <w:tcW w:w="966" w:type="dxa"/>
            <w:vAlign w:val="top"/>
          </w:tcPr>
          <w:p w14:paraId="0AF51C44">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2" w:firstLineChars="0"/>
              <w:jc w:val="center"/>
              <w:textAlignment w:val="auto"/>
              <w:rPr>
                <w:rFonts w:hint="default" w:ascii="微软雅黑" w:hAnsi="微软雅黑" w:eastAsia="微软雅黑" w:cs="微软雅黑"/>
                <w:b/>
                <w:bCs/>
                <w:color w:val="000000" w:themeColor="text1"/>
                <w:spacing w:val="-5"/>
                <w:sz w:val="18"/>
                <w:szCs w:val="18"/>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lang w:val="en-US" w:eastAsia="zh-CN"/>
                <w14:textFill>
                  <w14:solidFill>
                    <w14:schemeClr w14:val="tx1"/>
                  </w14:solidFill>
                </w14:textFill>
              </w:rPr>
              <w:t>年租金固定递增率</w:t>
            </w:r>
          </w:p>
        </w:tc>
        <w:tc>
          <w:tcPr>
            <w:tcW w:w="1315" w:type="dxa"/>
            <w:vAlign w:val="top"/>
          </w:tcPr>
          <w:p w14:paraId="55F4968A">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2" w:firstLineChars="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14:textFill>
                  <w14:solidFill>
                    <w14:schemeClr w14:val="tx1"/>
                  </w14:solidFill>
                </w14:textFill>
              </w:rPr>
              <w:t>货物质量或服务标</w:t>
            </w:r>
            <w:r>
              <w:rPr>
                <w:rFonts w:hint="eastAsia" w:ascii="微软雅黑" w:hAnsi="微软雅黑" w:eastAsia="微软雅黑" w:cs="微软雅黑"/>
                <w:b/>
                <w:bCs/>
                <w:color w:val="000000" w:themeColor="text1"/>
                <w:spacing w:val="31"/>
                <w:sz w:val="18"/>
                <w:szCs w:val="18"/>
                <w:highlight w:val="none"/>
                <w14:textFill>
                  <w14:solidFill>
                    <w14:schemeClr w14:val="tx1"/>
                  </w14:solidFill>
                </w14:textFill>
              </w:rPr>
              <w:t>准要求</w:t>
            </w:r>
          </w:p>
        </w:tc>
      </w:tr>
      <w:tr w14:paraId="07BE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60" w:type="dxa"/>
          </w:tcPr>
          <w:p w14:paraId="154BA2E3">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1</w:t>
            </w:r>
          </w:p>
        </w:tc>
        <w:tc>
          <w:tcPr>
            <w:tcW w:w="886" w:type="dxa"/>
          </w:tcPr>
          <w:p w14:paraId="6CAC30F5">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C21020000-</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场地租赁</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服务</w:t>
            </w:r>
          </w:p>
        </w:tc>
        <w:tc>
          <w:tcPr>
            <w:tcW w:w="1675" w:type="dxa"/>
          </w:tcPr>
          <w:p w14:paraId="2C060FB8">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中山大学孙逸仙纪念基础与转化医学研究中心实验场地租赁服务</w:t>
            </w:r>
          </w:p>
        </w:tc>
        <w:tc>
          <w:tcPr>
            <w:tcW w:w="1063" w:type="dxa"/>
          </w:tcPr>
          <w:p w14:paraId="40DFBA98">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不少于2900平方米</w:t>
            </w:r>
          </w:p>
        </w:tc>
        <w:tc>
          <w:tcPr>
            <w:tcW w:w="1219" w:type="dxa"/>
          </w:tcPr>
          <w:p w14:paraId="4232785E">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3年（2026年2月14日</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起3年</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w:t>
            </w:r>
          </w:p>
        </w:tc>
        <w:tc>
          <w:tcPr>
            <w:tcW w:w="1087" w:type="dxa"/>
          </w:tcPr>
          <w:p w14:paraId="408F5004">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人民币634.7万元</w:t>
            </w:r>
          </w:p>
        </w:tc>
        <w:tc>
          <w:tcPr>
            <w:tcW w:w="1188" w:type="dxa"/>
            <w:vAlign w:val="top"/>
          </w:tcPr>
          <w:p w14:paraId="79216C41">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60</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元/m²</w:t>
            </w:r>
          </w:p>
        </w:tc>
        <w:tc>
          <w:tcPr>
            <w:tcW w:w="966" w:type="dxa"/>
            <w:vAlign w:val="top"/>
          </w:tcPr>
          <w:p w14:paraId="73824C64">
            <w:pPr>
              <w:pStyle w:val="10"/>
              <w:shd w:val="clear"/>
              <w:spacing w:before="204" w:line="240" w:lineRule="auto"/>
              <w:jc w:val="center"/>
              <w:rPr>
                <w:rFonts w:hint="default" w:ascii="微软雅黑" w:hAnsi="微软雅黑" w:eastAsia="微软雅黑" w:cs="微软雅黑"/>
                <w:color w:val="000000" w:themeColor="text1"/>
                <w:spacing w:val="-3"/>
                <w:sz w:val="18"/>
                <w:szCs w:val="18"/>
                <w:highlight w:val="none"/>
                <w:lang w:val="en-US" w:eastAsia="zh-CN"/>
                <w14:textFill>
                  <w14:solidFill>
                    <w14:schemeClr w14:val="tx1"/>
                  </w14:solidFill>
                </w14:textFill>
              </w:rPr>
            </w:pPr>
            <w:r>
              <w:rPr>
                <w:rFonts w:hint="eastAsia" w:ascii="微软雅黑" w:hAnsi="微软雅黑" w:eastAsia="微软雅黑" w:cs="微软雅黑"/>
                <w:color w:val="000000" w:themeColor="text1"/>
                <w:spacing w:val="-3"/>
                <w:sz w:val="18"/>
                <w:szCs w:val="18"/>
                <w:highlight w:val="none"/>
                <w:lang w:val="en-US" w:eastAsia="zh-CN"/>
                <w14:textFill>
                  <w14:solidFill>
                    <w14:schemeClr w14:val="tx1"/>
                  </w14:solidFill>
                </w14:textFill>
              </w:rPr>
              <w:t>1%</w:t>
            </w:r>
          </w:p>
        </w:tc>
        <w:tc>
          <w:tcPr>
            <w:tcW w:w="1315" w:type="dxa"/>
            <w:vAlign w:val="top"/>
          </w:tcPr>
          <w:p w14:paraId="6C257D7B">
            <w:pPr>
              <w:pStyle w:val="10"/>
              <w:shd w:val="clear"/>
              <w:spacing w:before="204" w:line="240" w:lineRule="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spacing w:val="-3"/>
                <w:sz w:val="18"/>
                <w:szCs w:val="18"/>
                <w:highlight w:val="none"/>
                <w14:textFill>
                  <w14:solidFill>
                    <w14:schemeClr w14:val="tx1"/>
                  </w14:solidFill>
                </w14:textFill>
              </w:rPr>
              <w:t>符合国家和招标文</w:t>
            </w:r>
            <w:r>
              <w:rPr>
                <w:rFonts w:hint="eastAsia" w:ascii="微软雅黑" w:hAnsi="微软雅黑" w:eastAsia="微软雅黑" w:cs="微软雅黑"/>
                <w:color w:val="000000" w:themeColor="text1"/>
                <w:spacing w:val="-2"/>
                <w:sz w:val="18"/>
                <w:szCs w:val="18"/>
                <w:highlight w:val="none"/>
                <w14:textFill>
                  <w14:solidFill>
                    <w14:schemeClr w14:val="tx1"/>
                  </w14:solidFill>
                </w14:textFill>
              </w:rPr>
              <w:t>件相关要</w:t>
            </w:r>
            <w:r>
              <w:rPr>
                <w:rFonts w:hint="eastAsia" w:ascii="微软雅黑" w:hAnsi="微软雅黑" w:eastAsia="微软雅黑" w:cs="微软雅黑"/>
                <w:color w:val="000000" w:themeColor="text1"/>
                <w:spacing w:val="-3"/>
                <w:sz w:val="18"/>
                <w:szCs w:val="18"/>
                <w:highlight w:val="none"/>
                <w14:textFill>
                  <w14:solidFill>
                    <w14:schemeClr w14:val="tx1"/>
                  </w14:solidFill>
                </w14:textFill>
              </w:rPr>
              <w:t>求，详见招标文件</w:t>
            </w:r>
          </w:p>
        </w:tc>
      </w:tr>
    </w:tbl>
    <w:p w14:paraId="79321070">
      <w:pPr>
        <w:widowControl/>
        <w:shd w:val="clear"/>
        <w:ind w:firstLine="360" w:firstLineChars="200"/>
        <w:jc w:val="left"/>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（2）服务时间：3年。</w:t>
      </w:r>
    </w:p>
    <w:p w14:paraId="57B4DF18">
      <w:pPr>
        <w:widowControl/>
        <w:shd w:val="clear"/>
        <w:adjustRightInd w:val="0"/>
        <w:snapToGrid w:val="0"/>
        <w:ind w:firstLine="360" w:firstLineChars="200"/>
        <w:jc w:val="left"/>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（3）服务地点：以</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提供地点为准。</w:t>
      </w:r>
    </w:p>
    <w:p w14:paraId="4F1270AC">
      <w:pPr>
        <w:widowControl/>
        <w:shd w:val="clear"/>
        <w:adjustRightInd w:val="0"/>
        <w:snapToGrid w:val="0"/>
        <w:ind w:firstLine="360" w:firstLineChars="200"/>
        <w:jc w:val="left"/>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六</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合同履行期限：项目采购合同生效之日起服务期为</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年</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或累计结算金额达到合同金额时止，以先到者为准。</w:t>
      </w:r>
    </w:p>
    <w:p w14:paraId="3E12CC36">
      <w:pPr>
        <w:keepNext w:val="0"/>
        <w:keepLines w:val="0"/>
        <w:pageBreakBefore w:val="0"/>
        <w:widowControl/>
        <w:shd w:val="clear"/>
        <w:kinsoku/>
        <w:wordWrap/>
        <w:overflowPunct/>
        <w:topLinePunct w:val="0"/>
        <w:autoSpaceDE/>
        <w:autoSpaceDN/>
        <w:bidi w:val="0"/>
        <w:adjustRightInd w:val="0"/>
        <w:snapToGrid w:val="0"/>
        <w:spacing w:line="240" w:lineRule="auto"/>
        <w:ind w:firstLine="180" w:firstLineChars="100"/>
        <w:jc w:val="left"/>
        <w:textAlignment w:val="auto"/>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二、采购项目需求</w:t>
      </w:r>
    </w:p>
    <w:p w14:paraId="19C2E4F8">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（一）采购标的：</w:t>
      </w:r>
    </w:p>
    <w:tbl>
      <w:tblPr>
        <w:tblStyle w:val="7"/>
        <w:tblpPr w:leftFromText="180" w:rightFromText="180" w:vertAnchor="text" w:horzAnchor="page" w:tblpX="1347" w:tblpY="212"/>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86"/>
        <w:gridCol w:w="1675"/>
        <w:gridCol w:w="1063"/>
        <w:gridCol w:w="1219"/>
        <w:gridCol w:w="1087"/>
        <w:gridCol w:w="1280"/>
        <w:gridCol w:w="1108"/>
        <w:gridCol w:w="1223"/>
      </w:tblGrid>
      <w:tr w14:paraId="65EB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09BA7F31">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序号</w:t>
            </w:r>
          </w:p>
        </w:tc>
        <w:tc>
          <w:tcPr>
            <w:tcW w:w="886" w:type="dxa"/>
            <w:vAlign w:val="center"/>
          </w:tcPr>
          <w:p w14:paraId="79EF41D0">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品目</w:t>
            </w:r>
          </w:p>
        </w:tc>
        <w:tc>
          <w:tcPr>
            <w:tcW w:w="1675" w:type="dxa"/>
            <w:vAlign w:val="center"/>
          </w:tcPr>
          <w:p w14:paraId="7322ECFC">
            <w:pPr>
              <w:keepNext w:val="0"/>
              <w:keepLines w:val="0"/>
              <w:pageBreakBefore w:val="0"/>
              <w:widowControl/>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采购内容</w:t>
            </w:r>
          </w:p>
        </w:tc>
        <w:tc>
          <w:tcPr>
            <w:tcW w:w="1063" w:type="dxa"/>
            <w:vAlign w:val="top"/>
          </w:tcPr>
          <w:p w14:paraId="0B4DA9E0">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租赁</w:t>
            </w:r>
            <w:r>
              <w:rPr>
                <w:rFonts w:hint="eastAsia" w:ascii="微软雅黑" w:hAnsi="微软雅黑" w:eastAsia="微软雅黑" w:cs="微软雅黑"/>
                <w:b/>
                <w:bCs/>
                <w:color w:val="000000" w:themeColor="text1"/>
                <w:spacing w:val="-8"/>
                <w:sz w:val="18"/>
                <w:szCs w:val="18"/>
                <w:highlight w:val="none"/>
                <w14:textFill>
                  <w14:solidFill>
                    <w14:schemeClr w14:val="tx1"/>
                  </w14:solidFill>
                </w14:textFill>
              </w:rPr>
              <w:t>建筑</w:t>
            </w: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面积</w:t>
            </w:r>
          </w:p>
        </w:tc>
        <w:tc>
          <w:tcPr>
            <w:tcW w:w="1219" w:type="dxa"/>
            <w:vAlign w:val="top"/>
          </w:tcPr>
          <w:p w14:paraId="5DBFD849">
            <w:pPr>
              <w:keepNext w:val="0"/>
              <w:keepLines w:val="0"/>
              <w:pageBreakBefore w:val="0"/>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color w:val="000000" w:themeColor="text1"/>
                <w:sz w:val="18"/>
                <w:szCs w:val="18"/>
                <w:highlight w:val="none"/>
                <w14:textFill>
                  <w14:solidFill>
                    <w14:schemeClr w14:val="tx1"/>
                  </w14:solidFill>
                </w14:textFill>
              </w:rPr>
            </w:pPr>
          </w:p>
          <w:p w14:paraId="37F4FF9D">
            <w:pPr>
              <w:pStyle w:val="10"/>
              <w:keepNext w:val="0"/>
              <w:keepLines w:val="0"/>
              <w:pageBreakBefore w:val="0"/>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14:textFill>
                  <w14:solidFill>
                    <w14:schemeClr w14:val="tx1"/>
                  </w14:solidFill>
                </w14:textFill>
              </w:rPr>
              <w:t>租赁期限</w:t>
            </w:r>
          </w:p>
        </w:tc>
        <w:tc>
          <w:tcPr>
            <w:tcW w:w="1087" w:type="dxa"/>
            <w:vAlign w:val="center"/>
          </w:tcPr>
          <w:p w14:paraId="485428B2">
            <w:pPr>
              <w:keepNext w:val="0"/>
              <w:keepLines w:val="0"/>
              <w:pageBreakBefore w:val="0"/>
              <w:widowControl/>
              <w:shd w:val="clear"/>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项目预算（含税费）</w:t>
            </w:r>
          </w:p>
        </w:tc>
        <w:tc>
          <w:tcPr>
            <w:tcW w:w="1280" w:type="dxa"/>
            <w:vAlign w:val="top"/>
          </w:tcPr>
          <w:p w14:paraId="51223538">
            <w:pPr>
              <w:pStyle w:val="10"/>
              <w:keepNext w:val="0"/>
              <w:keepLines w:val="0"/>
              <w:pageBreakBefore w:val="0"/>
              <w:shd w:val="clear"/>
              <w:kinsoku/>
              <w:wordWrap/>
              <w:overflowPunct/>
              <w:topLinePunct w:val="0"/>
              <w:autoSpaceDE/>
              <w:autoSpaceDN/>
              <w:bidi w:val="0"/>
              <w:adjustRightInd w:val="0"/>
              <w:snapToGrid w:val="0"/>
              <w:spacing w:line="240" w:lineRule="auto"/>
              <w:ind w:left="0" w:right="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6"/>
                <w:sz w:val="18"/>
                <w:szCs w:val="18"/>
                <w:highlight w:val="none"/>
                <w:lang w:val="en-US" w:eastAsia="zh-CN"/>
                <w14:textFill>
                  <w14:solidFill>
                    <w14:schemeClr w14:val="tx1"/>
                  </w14:solidFill>
                </w14:textFill>
              </w:rPr>
              <w:t>首年</w:t>
            </w:r>
            <w:r>
              <w:rPr>
                <w:rFonts w:hint="eastAsia" w:ascii="微软雅黑" w:hAnsi="微软雅黑" w:eastAsia="微软雅黑" w:cs="微软雅黑"/>
                <w:b/>
                <w:bCs/>
                <w:color w:val="000000" w:themeColor="text1"/>
                <w:spacing w:val="-6"/>
                <w:sz w:val="18"/>
                <w:szCs w:val="18"/>
                <w:highlight w:val="none"/>
                <w14:textFill>
                  <w14:solidFill>
                    <w14:schemeClr w14:val="tx1"/>
                  </w14:solidFill>
                </w14:textFill>
              </w:rPr>
              <w:t>每月</w:t>
            </w:r>
            <w:r>
              <w:rPr>
                <w:rFonts w:hint="eastAsia" w:ascii="微软雅黑" w:hAnsi="微软雅黑" w:eastAsia="微软雅黑" w:cs="微软雅黑"/>
                <w:b/>
                <w:bCs/>
                <w:color w:val="000000" w:themeColor="text1"/>
                <w:spacing w:val="-7"/>
                <w:sz w:val="18"/>
                <w:szCs w:val="18"/>
                <w:highlight w:val="none"/>
                <w14:textFill>
                  <w14:solidFill>
                    <w14:schemeClr w14:val="tx1"/>
                  </w14:solidFill>
                </w14:textFill>
              </w:rPr>
              <w:t>租金单价</w:t>
            </w:r>
            <w:r>
              <w:rPr>
                <w:rFonts w:hint="eastAsia" w:ascii="微软雅黑" w:hAnsi="微软雅黑" w:eastAsia="微软雅黑" w:cs="微软雅黑"/>
                <w:b/>
                <w:bCs/>
                <w:color w:val="000000" w:themeColor="text1"/>
                <w:spacing w:val="-14"/>
                <w:sz w:val="18"/>
                <w:szCs w:val="18"/>
                <w:highlight w:val="none"/>
                <w14:textFill>
                  <w14:solidFill>
                    <w14:schemeClr w14:val="tx1"/>
                  </w14:solidFill>
                </w14:textFill>
              </w:rPr>
              <w:t>限价</w:t>
            </w:r>
          </w:p>
        </w:tc>
        <w:tc>
          <w:tcPr>
            <w:tcW w:w="1108" w:type="dxa"/>
            <w:vAlign w:val="top"/>
          </w:tcPr>
          <w:p w14:paraId="4F4CC253">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2" w:firstLineChars="0"/>
              <w:jc w:val="center"/>
              <w:textAlignment w:val="auto"/>
              <w:rPr>
                <w:rFonts w:hint="eastAsia" w:ascii="微软雅黑" w:hAnsi="微软雅黑" w:eastAsia="微软雅黑" w:cs="微软雅黑"/>
                <w:b/>
                <w:bCs/>
                <w:color w:val="000000" w:themeColor="text1"/>
                <w:spacing w:val="-5"/>
                <w:sz w:val="18"/>
                <w:szCs w:val="18"/>
                <w:highlight w:val="none"/>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lang w:val="en-US" w:eastAsia="zh-CN"/>
                <w14:textFill>
                  <w14:solidFill>
                    <w14:schemeClr w14:val="tx1"/>
                  </w14:solidFill>
                </w14:textFill>
              </w:rPr>
              <w:t>年租金固定递增率</w:t>
            </w:r>
          </w:p>
        </w:tc>
        <w:tc>
          <w:tcPr>
            <w:tcW w:w="1223" w:type="dxa"/>
            <w:vAlign w:val="top"/>
          </w:tcPr>
          <w:p w14:paraId="4FFB5F87">
            <w:pPr>
              <w:pStyle w:val="10"/>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2" w:firstLineChars="0"/>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spacing w:val="-5"/>
                <w:sz w:val="18"/>
                <w:szCs w:val="18"/>
                <w:highlight w:val="none"/>
                <w14:textFill>
                  <w14:solidFill>
                    <w14:schemeClr w14:val="tx1"/>
                  </w14:solidFill>
                </w14:textFill>
              </w:rPr>
              <w:t>货物质量或服务标</w:t>
            </w:r>
            <w:r>
              <w:rPr>
                <w:rFonts w:hint="eastAsia" w:ascii="微软雅黑" w:hAnsi="微软雅黑" w:eastAsia="微软雅黑" w:cs="微软雅黑"/>
                <w:b/>
                <w:bCs/>
                <w:color w:val="000000" w:themeColor="text1"/>
                <w:spacing w:val="31"/>
                <w:sz w:val="18"/>
                <w:szCs w:val="18"/>
                <w:highlight w:val="none"/>
                <w14:textFill>
                  <w14:solidFill>
                    <w14:schemeClr w14:val="tx1"/>
                  </w14:solidFill>
                </w14:textFill>
              </w:rPr>
              <w:t>准要求</w:t>
            </w:r>
          </w:p>
        </w:tc>
      </w:tr>
      <w:tr w14:paraId="276F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14:paraId="73D1469E">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1</w:t>
            </w:r>
          </w:p>
        </w:tc>
        <w:tc>
          <w:tcPr>
            <w:tcW w:w="886" w:type="dxa"/>
          </w:tcPr>
          <w:p w14:paraId="73384DFA">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C21020000-</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场地租赁</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服务</w:t>
            </w:r>
          </w:p>
        </w:tc>
        <w:tc>
          <w:tcPr>
            <w:tcW w:w="1675" w:type="dxa"/>
          </w:tcPr>
          <w:p w14:paraId="21F4EFB6">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中山大学孙逸仙纪念基础与转化医学研究中心实验场地租赁服务</w:t>
            </w:r>
          </w:p>
        </w:tc>
        <w:tc>
          <w:tcPr>
            <w:tcW w:w="1063" w:type="dxa"/>
          </w:tcPr>
          <w:p w14:paraId="75785A36">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不少于2900平方米</w:t>
            </w:r>
          </w:p>
        </w:tc>
        <w:tc>
          <w:tcPr>
            <w:tcW w:w="1219" w:type="dxa"/>
          </w:tcPr>
          <w:p w14:paraId="72BBD2D8">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3年（2026年2月14日</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起3年</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w:t>
            </w:r>
          </w:p>
        </w:tc>
        <w:tc>
          <w:tcPr>
            <w:tcW w:w="1087" w:type="dxa"/>
            <w:vAlign w:val="top"/>
          </w:tcPr>
          <w:p w14:paraId="6384F2C0">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人民币634.7万元</w:t>
            </w:r>
          </w:p>
        </w:tc>
        <w:tc>
          <w:tcPr>
            <w:tcW w:w="1280" w:type="dxa"/>
          </w:tcPr>
          <w:p w14:paraId="1A729714">
            <w:pPr>
              <w:widowControl/>
              <w:shd w:val="clear"/>
              <w:spacing w:line="240" w:lineRule="auto"/>
              <w:jc w:val="cente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60</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元/m²</w:t>
            </w:r>
          </w:p>
        </w:tc>
        <w:tc>
          <w:tcPr>
            <w:tcW w:w="1108" w:type="dxa"/>
            <w:vAlign w:val="top"/>
          </w:tcPr>
          <w:p w14:paraId="4DD5D4CF">
            <w:pPr>
              <w:pStyle w:val="10"/>
              <w:shd w:val="clear"/>
              <w:spacing w:before="204" w:line="240" w:lineRule="auto"/>
              <w:jc w:val="center"/>
              <w:rPr>
                <w:rFonts w:hint="eastAsia" w:ascii="微软雅黑" w:hAnsi="微软雅黑" w:eastAsia="微软雅黑" w:cs="微软雅黑"/>
                <w:color w:val="000000" w:themeColor="text1"/>
                <w:spacing w:val="-3"/>
                <w:sz w:val="18"/>
                <w:szCs w:val="18"/>
                <w:highlight w:val="none"/>
                <w14:textFill>
                  <w14:solidFill>
                    <w14:schemeClr w14:val="tx1"/>
                  </w14:solidFill>
                </w14:textFill>
              </w:rPr>
            </w:pPr>
            <w:r>
              <w:rPr>
                <w:rFonts w:hint="eastAsia" w:ascii="微软雅黑" w:hAnsi="微软雅黑" w:eastAsia="微软雅黑" w:cs="微软雅黑"/>
                <w:color w:val="000000" w:themeColor="text1"/>
                <w:spacing w:val="-3"/>
                <w:sz w:val="18"/>
                <w:szCs w:val="18"/>
                <w:highlight w:val="none"/>
                <w:lang w:val="en-US" w:eastAsia="zh-CN"/>
                <w14:textFill>
                  <w14:solidFill>
                    <w14:schemeClr w14:val="tx1"/>
                  </w14:solidFill>
                </w14:textFill>
              </w:rPr>
              <w:t>1%</w:t>
            </w:r>
          </w:p>
        </w:tc>
        <w:tc>
          <w:tcPr>
            <w:tcW w:w="1223" w:type="dxa"/>
            <w:vAlign w:val="top"/>
          </w:tcPr>
          <w:p w14:paraId="16B1F64C">
            <w:pPr>
              <w:pStyle w:val="10"/>
              <w:shd w:val="clear"/>
              <w:spacing w:before="204" w:line="240" w:lineRule="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spacing w:val="-3"/>
                <w:sz w:val="18"/>
                <w:szCs w:val="18"/>
                <w:highlight w:val="none"/>
                <w14:textFill>
                  <w14:solidFill>
                    <w14:schemeClr w14:val="tx1"/>
                  </w14:solidFill>
                </w14:textFill>
              </w:rPr>
              <w:t>符合国家和招标文</w:t>
            </w:r>
            <w:r>
              <w:rPr>
                <w:rFonts w:hint="eastAsia" w:ascii="微软雅黑" w:hAnsi="微软雅黑" w:eastAsia="微软雅黑" w:cs="微软雅黑"/>
                <w:color w:val="000000" w:themeColor="text1"/>
                <w:spacing w:val="-2"/>
                <w:sz w:val="18"/>
                <w:szCs w:val="18"/>
                <w:highlight w:val="none"/>
                <w14:textFill>
                  <w14:solidFill>
                    <w14:schemeClr w14:val="tx1"/>
                  </w14:solidFill>
                </w14:textFill>
              </w:rPr>
              <w:t>件相关要</w:t>
            </w:r>
            <w:r>
              <w:rPr>
                <w:rFonts w:hint="eastAsia" w:ascii="微软雅黑" w:hAnsi="微软雅黑" w:eastAsia="微软雅黑" w:cs="微软雅黑"/>
                <w:color w:val="000000" w:themeColor="text1"/>
                <w:spacing w:val="-3"/>
                <w:sz w:val="18"/>
                <w:szCs w:val="18"/>
                <w:highlight w:val="none"/>
                <w14:textFill>
                  <w14:solidFill>
                    <w14:schemeClr w14:val="tx1"/>
                  </w14:solidFill>
                </w14:textFill>
              </w:rPr>
              <w:t>求，详见招标文件</w:t>
            </w:r>
          </w:p>
        </w:tc>
      </w:tr>
    </w:tbl>
    <w:p w14:paraId="201E4E64">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（二）技术商务要求</w:t>
      </w:r>
    </w:p>
    <w:p w14:paraId="76BD04AC">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1.商务要求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808"/>
        <w:gridCol w:w="5171"/>
      </w:tblGrid>
      <w:tr w14:paraId="62C0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11F869D3">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themeColor="text1"/>
                <w:sz w:val="18"/>
                <w:szCs w:val="18"/>
                <w:highlight w:val="none"/>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序</w:t>
            </w:r>
          </w:p>
          <w:p w14:paraId="202D36D2">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号</w:t>
            </w:r>
          </w:p>
        </w:tc>
        <w:tc>
          <w:tcPr>
            <w:tcW w:w="2808" w:type="dxa"/>
            <w:vAlign w:val="center"/>
          </w:tcPr>
          <w:p w14:paraId="439BE3CB">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内容</w:t>
            </w:r>
          </w:p>
        </w:tc>
        <w:tc>
          <w:tcPr>
            <w:tcW w:w="5171" w:type="dxa"/>
            <w:vAlign w:val="center"/>
          </w:tcPr>
          <w:p w14:paraId="46A8E3C8">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bCs/>
                <w:color w:val="000000" w:themeColor="text1"/>
                <w:kern w:val="0"/>
                <w:sz w:val="18"/>
                <w:szCs w:val="18"/>
                <w:highlight w:val="none"/>
                <w:lang w:bidi="ar"/>
                <w14:textFill>
                  <w14:solidFill>
                    <w14:schemeClr w14:val="tx1"/>
                  </w14:solidFill>
                </w14:textFill>
              </w:rPr>
              <w:t>说明与要求</w:t>
            </w:r>
          </w:p>
        </w:tc>
      </w:tr>
      <w:tr w14:paraId="4A11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F42A214">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1</w:t>
            </w:r>
          </w:p>
        </w:tc>
        <w:tc>
          <w:tcPr>
            <w:tcW w:w="2808" w:type="dxa"/>
          </w:tcPr>
          <w:p w14:paraId="28BE491D">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是否提供现场踏勘</w:t>
            </w:r>
          </w:p>
        </w:tc>
        <w:tc>
          <w:tcPr>
            <w:tcW w:w="5171" w:type="dxa"/>
          </w:tcPr>
          <w:p w14:paraId="3372014A">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是□否☑</w:t>
            </w:r>
          </w:p>
        </w:tc>
      </w:tr>
      <w:tr w14:paraId="739E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3" w:type="dxa"/>
          </w:tcPr>
          <w:p w14:paraId="03F75119">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2</w:t>
            </w:r>
          </w:p>
        </w:tc>
        <w:tc>
          <w:tcPr>
            <w:tcW w:w="2808" w:type="dxa"/>
          </w:tcPr>
          <w:p w14:paraId="4B2CA4CA">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项目实施期限</w:t>
            </w:r>
          </w:p>
        </w:tc>
        <w:tc>
          <w:tcPr>
            <w:tcW w:w="5171" w:type="dxa"/>
          </w:tcPr>
          <w:p w14:paraId="7D5BC6A8">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实施时间为</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自</w:t>
            </w:r>
            <w:r>
              <w:rPr>
                <w:rFonts w:hint="eastAsia" w:ascii="微软雅黑" w:hAnsi="微软雅黑" w:eastAsia="微软雅黑" w:cs="微软雅黑"/>
                <w:color w:val="000000" w:themeColor="text1"/>
                <w:kern w:val="0"/>
                <w:sz w:val="18"/>
                <w:szCs w:val="18"/>
                <w:highlight w:val="none"/>
                <w:u w:val="single"/>
                <w:lang w:bidi="ar"/>
                <w14:textFill>
                  <w14:solidFill>
                    <w14:schemeClr w14:val="tx1"/>
                  </w14:solidFill>
                </w14:textFill>
              </w:rPr>
              <w:t>2026</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年</w:t>
            </w:r>
            <w:r>
              <w:rPr>
                <w:rFonts w:hint="eastAsia" w:ascii="微软雅黑" w:hAnsi="微软雅黑" w:eastAsia="微软雅黑" w:cs="微软雅黑"/>
                <w:color w:val="000000" w:themeColor="text1"/>
                <w:kern w:val="0"/>
                <w:sz w:val="18"/>
                <w:szCs w:val="18"/>
                <w:highlight w:val="none"/>
                <w:u w:val="single"/>
                <w:lang w:bidi="ar"/>
                <w14:textFill>
                  <w14:solidFill>
                    <w14:schemeClr w14:val="tx1"/>
                  </w14:solidFill>
                </w14:textFill>
              </w:rPr>
              <w:t>2</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月</w:t>
            </w:r>
            <w:r>
              <w:rPr>
                <w:rFonts w:hint="eastAsia" w:ascii="微软雅黑" w:hAnsi="微软雅黑" w:eastAsia="微软雅黑" w:cs="微软雅黑"/>
                <w:color w:val="000000" w:themeColor="text1"/>
                <w:kern w:val="0"/>
                <w:sz w:val="18"/>
                <w:szCs w:val="18"/>
                <w:highlight w:val="none"/>
                <w:u w:val="single"/>
                <w:lang w:bidi="ar"/>
                <w14:textFill>
                  <w14:solidFill>
                    <w14:schemeClr w14:val="tx1"/>
                  </w14:solidFill>
                </w14:textFill>
              </w:rPr>
              <w:t>14</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日起3年或累计结算金额达到合同金额时止，以先到者为准。</w:t>
            </w:r>
          </w:p>
        </w:tc>
      </w:tr>
      <w:tr w14:paraId="2ECE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vAlign w:val="top"/>
          </w:tcPr>
          <w:p w14:paraId="3325CECD">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3</w:t>
            </w:r>
          </w:p>
        </w:tc>
        <w:tc>
          <w:tcPr>
            <w:tcW w:w="2808" w:type="dxa"/>
          </w:tcPr>
          <w:p w14:paraId="035AD4D1">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项目交付时间</w:t>
            </w:r>
          </w:p>
        </w:tc>
        <w:tc>
          <w:tcPr>
            <w:tcW w:w="5171" w:type="dxa"/>
          </w:tcPr>
          <w:p w14:paraId="2AEFD6BF">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合同</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生效</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后</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3</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个工作日内交付租赁场地</w:t>
            </w:r>
          </w:p>
        </w:tc>
      </w:tr>
      <w:tr w14:paraId="2E32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vAlign w:val="top"/>
          </w:tcPr>
          <w:p w14:paraId="6EE8306F">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4</w:t>
            </w:r>
          </w:p>
        </w:tc>
        <w:tc>
          <w:tcPr>
            <w:tcW w:w="2808" w:type="dxa"/>
          </w:tcPr>
          <w:p w14:paraId="124516C2">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项目交付地点</w:t>
            </w:r>
          </w:p>
        </w:tc>
        <w:tc>
          <w:tcPr>
            <w:tcW w:w="5171" w:type="dxa"/>
          </w:tcPr>
          <w:p w14:paraId="62595269">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以</w:t>
            </w:r>
            <w:r>
              <w:rPr>
                <w:rFonts w:hint="eastAsia" w:ascii="微软雅黑" w:hAnsi="微软雅黑" w:eastAsia="微软雅黑" w:cs="微软雅黑"/>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提供地点为准</w:t>
            </w:r>
          </w:p>
        </w:tc>
      </w:tr>
      <w:tr w14:paraId="627E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vAlign w:val="top"/>
          </w:tcPr>
          <w:p w14:paraId="10E2FC0C">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bidi="ar"/>
                <w14:textFill>
                  <w14:solidFill>
                    <w14:schemeClr w14:val="tx1"/>
                  </w14:solidFill>
                </w14:textFill>
              </w:rPr>
              <w:t>5</w:t>
            </w:r>
          </w:p>
        </w:tc>
        <w:tc>
          <w:tcPr>
            <w:tcW w:w="2808" w:type="dxa"/>
            <w:vAlign w:val="center"/>
          </w:tcPr>
          <w:p w14:paraId="0F70E357">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报价要求</w:t>
            </w:r>
          </w:p>
        </w:tc>
        <w:tc>
          <w:tcPr>
            <w:tcW w:w="5171" w:type="dxa"/>
            <w:vAlign w:val="center"/>
          </w:tcPr>
          <w:p w14:paraId="5909637D">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1.本项目报总价。投标总价已包含租赁期间投标人提供场地租赁服务涉及的相关或配套费用，包括租金、设施维修维护费、公共区域相关维护费用、保洁费、垃圾收运费、税费等（不包含物业管理费、水电费等自用能源费用）。其他税费等与采购人租赁场地无关的各项费用全部由投标人负责。</w:t>
            </w:r>
          </w:p>
          <w:p w14:paraId="3C6CE198">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投标总价不得超出本项目预算和最高限价。</w:t>
            </w:r>
          </w:p>
          <w:p w14:paraId="594C38CF">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2.未报投标总价、所有单价，或者超出对应的最高限价的，投标无效。</w:t>
            </w:r>
          </w:p>
          <w:p w14:paraId="5D4CF883">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3.投标总价=[首年每月租金单价报价（含税）×2900平方米×12个月]×3.0301。如按上述公式算出的投标总价与开标一览表标示的投标总价不符，以单价为准修正投标总价。若投标人不认可上述修正后的投标总价或修正后的投标总价超过本项目的总价最高限价，其投标将被否决。</w:t>
            </w:r>
          </w:p>
          <w:p w14:paraId="022D8B44">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4.</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投标人须在投标文件报价中详细列明每年的租赁费用（含税费），以三年总金额报价（即</w:t>
            </w: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投标总价</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）作为价格评审标准。（价格评审时，租赁建筑面积统一按2900平方米计算）</w:t>
            </w:r>
          </w:p>
          <w:p w14:paraId="00C076D2">
            <w:pPr>
              <w:keepNext w:val="0"/>
              <w:keepLines w:val="0"/>
              <w:pageBreakBefore w:val="0"/>
              <w:widowControl/>
              <w:shd w:val="clear"/>
              <w:kinsoku/>
              <w:wordWrap/>
              <w:overflowPunct/>
              <w:topLinePunct w:val="0"/>
              <w:autoSpaceDE/>
              <w:autoSpaceDN/>
              <w:bidi w:val="0"/>
              <w:adjustRightInd w:val="0"/>
              <w:snapToGrid w:val="0"/>
              <w:spacing w:line="240" w:lineRule="auto"/>
              <w:jc w:val="left"/>
              <w:textAlignment w:val="auto"/>
              <w:rPr>
                <w:rFonts w:hint="default"/>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5.合同总金额=[首年每月租金单价报价（含税）×实际租赁物业建筑面积平米数×12个月]×3.0301。如按实际租赁物业建筑面积平方米计算后，合同总金额超过634.7万的，则本项目合同总金额为634.7万，按实结算。</w:t>
            </w:r>
          </w:p>
        </w:tc>
      </w:tr>
      <w:tr w14:paraId="1078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shd w:val="clear" w:color="auto" w:fill="auto"/>
            <w:vAlign w:val="center"/>
          </w:tcPr>
          <w:p w14:paraId="524CC935">
            <w:pPr>
              <w:keepNext w:val="0"/>
              <w:keepLines w:val="0"/>
              <w:pageBreakBefore w:val="0"/>
              <w:widowControl/>
              <w:shd w:val="clear"/>
              <w:kinsoku/>
              <w:wordWrap/>
              <w:overflowPunct/>
              <w:topLinePunct w:val="0"/>
              <w:autoSpaceDE/>
              <w:autoSpaceDN/>
              <w:bidi w:val="0"/>
              <w:adjustRightInd w:val="0"/>
              <w:snapToGrid w:val="0"/>
              <w:spacing w:line="240" w:lineRule="auto"/>
              <w:jc w:val="center"/>
              <w:textAlignment w:val="auto"/>
              <w:rPr>
                <w:rFonts w:hint="default"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t>6</w:t>
            </w:r>
          </w:p>
        </w:tc>
        <w:tc>
          <w:tcPr>
            <w:tcW w:w="2808" w:type="dxa"/>
            <w:vAlign w:val="center"/>
          </w:tcPr>
          <w:p w14:paraId="4C1905EE">
            <w:pPr>
              <w:shd w:val="clear"/>
              <w:spacing w:line="240" w:lineRule="auto"/>
              <w:jc w:val="center"/>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验收要求</w:t>
            </w:r>
          </w:p>
        </w:tc>
        <w:tc>
          <w:tcPr>
            <w:tcW w:w="5171" w:type="dxa"/>
            <w:vAlign w:val="center"/>
          </w:tcPr>
          <w:p w14:paraId="2D5C1F2D">
            <w:pPr>
              <w:shd w:val="clear"/>
              <w:spacing w:line="240" w:lineRule="auto"/>
              <w:rPr>
                <w:rFonts w:hint="eastAsia" w:ascii="微软雅黑" w:hAnsi="微软雅黑" w:eastAsia="微软雅黑" w:cs="微软雅黑"/>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（1）验收合格标准：所租赁的场地及物业服务符合采购人的使用要求，无违约情形；若有需整改事项，</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投标人</w:t>
            </w:r>
            <w:r>
              <w:rPr>
                <w:rFonts w:hint="eastAsia" w:ascii="微软雅黑" w:hAnsi="微软雅黑" w:eastAsia="微软雅黑" w:cs="微软雅黑"/>
                <w:color w:val="000000" w:themeColor="text1"/>
                <w:sz w:val="18"/>
                <w:szCs w:val="18"/>
                <w:highlight w:val="none"/>
                <w14:textFill>
                  <w14:solidFill>
                    <w14:schemeClr w14:val="tx1"/>
                  </w14:solidFill>
                </w14:textFill>
              </w:rPr>
              <w:t>亦能及时完成整改。</w:t>
            </w:r>
          </w:p>
          <w:p w14:paraId="2015F65A">
            <w:pPr>
              <w:shd w:val="clear"/>
              <w:spacing w:line="240" w:lineRule="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（2）验收时间：合同</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生效</w:t>
            </w:r>
            <w:r>
              <w:rPr>
                <w:rFonts w:hint="eastAsia" w:ascii="微软雅黑" w:hAnsi="微软雅黑" w:eastAsia="微软雅黑" w:cs="微软雅黑"/>
                <w:color w:val="000000" w:themeColor="text1"/>
                <w:sz w:val="18"/>
                <w:szCs w:val="18"/>
                <w:highlight w:val="none"/>
                <w14:textFill>
                  <w14:solidFill>
                    <w14:schemeClr w14:val="tx1"/>
                  </w14:solidFill>
                </w14:textFill>
              </w:rPr>
              <w:t>之日起</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3</w:t>
            </w:r>
            <w:r>
              <w:rPr>
                <w:rFonts w:hint="eastAsia" w:ascii="微软雅黑" w:hAnsi="微软雅黑" w:eastAsia="微软雅黑" w:cs="微软雅黑"/>
                <w:color w:val="000000" w:themeColor="text1"/>
                <w:sz w:val="18"/>
                <w:szCs w:val="18"/>
                <w:highlight w:val="none"/>
                <w14:textFill>
                  <w14:solidFill>
                    <w14:schemeClr w14:val="tx1"/>
                  </w14:solidFill>
                </w14:textFill>
              </w:rPr>
              <w:t>个工作日内。</w:t>
            </w:r>
          </w:p>
          <w:p w14:paraId="59876D45">
            <w:pPr>
              <w:shd w:val="clear"/>
              <w:spacing w:line="240" w:lineRule="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（3）验收主体：采购人</w:t>
            </w:r>
          </w:p>
          <w:p w14:paraId="7AC6A317">
            <w:pPr>
              <w:shd w:val="clear"/>
              <w:spacing w:line="240" w:lineRule="auto"/>
              <w:rPr>
                <w:rFonts w:hint="eastAsia" w:ascii="微软雅黑" w:hAnsi="微软雅黑" w:eastAsia="微软雅黑" w:cs="微软雅黑"/>
                <w:color w:val="000000" w:themeColor="text1"/>
                <w:sz w:val="18"/>
                <w:szCs w:val="18"/>
                <w:highlight w:val="none"/>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（4）验收方式：采购人自行验收</w:t>
            </w:r>
          </w:p>
          <w:p w14:paraId="78C7B6E5">
            <w:pPr>
              <w:shd w:val="clear"/>
              <w:spacing w:line="240" w:lineRule="auto"/>
              <w:rPr>
                <w:rFonts w:hint="eastAsia" w:ascii="微软雅黑" w:hAnsi="微软雅黑" w:eastAsia="微软雅黑" w:cs="微软雅黑"/>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sz w:val="18"/>
                <w:szCs w:val="18"/>
                <w:highlight w:val="none"/>
                <w14:textFill>
                  <w14:solidFill>
                    <w14:schemeClr w14:val="tx1"/>
                  </w14:solidFill>
                </w14:textFill>
              </w:rPr>
              <w:t>（5）验收内容：本项目采购文件的采购需求及</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投标人的</w:t>
            </w:r>
            <w:r>
              <w:rPr>
                <w:rFonts w:hint="eastAsia" w:ascii="微软雅黑" w:hAnsi="微软雅黑" w:eastAsia="微软雅黑" w:cs="微软雅黑"/>
                <w:color w:val="000000" w:themeColor="text1"/>
                <w:sz w:val="18"/>
                <w:szCs w:val="18"/>
                <w:highlight w:val="none"/>
                <w14:textFill>
                  <w14:solidFill>
                    <w14:schemeClr w14:val="tx1"/>
                  </w14:solidFill>
                </w14:textFill>
              </w:rPr>
              <w:t>响应文件承诺的每一项技术和商务条款的履约情况。</w:t>
            </w:r>
          </w:p>
        </w:tc>
      </w:tr>
    </w:tbl>
    <w:p w14:paraId="7D2F13A8">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color w:val="000000" w:themeColor="text1"/>
          <w:sz w:val="18"/>
          <w:szCs w:val="18"/>
          <w:highlight w:val="none"/>
          <w:lang w:eastAsia="zh-CN"/>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2.技术要求</w:t>
      </w:r>
    </w:p>
    <w:p w14:paraId="1173C023">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项目用地及相关建筑手续合法合规，产权清晰，保证在合同签订时无任何债权、债务纠纷，具备合法有效的权属证明，确保采购人的整个租赁期可以合法且不受打扰地（采购人同意除外）使用项目用地（场所）；项目场所已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负责完成清洁等工作并配置有电梯（如场地在一楼，可不提供电梯），可立即投入使用；</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提供建筑面积不少于2900平方米的场地（停车场面积不包含在租赁面积内），土地使用权剩余年限不少于</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3</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年（投标文件提供承诺函，格式自拟）。</w:t>
      </w:r>
    </w:p>
    <w:p w14:paraId="61D985CB">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★如该出租</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有其他的产权共有人，</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需提供所有产权共有人均同意将该</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出租给采购人使用的证明。</w:t>
      </w:r>
      <w:bookmarkStart w:id="0" w:name="_GoBack"/>
      <w:bookmarkEnd w:id="0"/>
    </w:p>
    <w:p w14:paraId="537C335E">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★投标人务必保证</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产权清晰，拟出租</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不涉及任何法律纠纷和经济纠纷。</w:t>
      </w:r>
    </w:p>
    <w:p w14:paraId="1A747817">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★租赁期：</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自</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2026年2月14日</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起3年</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，若采购人租赁场地期限有变动，提前半年告知</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征得投标人同意后</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可提前终止合同。</w:t>
      </w:r>
    </w:p>
    <w:p w14:paraId="2B3401A7">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★如因场地相关证件等问题，导致影响采购人正常使用的，由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采取相应措施自行予以解决，因此造成采购人的损失，由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承担采购人全部经济损失。</w:t>
      </w:r>
    </w:p>
    <w:p w14:paraId="2EC258A5">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设计良好，具体表现在格局合理、采光窗户直接向外开设、通风采用自然通风对流通畅，确保充足的自然光照，层高应等于或高于</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2.8</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米；配备污水处理系统，场地建设符合实验场地环评要求。</w:t>
      </w:r>
    </w:p>
    <w:p w14:paraId="01AADD5C">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租赁期间，每月物业管理费单价不得高于7元/㎡。</w:t>
      </w:r>
      <w:r>
        <w:rPr>
          <w:rFonts w:hint="eastAsia" w:ascii="微软雅黑" w:hAnsi="微软雅黑" w:eastAsia="微软雅黑" w:cs="微软雅黑"/>
          <w:color w:val="000000" w:themeColor="text1"/>
          <w:sz w:val="18"/>
          <w:szCs w:val="18"/>
          <w:highlight w:val="none"/>
          <w14:textFill>
            <w14:solidFill>
              <w14:schemeClr w14:val="tx1"/>
            </w14:solidFill>
          </w14:textFill>
        </w:rPr>
        <w:t>电费不得高于广东电网责任有限公司公布的代理购电工商业（珠三角五市）用户价格</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标准</w:t>
      </w:r>
      <w:r>
        <w:rPr>
          <w:rFonts w:hint="eastAsia" w:ascii="微软雅黑" w:hAnsi="微软雅黑" w:eastAsia="微软雅黑" w:cs="微软雅黑"/>
          <w:color w:val="000000" w:themeColor="text1"/>
          <w:sz w:val="18"/>
          <w:szCs w:val="18"/>
          <w:highlight w:val="none"/>
          <w14:textFill>
            <w14:solidFill>
              <w14:schemeClr w14:val="tx1"/>
            </w14:solidFill>
          </w14:textFill>
        </w:rPr>
        <w:t>，水费不得高于广州市自来水有限公司公布的中心城区非居民用水价格</w:t>
      </w:r>
      <w:r>
        <w:rPr>
          <w:rFonts w:hint="eastAsia" w:ascii="微软雅黑" w:hAnsi="微软雅黑" w:eastAsia="微软雅黑" w:cs="微软雅黑"/>
          <w:color w:val="000000" w:themeColor="text1"/>
          <w:sz w:val="18"/>
          <w:szCs w:val="18"/>
          <w:highlight w:val="none"/>
          <w:lang w:val="en-US" w:eastAsia="zh-CN"/>
          <w14:textFill>
            <w14:solidFill>
              <w14:schemeClr w14:val="tx1"/>
            </w14:solidFill>
          </w14:textFill>
        </w:rPr>
        <w:t>标准</w:t>
      </w:r>
      <w:r>
        <w:rPr>
          <w:rFonts w:hint="eastAsia" w:ascii="微软雅黑" w:hAnsi="微软雅黑" w:eastAsia="微软雅黑" w:cs="微软雅黑"/>
          <w:color w:val="000000" w:themeColor="text1"/>
          <w:sz w:val="18"/>
          <w:szCs w:val="18"/>
          <w:highlight w:val="none"/>
          <w14:textFill>
            <w14:solidFill>
              <w14:schemeClr w14:val="tx1"/>
            </w14:solidFill>
          </w14:textFill>
        </w:rPr>
        <w:t>。</w:t>
      </w:r>
    </w:p>
    <w:p w14:paraId="0574CADA">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★投标人拟投入本项目租赁场地含税费租金总费用不得高于人民币634.7万元，</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首年</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每月租金单价不得高于</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60</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元/m²</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每年递增率固定为1%</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w:t>
      </w:r>
    </w:p>
    <w:p w14:paraId="737E150E">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该</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如遭受损坏，或该</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的水管、电线线路或电气设施、防火装置、窗户或其他出现故障及损坏,</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必须立即向</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报告。非</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原因造成的故障及损坏，均由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负责维修或更换。因</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使用不当的原因造成的故障及损坏，由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进行维修，或由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维修后向</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收取维修费。</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采购人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须按消防部门相关要求在</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内配置相应数量的灭火器，以策安全。</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提供的租赁场地必须符合消防安全，并确认能通过安全检查。</w:t>
      </w:r>
    </w:p>
    <w:p w14:paraId="54E300E4">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负责保持场地建筑物设备及渠道良好及其有关维修保养，费用已包含在投标报价中。</w:t>
      </w:r>
    </w:p>
    <w:p w14:paraId="21E748C6">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若涉及公共区域雨、污水管道改造更新，由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负责相关工程及费用。</w:t>
      </w:r>
    </w:p>
    <w:p w14:paraId="2CCF6969">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所有门窗不属人为损坏的由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负责维修或更新，费用已包含在投标报价中。</w:t>
      </w:r>
    </w:p>
    <w:p w14:paraId="66946A0A">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负责场地公共区域的治安、清洁、绿化、消防、安全、防盗及水、电的供应，费用已包含在投标报价中（水费、电费除外）。</w:t>
      </w:r>
    </w:p>
    <w:p w14:paraId="032AD3A6">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采购人租赁场地内部的用水相关问题（如水压低、水量少等）、基本用电相关维修（如跳闸、换灯管等）由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负责（含配件费用如保险丝、灯管等），费用已包含在投标报价中（水费、电费除外）。</w:t>
      </w:r>
    </w:p>
    <w:p w14:paraId="1502EE7D">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水电费用以独立水表、电表实际计量数计算。水电费用不包含在本项目的预算金额中。</w:t>
      </w:r>
    </w:p>
    <w:p w14:paraId="7C3FEA8C">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★针对项目用地及相关建筑，</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应在合同签订前提供合格有效的</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场地</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完损性鉴定报告（由正规检测鉴定公司出具），消防验收合格报告（由公安部门出具）、建筑电气防火检测报告（CMA认证报告）。（投标文件提供承诺函，格式自拟）</w:t>
      </w:r>
    </w:p>
    <w:p w14:paraId="0D484C9A">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★因建筑结构、建筑质量、装修质量、消防安全等原因造成的财产损失、人身伤亡由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承担一切责任并负责赔偿。</w:t>
      </w:r>
    </w:p>
    <w:p w14:paraId="24D25F7C">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★租赁期内，</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不得将采购人租用的土地和房产进行抵押、转让、馈赠、质押、外借，如因此造成采购人的经济损失，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须向采购人支付两年的租赁费用作为违约金，如违约金无法完全弥补采购人的经济损失，</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还应另行足额赔偿。（提供承诺函，格式自拟）</w:t>
      </w:r>
    </w:p>
    <w:p w14:paraId="1BE2A3C5">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租赁期内场地归采购人使用，采购人可对场地进行装修改造并配备实验相关设备设施；租赁期满之日起</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收回场地，采购人增加的装修部分不得要求采购人拆除，采购人自添的设备、设施等采购人可搬走。租赁期满后采购人如需</w:t>
      </w:r>
      <w:r>
        <w:rPr>
          <w:rFonts w:hint="eastAsia" w:ascii="宋体" w:hAnsi="宋体" w:eastAsia="宋体" w:cs="宋体"/>
          <w:color w:val="000000" w:themeColor="text1"/>
          <w:kern w:val="0"/>
          <w:sz w:val="18"/>
          <w:szCs w:val="18"/>
          <w:highlight w:val="none"/>
          <w:u w:val="none" w:color="000000"/>
          <w14:textFill>
            <w14:solidFill>
              <w14:schemeClr w14:val="tx1"/>
            </w14:solidFill>
          </w14:textFill>
        </w:rPr>
        <w:t>继续</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租用另行协商，同等条件下，采购人享有优先租赁权。</w:t>
      </w:r>
    </w:p>
    <w:p w14:paraId="5C365A88">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采购人向</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提出维修请求后，</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应在3天之内提供及时、有效的维修保养服务。由于</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怠于履行维修义务或处于紧急情况时，采购人可组织维修，采购人提供有效凭证，</w:t>
      </w: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应足额支付采购人维修费用。</w:t>
      </w:r>
    </w:p>
    <w:p w14:paraId="5453EE98">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物业交接时间：合同</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生效</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后</w:t>
      </w:r>
      <w:r>
        <w:rPr>
          <w:rFonts w:hint="eastAsia" w:ascii="微软雅黑" w:hAnsi="微软雅黑" w:eastAsia="微软雅黑" w:cs="微软雅黑"/>
          <w:b w:val="0"/>
          <w:bCs w:val="0"/>
          <w:color w:val="000000" w:themeColor="text1"/>
          <w:kern w:val="0"/>
          <w:sz w:val="18"/>
          <w:szCs w:val="18"/>
          <w:highlight w:val="none"/>
          <w:lang w:val="en-US" w:eastAsia="zh-CN" w:bidi="ar"/>
          <w14:textFill>
            <w14:solidFill>
              <w14:schemeClr w14:val="tx1"/>
            </w14:solidFill>
          </w14:textFill>
        </w:rPr>
        <w:t>3</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个工作日内。</w:t>
      </w:r>
    </w:p>
    <w:p w14:paraId="69EFEC32">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eastAsia="zh-CN" w:bidi="ar"/>
          <w14:textFill>
            <w14:solidFill>
              <w14:schemeClr w14:val="tx1"/>
            </w14:solidFill>
          </w14:textFill>
        </w:rPr>
        <w:t>投标人</w:t>
      </w: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须做好租赁场所所在物业（含其负责的公共区域）的整体消防维保、安防维保服务，保障消防设施、安防设施正常运行（含采购人租赁场所内部），且须满足相关政府部门的检测验收条件要求；相关费用已包含在投标报价中。</w:t>
      </w:r>
    </w:p>
    <w:p w14:paraId="7E69BA58">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投标人应保证所投标的物的室内装修质量严格遵循国家或行业标准施工规范，符合国家绿色建筑要求，低甲醛、低污染，保障室内环境安全健康。整体装修效果美观大方且经久耐用，空间布局科学合理。</w:t>
      </w:r>
    </w:p>
    <w:p w14:paraId="203BC119">
      <w:pPr>
        <w:widowControl/>
        <w:numPr>
          <w:ilvl w:val="0"/>
          <w:numId w:val="1"/>
        </w:numPr>
        <w:shd w:val="clear"/>
        <w:spacing w:line="240" w:lineRule="auto"/>
        <w:ind w:left="0" w:leftChars="0" w:firstLine="420" w:firstLineChars="0"/>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投标人应保证所投标的物应装修质量佳、实用性高；且要求交通便利（离公共交通工具站点的距离短、附近公共交通工具网络的密集程度）、周边配套设施完善齐全（齐备生活必需的购物商店或市场、医院、体育设施）。</w:t>
      </w:r>
    </w:p>
    <w:p w14:paraId="47238DA5">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themeColor="text1"/>
          <w:sz w:val="18"/>
          <w:szCs w:val="18"/>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8"/>
          <w:szCs w:val="18"/>
          <w:highlight w:val="none"/>
          <w:lang w:bidi="ar"/>
          <w14:textFill>
            <w14:solidFill>
              <w14:schemeClr w14:val="tx1"/>
            </w14:solidFill>
          </w14:textFill>
        </w:rPr>
        <w:t>物业应具备齐全的备用发电设备（功率不低于15kw）和常规应急预案，以随时应对停电等突发情况，切实保障实验室的重要仪器设备的正常运转。</w:t>
      </w:r>
    </w:p>
    <w:p w14:paraId="12E98811">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kern w:val="0"/>
          <w:sz w:val="18"/>
          <w:szCs w:val="18"/>
          <w:highlight w:val="none"/>
          <w:lang w:bidi="ar"/>
        </w:rPr>
      </w:pPr>
      <w:r>
        <w:rPr>
          <w:rFonts w:hint="eastAsia" w:ascii="微软雅黑" w:hAnsi="微软雅黑" w:eastAsia="微软雅黑" w:cs="微软雅黑"/>
          <w:b w:val="0"/>
          <w:bCs w:val="0"/>
          <w:color w:val="000000"/>
          <w:kern w:val="0"/>
          <w:sz w:val="18"/>
          <w:szCs w:val="18"/>
          <w:highlight w:val="none"/>
          <w:lang w:bidi="ar"/>
        </w:rPr>
        <w:t>投标人中标后一律不得将项目转包或者违法分包，一经发现，采购人有权终止协议，而由此造成的一切经济损失，由</w:t>
      </w:r>
      <w:r>
        <w:rPr>
          <w:rFonts w:hint="eastAsia" w:ascii="微软雅黑" w:hAnsi="微软雅黑" w:eastAsia="微软雅黑" w:cs="微软雅黑"/>
          <w:b w:val="0"/>
          <w:bCs w:val="0"/>
          <w:color w:val="000000"/>
          <w:kern w:val="0"/>
          <w:sz w:val="18"/>
          <w:szCs w:val="18"/>
          <w:highlight w:val="none"/>
          <w:lang w:eastAsia="zh-CN" w:bidi="ar"/>
        </w:rPr>
        <w:t>投标人</w:t>
      </w:r>
      <w:r>
        <w:rPr>
          <w:rFonts w:hint="eastAsia" w:ascii="微软雅黑" w:hAnsi="微软雅黑" w:eastAsia="微软雅黑" w:cs="微软雅黑"/>
          <w:b w:val="0"/>
          <w:bCs w:val="0"/>
          <w:color w:val="000000"/>
          <w:kern w:val="0"/>
          <w:sz w:val="18"/>
          <w:szCs w:val="18"/>
          <w:highlight w:val="none"/>
          <w:lang w:bidi="ar"/>
        </w:rPr>
        <w:t>负责赔偿。</w:t>
      </w:r>
    </w:p>
    <w:p w14:paraId="189BAF9F">
      <w:pPr>
        <w:keepNext w:val="0"/>
        <w:keepLines w:val="0"/>
        <w:pageBreakBefore w:val="0"/>
        <w:widowControl/>
        <w:numPr>
          <w:ilvl w:val="0"/>
          <w:numId w:val="1"/>
        </w:numPr>
        <w:shd w:val="clear"/>
        <w:kinsoku/>
        <w:wordWrap/>
        <w:overflowPunct/>
        <w:topLinePunct w:val="0"/>
        <w:autoSpaceDE/>
        <w:autoSpaceDN/>
        <w:bidi w:val="0"/>
        <w:adjustRightInd w:val="0"/>
        <w:snapToGrid w:val="0"/>
        <w:spacing w:line="240" w:lineRule="auto"/>
        <w:ind w:left="0" w:leftChars="0" w:firstLine="420" w:firstLineChars="0"/>
        <w:jc w:val="left"/>
        <w:textAlignment w:val="auto"/>
        <w:rPr>
          <w:rFonts w:hint="eastAsia" w:ascii="微软雅黑" w:hAnsi="微软雅黑" w:eastAsia="微软雅黑" w:cs="微软雅黑"/>
          <w:b w:val="0"/>
          <w:bCs w:val="0"/>
          <w:color w:val="000000"/>
          <w:kern w:val="0"/>
          <w:sz w:val="18"/>
          <w:szCs w:val="18"/>
          <w:highlight w:val="none"/>
          <w:lang w:bidi="ar"/>
        </w:rPr>
      </w:pPr>
      <w:r>
        <w:rPr>
          <w:rFonts w:hint="eastAsia" w:ascii="微软雅黑" w:hAnsi="微软雅黑" w:eastAsia="微软雅黑" w:cs="微软雅黑"/>
          <w:b w:val="0"/>
          <w:bCs w:val="0"/>
          <w:color w:val="000000"/>
          <w:kern w:val="0"/>
          <w:sz w:val="18"/>
          <w:szCs w:val="18"/>
          <w:highlight w:val="none"/>
          <w:lang w:eastAsia="zh-CN" w:bidi="ar"/>
        </w:rPr>
        <w:t>投标人</w:t>
      </w:r>
      <w:r>
        <w:rPr>
          <w:rFonts w:hint="eastAsia" w:ascii="微软雅黑" w:hAnsi="微软雅黑" w:eastAsia="微软雅黑" w:cs="微软雅黑"/>
          <w:b w:val="0"/>
          <w:bCs w:val="0"/>
          <w:color w:val="000000"/>
          <w:kern w:val="0"/>
          <w:sz w:val="18"/>
          <w:szCs w:val="18"/>
          <w:highlight w:val="none"/>
          <w:lang w:bidi="ar"/>
        </w:rPr>
        <w:t>所提供的服务的质量标准按照国家标准、行业标准或采购人指定标准确定，上述标准不一致的，以严格的或最新的标准为准。没有国家标准、行业标准的，按照通常标准或者符合合同目的的特定标准确定。</w:t>
      </w:r>
    </w:p>
    <w:p w14:paraId="2CA3669F">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sz w:val="18"/>
          <w:szCs w:val="18"/>
          <w:highlight w:val="none"/>
          <w:lang w:eastAsia="zh-CN"/>
        </w:rPr>
      </w:pPr>
      <w:r>
        <w:rPr>
          <w:rFonts w:hint="eastAsia" w:ascii="微软雅黑" w:hAnsi="微软雅黑" w:eastAsia="微软雅黑" w:cs="微软雅黑"/>
          <w:b/>
          <w:bCs/>
          <w:color w:val="000000"/>
          <w:kern w:val="0"/>
          <w:sz w:val="18"/>
          <w:szCs w:val="18"/>
          <w:highlight w:val="none"/>
          <w:lang w:bidi="ar"/>
        </w:rPr>
        <w:t>三、本项目其它需要特别说明的情况</w:t>
      </w:r>
    </w:p>
    <w:p w14:paraId="3D85007C">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sz w:val="18"/>
          <w:szCs w:val="18"/>
          <w:highlight w:val="none"/>
          <w:lang w:eastAsia="zh-CN"/>
        </w:rPr>
      </w:pPr>
      <w:r>
        <w:rPr>
          <w:rFonts w:hint="eastAsia" w:ascii="微软雅黑" w:hAnsi="微软雅黑" w:eastAsia="微软雅黑" w:cs="微软雅黑"/>
          <w:b w:val="0"/>
          <w:bCs w:val="0"/>
          <w:color w:val="000000"/>
          <w:kern w:val="0"/>
          <w:sz w:val="18"/>
          <w:szCs w:val="18"/>
          <w:highlight w:val="none"/>
          <w:lang w:bidi="ar"/>
        </w:rPr>
        <w:t>★1.本项目已经公布预算（单价最高限价），报价超过项目预算价格（单价最高限价）的投标文件为无效投标文件。</w:t>
      </w:r>
    </w:p>
    <w:p w14:paraId="5D727566">
      <w:pPr>
        <w:keepNext w:val="0"/>
        <w:keepLines w:val="0"/>
        <w:pageBreakBefore w:val="0"/>
        <w:widowControl/>
        <w:shd w:val="clear"/>
        <w:kinsoku/>
        <w:wordWrap/>
        <w:overflowPunct/>
        <w:topLinePunct w:val="0"/>
        <w:autoSpaceDE/>
        <w:autoSpaceDN/>
        <w:bidi w:val="0"/>
        <w:adjustRightInd w:val="0"/>
        <w:snapToGrid w:val="0"/>
        <w:spacing w:line="240" w:lineRule="auto"/>
        <w:ind w:firstLine="360" w:firstLineChars="200"/>
        <w:jc w:val="left"/>
        <w:textAlignment w:val="auto"/>
        <w:rPr>
          <w:rFonts w:hint="eastAsia" w:ascii="微软雅黑" w:hAnsi="微软雅黑" w:eastAsia="微软雅黑" w:cs="微软雅黑"/>
          <w:b w:val="0"/>
          <w:bCs w:val="0"/>
          <w:sz w:val="18"/>
          <w:szCs w:val="18"/>
          <w:highlight w:val="none"/>
          <w:lang w:eastAsia="zh-CN"/>
        </w:rPr>
      </w:pPr>
      <w:r>
        <w:rPr>
          <w:rFonts w:hint="eastAsia" w:ascii="微软雅黑" w:hAnsi="微软雅黑" w:eastAsia="微软雅黑" w:cs="微软雅黑"/>
          <w:b w:val="0"/>
          <w:bCs w:val="0"/>
          <w:color w:val="000000"/>
          <w:kern w:val="0"/>
          <w:sz w:val="18"/>
          <w:szCs w:val="18"/>
          <w:highlight w:val="none"/>
          <w:lang w:bidi="ar"/>
        </w:rPr>
        <w:t>★2.本项目不允许转包，中标人不得对用户需求书中的主体内容进行分包。</w:t>
      </w:r>
    </w:p>
    <w:p w14:paraId="5F7886D8">
      <w:pPr>
        <w:keepNext w:val="0"/>
        <w:keepLines w:val="0"/>
        <w:pageBreakBefore w:val="0"/>
        <w:shd w:val="clear"/>
        <w:kinsoku/>
        <w:wordWrap/>
        <w:overflowPunct/>
        <w:topLinePunct w:val="0"/>
        <w:autoSpaceDE/>
        <w:autoSpaceDN/>
        <w:bidi w:val="0"/>
        <w:adjustRightInd w:val="0"/>
        <w:snapToGrid w:val="0"/>
        <w:spacing w:line="240" w:lineRule="auto"/>
        <w:textAlignment w:val="auto"/>
        <w:rPr>
          <w:rFonts w:hint="default" w:ascii="微软雅黑" w:hAnsi="微软雅黑" w:eastAsia="微软雅黑" w:cs="微软雅黑"/>
          <w:sz w:val="18"/>
          <w:szCs w:val="1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DE41F"/>
    <w:multiLevelType w:val="singleLevel"/>
    <w:tmpl w:val="7B4DE41F"/>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324D3"/>
    <w:rsid w:val="007358C5"/>
    <w:rsid w:val="00AD1181"/>
    <w:rsid w:val="014557C2"/>
    <w:rsid w:val="01860F7B"/>
    <w:rsid w:val="01F01BD2"/>
    <w:rsid w:val="03525220"/>
    <w:rsid w:val="058F34B0"/>
    <w:rsid w:val="0BCB745A"/>
    <w:rsid w:val="0FFC0F28"/>
    <w:rsid w:val="10390BE8"/>
    <w:rsid w:val="147026FF"/>
    <w:rsid w:val="17E47C68"/>
    <w:rsid w:val="1A0E24DA"/>
    <w:rsid w:val="216D06F2"/>
    <w:rsid w:val="22CD4C5E"/>
    <w:rsid w:val="24255939"/>
    <w:rsid w:val="25DC4098"/>
    <w:rsid w:val="2A534C89"/>
    <w:rsid w:val="2CC633AC"/>
    <w:rsid w:val="2E9266F5"/>
    <w:rsid w:val="3E0E4396"/>
    <w:rsid w:val="45BB0276"/>
    <w:rsid w:val="4FFD3D1D"/>
    <w:rsid w:val="50FD4D3F"/>
    <w:rsid w:val="515E5F9C"/>
    <w:rsid w:val="533B1B4E"/>
    <w:rsid w:val="594B4CEA"/>
    <w:rsid w:val="5F37766E"/>
    <w:rsid w:val="61253210"/>
    <w:rsid w:val="618849D8"/>
    <w:rsid w:val="61E324D3"/>
    <w:rsid w:val="65CF51E2"/>
    <w:rsid w:val="6C9854C4"/>
    <w:rsid w:val="6D517971"/>
    <w:rsid w:val="78422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3166"/>
    </w:pPr>
    <w:rPr>
      <w:rFonts w:ascii="宋体" w:hAnsi="宋体" w:eastAsia="宋体"/>
      <w:sz w:val="17"/>
      <w:szCs w:val="17"/>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9"/>
    <w:qFormat/>
    <w:uiPriority w:val="0"/>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5"/>
    <w:qFormat/>
    <w:uiPriority w:val="0"/>
    <w:rPr>
      <w:rFonts w:asciiTheme="minorHAnsi" w:hAnsiTheme="minorHAnsi" w:eastAsiaTheme="minorEastAsia" w:cstheme="minorBidi"/>
      <w:kern w:val="2"/>
      <w:sz w:val="18"/>
      <w:szCs w:val="18"/>
    </w:r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表格文字"/>
    <w:basedOn w:val="13"/>
    <w:qFormat/>
    <w:uiPriority w:val="0"/>
    <w:pPr>
      <w:spacing w:before="25" w:after="25"/>
    </w:pPr>
    <w:rPr>
      <w:bCs/>
      <w:spacing w:val="10"/>
      <w:sz w:val="24"/>
      <w:szCs w:val="20"/>
    </w:rPr>
  </w:style>
  <w:style w:type="paragraph" w:customStyle="1" w:styleId="13">
    <w:name w:val="表格文字（两侧对齐）"/>
    <w:basedOn w:val="1"/>
    <w:qFormat/>
    <w:uiPriority w:val="0"/>
    <w:pPr>
      <w:snapToGrid w:val="0"/>
    </w:pPr>
    <w:rPr>
      <w:rFonts w:ascii="Calibri" w:hAnsi="Calibri"/>
      <w:sz w:val="2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中山大学</Company>
  <Pages>4</Pages>
  <Words>10548</Words>
  <Characters>10770</Characters>
  <Lines>23</Lines>
  <Paragraphs>6</Paragraphs>
  <TotalTime>6</TotalTime>
  <ScaleCrop>false</ScaleCrop>
  <LinksUpToDate>false</LinksUpToDate>
  <CharactersWithSpaces>10832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2025-09-08T01:23:00Z</dcterms:created>
  <dc:creator>WPS_1476170686</dc:creator>
  <cp:lastModifiedBy>梁凤娟</cp:lastModifiedBy>
  <cp:lastPrinted>2025-09-08T08:34:00Z</cp:lastPrinted>
  <dcterms:modified xsi:type="dcterms:W3CDTF">2025-09-12T01:17:41Z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749D59F51E204845B3F5C7D6CE03195D_13</vt:lpwstr>
  </property>
  <property fmtid="{D5CDD505-2E9C-101B-9397-08002B2CF9AE}" pid="4" name="KSOTemplateDocerSaveRecord">
    <vt:lpwstr>eyJoZGlkIjoiZGNiZjhiYWJkMzQ2ODliZDg0M2NkY2U3ZDYyYTQ3YzEiLCJ1c2VySWQiOiIzMTQ2MzM3NzQifQ==</vt:lpwstr>
  </property>
</Properties>
</file>