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宋体" w:hAnsi="宋体" w:eastAsia="宋体" w:cs="Calibri"/>
          <w:b/>
          <w:kern w:val="2"/>
          <w:sz w:val="84"/>
          <w:szCs w:val="84"/>
        </w:rPr>
      </w:pPr>
      <w:bookmarkStart w:id="0" w:name="_Toc512613206"/>
      <w:bookmarkStart w:id="1" w:name="_Toc502845064"/>
    </w:p>
    <w:p>
      <w:pPr>
        <w:spacing w:before="156" w:beforeLines="50"/>
        <w:jc w:val="center"/>
        <w:rPr>
          <w:rFonts w:ascii="宋体" w:hAnsi="宋体" w:eastAsia="宋体" w:cs="Calibri"/>
          <w:b/>
          <w:kern w:val="2"/>
          <w:sz w:val="84"/>
          <w:szCs w:val="84"/>
        </w:rPr>
      </w:pPr>
    </w:p>
    <w:p>
      <w:pPr>
        <w:spacing w:before="156" w:beforeLines="50"/>
        <w:jc w:val="center"/>
        <w:rPr>
          <w:rFonts w:ascii="仿宋_GB2312" w:hAnsi="仿宋_GB2312" w:eastAsia="宋体" w:cs="Times New Roman"/>
          <w:b/>
          <w:bCs/>
          <w:kern w:val="2"/>
          <w:sz w:val="84"/>
          <w:szCs w:val="84"/>
        </w:rPr>
      </w:pPr>
      <w:r>
        <w:rPr>
          <w:rFonts w:hint="eastAsia" w:ascii="宋体" w:hAnsi="宋体" w:eastAsia="宋体" w:cs="Calibri"/>
          <w:b/>
          <w:kern w:val="2"/>
          <w:sz w:val="84"/>
          <w:szCs w:val="84"/>
        </w:rPr>
        <w:t>竞价文件</w:t>
      </w:r>
    </w:p>
    <w:p>
      <w:pPr>
        <w:widowControl w:val="0"/>
        <w:adjustRightInd/>
        <w:snapToGrid/>
        <w:spacing w:after="0" w:line="360" w:lineRule="auto"/>
        <w:jc w:val="center"/>
        <w:rPr>
          <w:rFonts w:ascii="宋体" w:hAnsi="宋体" w:eastAsia="宋体" w:cs="Calibri"/>
          <w:b/>
          <w:bCs/>
          <w:kern w:val="2"/>
          <w:sz w:val="24"/>
          <w:szCs w:val="24"/>
        </w:rPr>
      </w:pPr>
    </w:p>
    <w:p>
      <w:pPr>
        <w:widowControl w:val="0"/>
        <w:adjustRightInd/>
        <w:snapToGrid/>
        <w:spacing w:after="0" w:line="360" w:lineRule="auto"/>
        <w:jc w:val="both"/>
        <w:rPr>
          <w:rFonts w:ascii="华文中宋" w:hAnsi="华文中宋" w:eastAsia="华文中宋" w:cs="Calibri"/>
          <w:kern w:val="2"/>
          <w:sz w:val="30"/>
          <w:szCs w:val="30"/>
        </w:rPr>
      </w:pPr>
    </w:p>
    <w:p>
      <w:pPr>
        <w:widowControl w:val="0"/>
        <w:adjustRightInd/>
        <w:snapToGrid/>
        <w:spacing w:after="0" w:line="360" w:lineRule="auto"/>
        <w:jc w:val="both"/>
        <w:rPr>
          <w:rFonts w:ascii="华文中宋" w:hAnsi="华文中宋" w:eastAsia="华文中宋" w:cs="Calibri"/>
          <w:kern w:val="2"/>
          <w:sz w:val="30"/>
          <w:szCs w:val="30"/>
        </w:rPr>
      </w:pPr>
    </w:p>
    <w:p>
      <w:pPr>
        <w:widowControl w:val="0"/>
        <w:adjustRightInd/>
        <w:snapToGrid/>
        <w:spacing w:after="0" w:line="360" w:lineRule="auto"/>
        <w:jc w:val="both"/>
        <w:rPr>
          <w:rFonts w:ascii="华文中宋" w:hAnsi="华文中宋" w:eastAsia="华文中宋" w:cs="Calibri"/>
          <w:kern w:val="2"/>
          <w:sz w:val="30"/>
          <w:szCs w:val="30"/>
        </w:rPr>
      </w:pPr>
    </w:p>
    <w:p>
      <w:pPr>
        <w:widowControl w:val="0"/>
        <w:adjustRightInd/>
        <w:snapToGrid/>
        <w:spacing w:after="0" w:line="360" w:lineRule="auto"/>
        <w:jc w:val="both"/>
        <w:rPr>
          <w:rFonts w:ascii="华文中宋" w:hAnsi="华文中宋" w:eastAsia="华文中宋" w:cs="Calibri"/>
          <w:kern w:val="2"/>
          <w:sz w:val="30"/>
          <w:szCs w:val="30"/>
        </w:rPr>
      </w:pPr>
    </w:p>
    <w:p>
      <w:pPr>
        <w:widowControl w:val="0"/>
        <w:adjustRightInd/>
        <w:snapToGrid/>
        <w:spacing w:after="0" w:line="360" w:lineRule="auto"/>
        <w:rPr>
          <w:rFonts w:ascii="仿宋_GB2312" w:hAnsi="仿宋_GB2312" w:eastAsia="宋体" w:cs="Calibri"/>
          <w:b/>
          <w:bCs/>
          <w:kern w:val="2"/>
          <w:sz w:val="28"/>
          <w:szCs w:val="32"/>
        </w:rPr>
      </w:pPr>
      <w:r>
        <w:rPr>
          <w:rFonts w:hint="eastAsia" w:ascii="仿宋_GB2312" w:hAnsi="仿宋_GB2312" w:eastAsia="宋体" w:cs="Calibri"/>
          <w:b/>
          <w:bCs/>
          <w:kern w:val="2"/>
          <w:sz w:val="28"/>
          <w:szCs w:val="32"/>
        </w:rPr>
        <w:t>采购方式：线上竞价</w:t>
      </w:r>
    </w:p>
    <w:p>
      <w:pPr>
        <w:widowControl w:val="0"/>
        <w:adjustRightInd/>
        <w:snapToGrid/>
        <w:spacing w:after="0" w:line="360" w:lineRule="auto"/>
        <w:ind w:left="1383" w:hanging="1383" w:hangingChars="492"/>
        <w:rPr>
          <w:rFonts w:hint="eastAsia" w:ascii="宋体" w:hAnsi="宋体" w:eastAsia="宋体" w:cs="Calibri"/>
          <w:b/>
          <w:bCs/>
          <w:kern w:val="2"/>
          <w:sz w:val="28"/>
          <w:szCs w:val="32"/>
          <w:u w:val="single"/>
          <w:lang w:eastAsia="zh-CN"/>
        </w:rPr>
      </w:pPr>
      <w:r>
        <w:rPr>
          <w:rFonts w:hint="eastAsia" w:ascii="仿宋_GB2312" w:hAnsi="仿宋_GB2312" w:eastAsia="宋体" w:cs="Calibri"/>
          <w:b/>
          <w:bCs/>
          <w:kern w:val="2"/>
          <w:sz w:val="28"/>
          <w:szCs w:val="32"/>
        </w:rPr>
        <w:t>项目名称：</w:t>
      </w:r>
      <w:r>
        <w:rPr>
          <w:rFonts w:hint="eastAsia" w:ascii="仿宋_GB2312" w:hAnsi="仿宋_GB2312" w:eastAsia="宋体" w:cs="Calibri"/>
          <w:b/>
          <w:bCs/>
          <w:kern w:val="2"/>
          <w:sz w:val="28"/>
          <w:szCs w:val="32"/>
          <w:lang w:eastAsia="zh-CN"/>
        </w:rPr>
        <w:t>广东省广播电视网络股份有限公司茂名分公司2024年办公用品采购项目</w:t>
      </w:r>
    </w:p>
    <w:p>
      <w:pPr>
        <w:widowControl w:val="0"/>
        <w:autoSpaceDE w:val="0"/>
        <w:autoSpaceDN w:val="0"/>
        <w:spacing w:before="156" w:beforeLines="50" w:after="156" w:afterLines="50" w:line="360" w:lineRule="auto"/>
        <w:rPr>
          <w:rFonts w:ascii="黑体" w:hAnsi="华文中宋" w:eastAsia="黑体" w:cs="华文中宋"/>
          <w:sz w:val="30"/>
          <w:szCs w:val="30"/>
        </w:rPr>
      </w:pPr>
    </w:p>
    <w:p>
      <w:pPr>
        <w:widowControl w:val="0"/>
        <w:autoSpaceDE w:val="0"/>
        <w:autoSpaceDN w:val="0"/>
        <w:spacing w:after="0" w:line="360" w:lineRule="auto"/>
        <w:ind w:left="420" w:firstLine="420"/>
        <w:jc w:val="center"/>
        <w:rPr>
          <w:rFonts w:ascii="仿宋_GB2312" w:hAnsi="仿宋_GB2312" w:eastAsia="宋体" w:cs="Calibri"/>
          <w:b/>
          <w:bCs/>
          <w:kern w:val="2"/>
          <w:sz w:val="28"/>
          <w:szCs w:val="32"/>
        </w:rPr>
      </w:pPr>
    </w:p>
    <w:p>
      <w:pPr>
        <w:widowControl w:val="0"/>
        <w:autoSpaceDE w:val="0"/>
        <w:autoSpaceDN w:val="0"/>
        <w:spacing w:after="0" w:line="360" w:lineRule="auto"/>
        <w:ind w:left="420" w:firstLine="420"/>
        <w:jc w:val="center"/>
        <w:rPr>
          <w:rFonts w:ascii="仿宋_GB2312" w:hAnsi="仿宋_GB2312" w:eastAsia="宋体" w:cs="Calibri"/>
          <w:b/>
          <w:bCs/>
          <w:kern w:val="2"/>
          <w:sz w:val="28"/>
          <w:szCs w:val="32"/>
        </w:rPr>
      </w:pPr>
      <w:r>
        <w:rPr>
          <w:rFonts w:hint="eastAsia" w:ascii="仿宋_GB2312" w:hAnsi="仿宋_GB2312" w:eastAsia="宋体" w:cs="Calibri"/>
          <w:b/>
          <w:bCs/>
          <w:kern w:val="2"/>
          <w:sz w:val="28"/>
          <w:szCs w:val="32"/>
        </w:rPr>
        <w:t>广东省广播电视网络股份有限公司茂名分公司</w:t>
      </w:r>
    </w:p>
    <w:p>
      <w:pPr>
        <w:widowControl w:val="0"/>
        <w:autoSpaceDE w:val="0"/>
        <w:autoSpaceDN w:val="0"/>
        <w:spacing w:after="0" w:line="360" w:lineRule="auto"/>
        <w:ind w:left="420" w:firstLine="420"/>
        <w:jc w:val="center"/>
        <w:rPr>
          <w:rFonts w:ascii="仿宋_GB2312" w:hAnsi="仿宋_GB2312" w:eastAsia="宋体" w:cs="Calibri"/>
          <w:b/>
          <w:bCs/>
          <w:kern w:val="2"/>
          <w:sz w:val="28"/>
          <w:szCs w:val="32"/>
        </w:rPr>
      </w:pPr>
      <w:r>
        <w:rPr>
          <w:rFonts w:hint="eastAsia" w:ascii="仿宋_GB2312" w:hAnsi="仿宋_GB2312" w:eastAsia="宋体" w:cs="Calibri"/>
          <w:b/>
          <w:bCs/>
          <w:kern w:val="2"/>
          <w:sz w:val="28"/>
          <w:szCs w:val="32"/>
        </w:rPr>
        <w:t>采联国际招标采购集团有限公司</w:t>
      </w:r>
    </w:p>
    <w:p>
      <w:pPr>
        <w:widowControl w:val="0"/>
        <w:autoSpaceDE w:val="0"/>
        <w:autoSpaceDN w:val="0"/>
        <w:spacing w:after="0" w:line="360" w:lineRule="auto"/>
        <w:ind w:left="420" w:firstLine="420"/>
        <w:jc w:val="center"/>
        <w:rPr>
          <w:rFonts w:ascii="仿宋_GB2312" w:hAnsi="仿宋_GB2312" w:eastAsia="宋体" w:cs="Calibri"/>
          <w:b/>
          <w:kern w:val="2"/>
          <w:sz w:val="28"/>
        </w:rPr>
      </w:pPr>
      <w:r>
        <w:rPr>
          <w:rFonts w:hint="eastAsia" w:ascii="仿宋_GB2312" w:hAnsi="仿宋_GB2312" w:eastAsia="宋体" w:cs="Calibri"/>
          <w:b/>
          <w:kern w:val="2"/>
          <w:sz w:val="28"/>
          <w:szCs w:val="21"/>
        </w:rPr>
        <w:t>二零二</w:t>
      </w:r>
      <w:r>
        <w:rPr>
          <w:rFonts w:hint="eastAsia" w:ascii="仿宋_GB2312" w:hAnsi="仿宋_GB2312" w:eastAsia="宋体" w:cs="Calibri"/>
          <w:b/>
          <w:kern w:val="2"/>
          <w:sz w:val="28"/>
          <w:szCs w:val="21"/>
          <w:lang w:val="en-US" w:eastAsia="zh-CN"/>
        </w:rPr>
        <w:t>四</w:t>
      </w:r>
      <w:r>
        <w:rPr>
          <w:rFonts w:hint="eastAsia" w:ascii="仿宋_GB2312" w:hAnsi="仿宋_GB2312" w:eastAsia="宋体" w:cs="Calibri"/>
          <w:b/>
          <w:kern w:val="2"/>
          <w:sz w:val="28"/>
          <w:szCs w:val="21"/>
        </w:rPr>
        <w:t>年四月</w:t>
      </w:r>
    </w:p>
    <w:p>
      <w:pPr>
        <w:widowControl w:val="0"/>
        <w:adjustRightInd/>
        <w:spacing w:after="0" w:line="360" w:lineRule="auto"/>
        <w:jc w:val="center"/>
        <w:outlineLvl w:val="0"/>
        <w:rPr>
          <w:rFonts w:ascii="Cambria" w:hAnsi="Cambria" w:eastAsia="宋体" w:cs="Times New Roman"/>
          <w:b/>
          <w:bCs/>
          <w:sz w:val="32"/>
          <w:szCs w:val="32"/>
        </w:rPr>
      </w:pPr>
      <w:r>
        <w:rPr>
          <w:rFonts w:ascii="宋体" w:hAnsi="宋体" w:eastAsia="宋体" w:cs="宋体"/>
          <w:sz w:val="52"/>
          <w:szCs w:val="52"/>
        </w:rPr>
        <w:br w:type="page"/>
      </w:r>
      <w:r>
        <w:rPr>
          <w:rFonts w:hint="eastAsia" w:ascii="Calibri" w:hAnsi="Calibri" w:eastAsia="宋体" w:cs="Times New Roman"/>
          <w:b/>
          <w:bCs/>
          <w:kern w:val="2"/>
          <w:sz w:val="32"/>
          <w:szCs w:val="32"/>
        </w:rPr>
        <w:t>第一章竞价须知</w:t>
      </w:r>
    </w:p>
    <w:p>
      <w:pPr>
        <w:widowControl w:val="0"/>
        <w:numPr>
          <w:ilvl w:val="0"/>
          <w:numId w:val="1"/>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本项目通过云采链线上采购一体化平台进行竞价，参与竞价的供应商必须登录平台进行注册，注册成功后方可参与项目竞价。</w:t>
      </w:r>
    </w:p>
    <w:p>
      <w:pPr>
        <w:widowControl w:val="0"/>
        <w:numPr>
          <w:ilvl w:val="0"/>
          <w:numId w:val="1"/>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语言要求</w:t>
      </w:r>
    </w:p>
    <w:p>
      <w:pPr>
        <w:widowControl w:val="0"/>
        <w:adjustRightInd/>
        <w:snapToGrid/>
        <w:spacing w:after="0" w:line="360" w:lineRule="auto"/>
        <w:ind w:left="420"/>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widowControl w:val="0"/>
        <w:numPr>
          <w:ilvl w:val="0"/>
          <w:numId w:val="1"/>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在云采链平台参与项目竞价后放弃成交资格超过三次（含三次）的供应商连同该供应商同一法人名下所有公司将被列入平台黑名单，永久不得参与平台的项目竞价。</w:t>
      </w:r>
    </w:p>
    <w:p>
      <w:pPr>
        <w:widowControl w:val="0"/>
        <w:numPr>
          <w:ilvl w:val="0"/>
          <w:numId w:val="1"/>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竞价须知</w:t>
      </w:r>
    </w:p>
    <w:p>
      <w:pPr>
        <w:widowControl w:val="0"/>
        <w:numPr>
          <w:ilvl w:val="0"/>
          <w:numId w:val="2"/>
        </w:numPr>
        <w:adjustRightInd/>
        <w:snapToGrid/>
        <w:spacing w:after="0" w:line="360" w:lineRule="auto"/>
        <w:jc w:val="both"/>
        <w:rPr>
          <w:rFonts w:ascii="宋体" w:hAnsi="宋体" w:eastAsia="宋体" w:cs="Times New Roman"/>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竞价说明</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参与竞价的供应商应承担所有与准备和参加竞价有关的费用，不</w:t>
      </w:r>
      <w:r>
        <w:rPr>
          <w:rFonts w:hint="eastAsia" w:ascii="宋体" w:hAnsi="宋体" w:eastAsia="宋体" w:cs="宋体"/>
          <w:color w:val="000000" w:themeColor="text1"/>
          <w:kern w:val="2"/>
          <w:sz w:val="21"/>
          <w:szCs w:val="21"/>
          <w:lang w:eastAsia="zh-TW"/>
          <w14:textFill>
            <w14:solidFill>
              <w14:schemeClr w14:val="tx1"/>
            </w14:solidFill>
          </w14:textFill>
        </w:rPr>
        <w:t>论</w:t>
      </w:r>
      <w:r>
        <w:rPr>
          <w:rFonts w:hint="eastAsia" w:ascii="宋体" w:hAnsi="宋体" w:eastAsia="宋体" w:cs="宋体"/>
          <w:color w:val="000000" w:themeColor="text1"/>
          <w:kern w:val="2"/>
          <w:sz w:val="21"/>
          <w:szCs w:val="21"/>
          <w14:textFill>
            <w14:solidFill>
              <w14:schemeClr w14:val="tx1"/>
            </w14:solidFill>
          </w14:textFill>
        </w:rPr>
        <w:t>竞价</w:t>
      </w:r>
      <w:r>
        <w:rPr>
          <w:rFonts w:hint="eastAsia" w:ascii="宋体" w:hAnsi="宋体" w:eastAsia="宋体" w:cs="宋体"/>
          <w:color w:val="000000" w:themeColor="text1"/>
          <w:kern w:val="2"/>
          <w:sz w:val="21"/>
          <w:szCs w:val="21"/>
          <w:lang w:eastAsia="zh-TW"/>
          <w14:textFill>
            <w14:solidFill>
              <w14:schemeClr w14:val="tx1"/>
            </w14:solidFill>
          </w14:textFill>
        </w:rPr>
        <w:t>的结果如何</w:t>
      </w:r>
      <w:r>
        <w:rPr>
          <w:rFonts w:hint="eastAsia" w:ascii="宋体" w:hAnsi="宋体" w:eastAsia="宋体" w:cs="宋体"/>
          <w:color w:val="000000" w:themeColor="text1"/>
          <w:kern w:val="2"/>
          <w:sz w:val="21"/>
          <w:szCs w:val="21"/>
          <w14:textFill>
            <w14:solidFill>
              <w14:schemeClr w14:val="tx1"/>
            </w14:solidFill>
          </w14:textFill>
        </w:rPr>
        <w:t>，采购</w:t>
      </w:r>
      <w:r>
        <w:rPr>
          <w:rFonts w:hint="eastAsia" w:ascii="宋体" w:hAnsi="宋体" w:eastAsia="宋体" w:cs="宋体"/>
          <w:color w:val="000000" w:themeColor="text1"/>
          <w:kern w:val="2"/>
          <w:sz w:val="21"/>
          <w:szCs w:val="21"/>
          <w:lang w:eastAsia="zh-TW"/>
          <w14:textFill>
            <w14:solidFill>
              <w14:schemeClr w14:val="tx1"/>
            </w14:solidFill>
          </w14:textFill>
        </w:rPr>
        <w:t>人</w:t>
      </w:r>
      <w:r>
        <w:rPr>
          <w:rFonts w:hint="eastAsia" w:ascii="宋体" w:hAnsi="宋体" w:eastAsia="宋体" w:cs="宋体"/>
          <w:color w:val="000000" w:themeColor="text1"/>
          <w:kern w:val="2"/>
          <w:sz w:val="21"/>
          <w:szCs w:val="21"/>
          <w14:textFill>
            <w14:solidFill>
              <w14:schemeClr w14:val="tx1"/>
            </w14:solidFill>
          </w14:textFill>
        </w:rPr>
        <w:t>和</w:t>
      </w:r>
      <w:r>
        <w:rPr>
          <w:rFonts w:hint="eastAsia" w:ascii="宋体" w:hAnsi="宋体" w:eastAsia="宋体" w:cs="宋体"/>
          <w:color w:val="000000" w:themeColor="text1"/>
          <w:kern w:val="2"/>
          <w:sz w:val="21"/>
          <w:szCs w:val="21"/>
          <w:lang w:eastAsia="zh-TW"/>
          <w14:textFill>
            <w14:solidFill>
              <w14:schemeClr w14:val="tx1"/>
            </w14:solidFill>
          </w14:textFill>
        </w:rPr>
        <w:t>代理机构均无义务和责任承担这些费用</w:t>
      </w:r>
      <w:r>
        <w:rPr>
          <w:rFonts w:hint="eastAsia" w:ascii="宋体" w:hAnsi="宋体" w:eastAsia="宋体" w:cs="宋体"/>
          <w:color w:val="000000" w:themeColor="text1"/>
          <w:kern w:val="2"/>
          <w:sz w:val="21"/>
          <w:szCs w:val="21"/>
          <w14:textFill>
            <w14:solidFill>
              <w14:schemeClr w14:val="tx1"/>
            </w14:solidFill>
          </w14:textFill>
        </w:rPr>
        <w:t>。</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参与竞价的供应商必须按竞价附件的格式填写，不得增加或删除表格内容。除单价、金额或项目要求填写的内容外，不得擅自改动竞价附件内容，否则将有可能影响成交结果，不推荐为成交候选人。</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参与竞价的</w:t>
      </w:r>
      <w:r>
        <w:rPr>
          <w:rFonts w:hint="eastAsia" w:ascii="宋体" w:hAnsi="宋体" w:eastAsia="宋体" w:cs="宋体"/>
          <w:color w:val="000000" w:themeColor="text1"/>
          <w:kern w:val="2"/>
          <w:sz w:val="2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eastAsia="宋体" w:cs="宋体"/>
          <w:color w:val="000000" w:themeColor="text1"/>
          <w:kern w:val="2"/>
          <w:sz w:val="21"/>
          <w:szCs w:val="21"/>
          <w14:textFill>
            <w14:solidFill>
              <w14:schemeClr w14:val="tx1"/>
            </w14:solidFill>
          </w14:textFill>
        </w:rPr>
        <w:t>不推荐为成交候选人</w:t>
      </w:r>
      <w:r>
        <w:rPr>
          <w:rFonts w:hint="eastAsia" w:ascii="宋体" w:hAnsi="宋体" w:eastAsia="宋体" w:cs="宋体"/>
          <w:color w:val="000000" w:themeColor="text1"/>
          <w:kern w:val="2"/>
          <w:sz w:val="21"/>
          <w:szCs w:val="21"/>
          <w:lang w:val="zh-CN"/>
          <w14:textFill>
            <w14:solidFill>
              <w14:schemeClr w14:val="tx1"/>
            </w14:solidFill>
          </w14:textFill>
        </w:rPr>
        <w:t>。</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若成交供应商自身原因无法完成本项目，则采购人有权利保留追究责任。</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成交供应商因自身原因被取消成交资格，采购人可重新启动采购或按竞价公告规定顺延推选符合要求的供应商作为成交人。</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若本项目竞价采购失败，采购人将重新采购，届时采购人有权根据项目具体情况，决定重新采购项目的采购方式。</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成交供应商若无正当理由恶意放弃成交资格，采购人有权将拒绝其参加本项目重新组织的竞价采购活动。</w:t>
      </w:r>
    </w:p>
    <w:p>
      <w:pPr>
        <w:pStyle w:val="25"/>
        <w:numPr>
          <w:ilvl w:val="0"/>
          <w:numId w:val="3"/>
        </w:numPr>
        <w:spacing w:after="0" w:line="360" w:lineRule="auto"/>
        <w:ind w:firstLineChars="0"/>
        <w:rPr>
          <w:rFonts w:ascii="宋体" w:hAnsi="宋体" w:eastAsia="宋体" w:cs="Calibri"/>
          <w:color w:val="000000" w:themeColor="text1"/>
          <w:kern w:val="2"/>
          <w:sz w:val="21"/>
          <w:szCs w:val="21"/>
          <w14:textFill>
            <w14:solidFill>
              <w14:schemeClr w14:val="tx1"/>
            </w14:solidFill>
          </w14:textFill>
        </w:rPr>
      </w:pPr>
      <w:r>
        <w:rPr>
          <w:rFonts w:hint="eastAsia" w:ascii="宋体" w:hAnsi="宋体" w:eastAsia="宋体" w:cs="Calibri"/>
          <w:color w:val="000000" w:themeColor="text1"/>
          <w:kern w:val="2"/>
          <w:sz w:val="21"/>
          <w:szCs w:val="21"/>
          <w14:textFill>
            <w14:solidFill>
              <w14:schemeClr w14:val="tx1"/>
            </w14:solidFill>
          </w14:textFill>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参与竞价的</w:t>
      </w:r>
      <w:r>
        <w:rPr>
          <w:rFonts w:hint="eastAsia" w:ascii="宋体" w:hAnsi="宋体" w:eastAsia="宋体" w:cs="宋体"/>
          <w:color w:val="000000" w:themeColor="text1"/>
          <w:kern w:val="2"/>
          <w:sz w:val="21"/>
          <w:szCs w:val="21"/>
          <w:lang w:eastAsia="zh-TW"/>
          <w14:textFill>
            <w14:solidFill>
              <w14:schemeClr w14:val="tx1"/>
            </w14:solidFill>
          </w14:textFill>
        </w:rPr>
        <w:t>供应商向我司咨询的有关项目事项，一切以</w:t>
      </w:r>
      <w:r>
        <w:rPr>
          <w:rFonts w:hint="eastAsia" w:ascii="宋体" w:hAnsi="宋体" w:eastAsia="宋体" w:cs="宋体"/>
          <w:color w:val="000000" w:themeColor="text1"/>
          <w:kern w:val="2"/>
          <w:sz w:val="21"/>
          <w:szCs w:val="21"/>
          <w14:textFill>
            <w14:solidFill>
              <w14:schemeClr w14:val="tx1"/>
            </w14:solidFill>
          </w14:textFill>
        </w:rPr>
        <w:t>竞价文件</w:t>
      </w:r>
      <w:r>
        <w:rPr>
          <w:rFonts w:hint="eastAsia" w:ascii="宋体" w:hAnsi="宋体" w:eastAsia="宋体" w:cs="宋体"/>
          <w:color w:val="000000" w:themeColor="text1"/>
          <w:kern w:val="2"/>
          <w:sz w:val="21"/>
          <w:szCs w:val="21"/>
          <w:lang w:eastAsia="zh-TW"/>
          <w14:textFill>
            <w14:solidFill>
              <w14:schemeClr w14:val="tx1"/>
            </w14:solidFill>
          </w14:textFill>
        </w:rPr>
        <w:t>规定</w:t>
      </w:r>
      <w:r>
        <w:rPr>
          <w:rFonts w:hint="eastAsia" w:ascii="宋体" w:hAnsi="宋体" w:eastAsia="宋体" w:cs="宋体"/>
          <w:color w:val="000000" w:themeColor="text1"/>
          <w:kern w:val="2"/>
          <w:sz w:val="21"/>
          <w:szCs w:val="21"/>
          <w14:textFill>
            <w14:solidFill>
              <w14:schemeClr w14:val="tx1"/>
            </w14:solidFill>
          </w14:textFill>
        </w:rPr>
        <w:t>和竞价公告规定以及</w:t>
      </w:r>
      <w:r>
        <w:rPr>
          <w:rFonts w:hint="eastAsia" w:ascii="宋体" w:hAnsi="宋体" w:eastAsia="宋体" w:cs="宋体"/>
          <w:color w:val="000000" w:themeColor="text1"/>
          <w:kern w:val="2"/>
          <w:sz w:val="21"/>
          <w:szCs w:val="21"/>
          <w:lang w:eastAsia="zh-TW"/>
          <w14:textFill>
            <w14:solidFill>
              <w14:schemeClr w14:val="tx1"/>
            </w14:solidFill>
          </w14:textFill>
        </w:rPr>
        <w:t>本公司</w:t>
      </w:r>
      <w:r>
        <w:rPr>
          <w:rFonts w:hint="eastAsia" w:ascii="宋体" w:hAnsi="宋体" w:eastAsia="宋体" w:cs="宋体"/>
          <w:color w:val="000000" w:themeColor="text1"/>
          <w:kern w:val="2"/>
          <w:sz w:val="21"/>
          <w:szCs w:val="21"/>
          <w14:textFill>
            <w14:solidFill>
              <w14:schemeClr w14:val="tx1"/>
            </w14:solidFill>
          </w14:textFill>
        </w:rPr>
        <w:t>的</w:t>
      </w:r>
      <w:r>
        <w:rPr>
          <w:rFonts w:hint="eastAsia" w:ascii="宋体" w:hAnsi="宋体" w:eastAsia="宋体" w:cs="宋体"/>
          <w:color w:val="000000" w:themeColor="text1"/>
          <w:kern w:val="2"/>
          <w:sz w:val="21"/>
          <w:szCs w:val="21"/>
          <w:lang w:eastAsia="zh-TW"/>
          <w14:textFill>
            <w14:solidFill>
              <w14:schemeClr w14:val="tx1"/>
            </w14:solidFill>
          </w14:textFill>
        </w:rPr>
        <w:t>书面答复为准，其他一切形式均为个人意见，不代表本公司的意见</w:t>
      </w:r>
      <w:r>
        <w:rPr>
          <w:rFonts w:hint="eastAsia" w:ascii="宋体" w:hAnsi="宋体" w:eastAsia="宋体" w:cs="宋体"/>
          <w:color w:val="000000" w:themeColor="text1"/>
          <w:kern w:val="2"/>
          <w:sz w:val="21"/>
          <w:szCs w:val="21"/>
          <w14:textFill>
            <w14:solidFill>
              <w14:schemeClr w14:val="tx1"/>
            </w14:solidFill>
          </w14:textFill>
        </w:rPr>
        <w:t>；</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参与竞价的供应商应认真阅读</w:t>
      </w:r>
      <w:r>
        <w:rPr>
          <w:rFonts w:hint="eastAsia" w:ascii="宋体" w:hAnsi="宋体" w:eastAsia="宋体" w:cs="宋体"/>
          <w:color w:val="000000" w:themeColor="text1"/>
          <w:kern w:val="2"/>
          <w:sz w:val="21"/>
          <w:szCs w:val="21"/>
          <w:lang w:eastAsia="zh-TW"/>
          <w14:textFill>
            <w14:solidFill>
              <w14:schemeClr w14:val="tx1"/>
            </w14:solidFill>
          </w14:textFill>
        </w:rPr>
        <w:t>、并充分理解</w:t>
      </w:r>
      <w:r>
        <w:rPr>
          <w:rFonts w:hint="eastAsia" w:ascii="宋体" w:hAnsi="宋体" w:eastAsia="宋体" w:cs="宋体"/>
          <w:color w:val="000000" w:themeColor="text1"/>
          <w:kern w:val="2"/>
          <w:sz w:val="21"/>
          <w:szCs w:val="21"/>
          <w14:textFill>
            <w14:solidFill>
              <w14:schemeClr w14:val="tx1"/>
            </w14:solidFill>
          </w14:textFill>
        </w:rPr>
        <w:t>竞价</w:t>
      </w:r>
      <w:r>
        <w:rPr>
          <w:rFonts w:hint="eastAsia" w:ascii="宋体" w:hAnsi="宋体" w:eastAsia="宋体" w:cs="宋体"/>
          <w:color w:val="000000" w:themeColor="text1"/>
          <w:kern w:val="2"/>
          <w:sz w:val="21"/>
          <w:szCs w:val="21"/>
          <w:lang w:eastAsia="zh-TW"/>
          <w14:textFill>
            <w14:solidFill>
              <w14:schemeClr w14:val="tx1"/>
            </w14:solidFill>
          </w14:textFill>
        </w:rPr>
        <w:t>文件的全部内容（包括所有的补充、修改内容重要事项、格式、条款</w:t>
      </w:r>
      <w:r>
        <w:rPr>
          <w:rFonts w:hint="eastAsia" w:ascii="宋体" w:hAnsi="宋体" w:eastAsia="宋体" w:cs="宋体"/>
          <w:color w:val="000000" w:themeColor="text1"/>
          <w:kern w:val="2"/>
          <w:sz w:val="21"/>
          <w:szCs w:val="21"/>
          <w14:textFill>
            <w14:solidFill>
              <w14:schemeClr w14:val="tx1"/>
            </w14:solidFill>
          </w14:textFill>
        </w:rPr>
        <w:t>、服务要求</w:t>
      </w:r>
      <w:r>
        <w:rPr>
          <w:rFonts w:hint="eastAsia" w:ascii="宋体" w:hAnsi="宋体" w:eastAsia="宋体" w:cs="宋体"/>
          <w:color w:val="000000" w:themeColor="text1"/>
          <w:kern w:val="2"/>
          <w:sz w:val="21"/>
          <w:szCs w:val="21"/>
          <w:lang w:eastAsia="zh-TW"/>
          <w14:textFill>
            <w14:solidFill>
              <w14:schemeClr w14:val="tx1"/>
            </w14:solidFill>
          </w14:textFill>
        </w:rPr>
        <w:t>和技术规范、参数及要求等）。</w:t>
      </w:r>
      <w:r>
        <w:rPr>
          <w:rFonts w:hint="eastAsia" w:ascii="宋体" w:hAnsi="宋体" w:eastAsia="宋体" w:cs="宋体"/>
          <w:color w:val="000000" w:themeColor="text1"/>
          <w:kern w:val="2"/>
          <w:sz w:val="21"/>
          <w:szCs w:val="21"/>
          <w14:textFill>
            <w14:solidFill>
              <w14:schemeClr w14:val="tx1"/>
            </w14:solidFill>
          </w14:textFill>
        </w:rPr>
        <w:t>供应商</w:t>
      </w:r>
      <w:r>
        <w:rPr>
          <w:rFonts w:hint="eastAsia" w:ascii="宋体" w:hAnsi="宋体" w:eastAsia="宋体" w:cs="宋体"/>
          <w:color w:val="000000" w:themeColor="text1"/>
          <w:kern w:val="2"/>
          <w:sz w:val="21"/>
          <w:szCs w:val="21"/>
          <w:lang w:eastAsia="zh-TW"/>
          <w14:textFill>
            <w14:solidFill>
              <w14:schemeClr w14:val="tx1"/>
            </w14:solidFill>
          </w14:textFill>
        </w:rPr>
        <w:t>没有按照</w:t>
      </w:r>
      <w:r>
        <w:rPr>
          <w:rFonts w:hint="eastAsia" w:ascii="宋体" w:hAnsi="宋体" w:eastAsia="宋体" w:cs="宋体"/>
          <w:color w:val="000000" w:themeColor="text1"/>
          <w:kern w:val="2"/>
          <w:sz w:val="21"/>
          <w:szCs w:val="21"/>
          <w14:textFill>
            <w14:solidFill>
              <w14:schemeClr w14:val="tx1"/>
            </w14:solidFill>
          </w14:textFill>
        </w:rPr>
        <w:t>竞价</w:t>
      </w:r>
      <w:r>
        <w:rPr>
          <w:rFonts w:hint="eastAsia" w:ascii="宋体" w:hAnsi="宋体" w:eastAsia="宋体" w:cs="宋体"/>
          <w:color w:val="000000" w:themeColor="text1"/>
          <w:kern w:val="2"/>
          <w:sz w:val="21"/>
          <w:szCs w:val="21"/>
          <w:lang w:eastAsia="zh-TW"/>
          <w14:textFill>
            <w14:solidFill>
              <w14:schemeClr w14:val="tx1"/>
            </w14:solidFill>
          </w14:textFill>
        </w:rPr>
        <w:t>文件要求提交全部资料，或者</w:t>
      </w:r>
      <w:r>
        <w:rPr>
          <w:rFonts w:hint="eastAsia" w:ascii="宋体" w:hAnsi="宋体" w:eastAsia="宋体" w:cs="宋体"/>
          <w:color w:val="000000" w:themeColor="text1"/>
          <w:kern w:val="2"/>
          <w:sz w:val="21"/>
          <w:szCs w:val="21"/>
          <w14:textFill>
            <w14:solidFill>
              <w14:schemeClr w14:val="tx1"/>
            </w14:solidFill>
          </w14:textFill>
        </w:rPr>
        <w:t>参与竞价所上传的</w:t>
      </w:r>
      <w:r>
        <w:rPr>
          <w:rFonts w:hint="eastAsia" w:ascii="宋体" w:hAnsi="宋体" w:eastAsia="宋体" w:cs="宋体"/>
          <w:color w:val="000000" w:themeColor="text1"/>
          <w:kern w:val="2"/>
          <w:sz w:val="21"/>
          <w:szCs w:val="21"/>
          <w:lang w:eastAsia="zh-TW"/>
          <w14:textFill>
            <w14:solidFill>
              <w14:schemeClr w14:val="tx1"/>
            </w14:solidFill>
          </w14:textFill>
        </w:rPr>
        <w:t>文件没有对</w:t>
      </w:r>
      <w:r>
        <w:rPr>
          <w:rFonts w:hint="eastAsia" w:ascii="宋体" w:hAnsi="宋体" w:eastAsia="宋体" w:cs="宋体"/>
          <w:color w:val="000000" w:themeColor="text1"/>
          <w:kern w:val="2"/>
          <w:sz w:val="21"/>
          <w:szCs w:val="21"/>
          <w14:textFill>
            <w14:solidFill>
              <w14:schemeClr w14:val="tx1"/>
            </w14:solidFill>
          </w14:textFill>
        </w:rPr>
        <w:t>竞价</w:t>
      </w:r>
      <w:r>
        <w:rPr>
          <w:rFonts w:hint="eastAsia" w:ascii="宋体" w:hAnsi="宋体" w:eastAsia="宋体" w:cs="宋体"/>
          <w:color w:val="000000" w:themeColor="text1"/>
          <w:kern w:val="2"/>
          <w:sz w:val="21"/>
          <w:szCs w:val="21"/>
          <w:lang w:eastAsia="zh-TW"/>
          <w14:textFill>
            <w14:solidFill>
              <w14:schemeClr w14:val="tx1"/>
            </w14:solidFill>
          </w14:textFill>
        </w:rPr>
        <w:t>文件在各方面都作出实质性响应是</w:t>
      </w:r>
      <w:r>
        <w:rPr>
          <w:rFonts w:hint="eastAsia" w:ascii="宋体" w:hAnsi="宋体" w:eastAsia="宋体" w:cs="宋体"/>
          <w:color w:val="000000" w:themeColor="text1"/>
          <w:kern w:val="2"/>
          <w:sz w:val="21"/>
          <w:szCs w:val="21"/>
          <w14:textFill>
            <w14:solidFill>
              <w14:schemeClr w14:val="tx1"/>
            </w14:solidFill>
          </w14:textFill>
        </w:rPr>
        <w:t>供应商</w:t>
      </w:r>
      <w:r>
        <w:rPr>
          <w:rFonts w:hint="eastAsia" w:ascii="宋体" w:hAnsi="宋体" w:eastAsia="宋体" w:cs="宋体"/>
          <w:color w:val="000000" w:themeColor="text1"/>
          <w:kern w:val="2"/>
          <w:sz w:val="21"/>
          <w:szCs w:val="21"/>
          <w:lang w:eastAsia="zh-TW"/>
          <w14:textFill>
            <w14:solidFill>
              <w14:schemeClr w14:val="tx1"/>
            </w14:solidFill>
          </w14:textFill>
        </w:rPr>
        <w:t>的风险，有可能导致其</w:t>
      </w:r>
      <w:r>
        <w:rPr>
          <w:rFonts w:hint="eastAsia" w:ascii="宋体" w:hAnsi="宋体" w:eastAsia="宋体" w:cs="宋体"/>
          <w:color w:val="000000" w:themeColor="text1"/>
          <w:kern w:val="2"/>
          <w:sz w:val="21"/>
          <w:szCs w:val="21"/>
          <w14:textFill>
            <w14:solidFill>
              <w14:schemeClr w14:val="tx1"/>
            </w14:solidFill>
          </w14:textFill>
        </w:rPr>
        <w:t>竞价</w:t>
      </w:r>
      <w:r>
        <w:rPr>
          <w:rFonts w:hint="eastAsia" w:ascii="宋体" w:hAnsi="宋体" w:eastAsia="宋体" w:cs="宋体"/>
          <w:color w:val="000000" w:themeColor="text1"/>
          <w:kern w:val="2"/>
          <w:sz w:val="21"/>
          <w:szCs w:val="21"/>
          <w:lang w:eastAsia="zh-TW"/>
          <w14:textFill>
            <w14:solidFill>
              <w14:schemeClr w14:val="tx1"/>
            </w14:solidFill>
          </w14:textFill>
        </w:rPr>
        <w:t>被拒绝，</w:t>
      </w:r>
      <w:r>
        <w:rPr>
          <w:rFonts w:hint="eastAsia" w:ascii="宋体" w:hAnsi="宋体" w:eastAsia="宋体" w:cs="宋体"/>
          <w:color w:val="000000" w:themeColor="text1"/>
          <w:kern w:val="2"/>
          <w:sz w:val="21"/>
          <w:szCs w:val="21"/>
          <w14:textFill>
            <w14:solidFill>
              <w14:schemeClr w14:val="tx1"/>
            </w14:solidFill>
          </w14:textFill>
        </w:rPr>
        <w:t>或被认定为无效竞价。</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采购人有权拒绝接受任何不合格的货物或服务，由此产生的费用及相关后果均由成交供应商自行承担；</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供应商认为竞价结果损害其权益的，应按照云采链平台相关指引在规定的时间内向采购人或代理机构提交书面质疑，不提交的视为无异议，逾期提交将不予受理；</w:t>
      </w:r>
    </w:p>
    <w:p>
      <w:pPr>
        <w:widowControl w:val="0"/>
        <w:numPr>
          <w:ilvl w:val="0"/>
          <w:numId w:val="3"/>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本竞价公告和竞价文件的解释权归“云采链线上采购一体化平台”所有。</w:t>
      </w:r>
    </w:p>
    <w:p>
      <w:pPr>
        <w:widowControl w:val="0"/>
        <w:numPr>
          <w:ilvl w:val="0"/>
          <w:numId w:val="2"/>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b/>
          <w:color w:val="000000" w:themeColor="text1"/>
          <w:kern w:val="2"/>
          <w:sz w:val="21"/>
          <w:szCs w:val="21"/>
          <w14:textFill>
            <w14:solidFill>
              <w14:schemeClr w14:val="tx1"/>
            </w14:solidFill>
          </w14:textFill>
        </w:rPr>
        <w:t>竞价文件的澄清或修改</w:t>
      </w:r>
    </w:p>
    <w:p>
      <w:pPr>
        <w:widowControl w:val="0"/>
        <w:numPr>
          <w:ilvl w:val="1"/>
          <w:numId w:val="4"/>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widowControl w:val="0"/>
        <w:numPr>
          <w:ilvl w:val="1"/>
          <w:numId w:val="4"/>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eastAsia="宋体" w:cs="宋体"/>
          <w:color w:val="000000" w:themeColor="text1"/>
          <w:kern w:val="2"/>
          <w:sz w:val="21"/>
          <w:szCs w:val="21"/>
          <w14:textFill>
            <w14:solidFill>
              <w14:schemeClr w14:val="tx1"/>
            </w14:solidFill>
          </w14:textFill>
        </w:rPr>
        <w:t>如报名</w:t>
      </w:r>
      <w:r>
        <w:rPr>
          <w:rFonts w:hint="eastAsia" w:ascii="宋体" w:hAnsi="宋体" w:eastAsia="宋体" w:cs="宋体"/>
          <w:color w:val="000000" w:themeColor="text1"/>
          <w:kern w:val="2"/>
          <w:sz w:val="21"/>
          <w:szCs w:val="21"/>
          <w:lang w:eastAsia="zh-TW"/>
          <w14:textFill>
            <w14:solidFill>
              <w14:schemeClr w14:val="tx1"/>
            </w14:solidFill>
          </w14:textFill>
        </w:rPr>
        <w:t>截止时间</w:t>
      </w:r>
      <w:r>
        <w:rPr>
          <w:rFonts w:hint="eastAsia" w:ascii="宋体" w:hAnsi="宋体" w:eastAsia="宋体" w:cs="宋体"/>
          <w:color w:val="000000" w:themeColor="text1"/>
          <w:kern w:val="2"/>
          <w:sz w:val="21"/>
          <w:szCs w:val="21"/>
          <w14:textFill>
            <w14:solidFill>
              <w14:schemeClr w14:val="tx1"/>
            </w14:solidFill>
          </w14:textFill>
        </w:rPr>
        <w:t>少于一个工作日的，</w:t>
      </w:r>
      <w:r>
        <w:rPr>
          <w:rFonts w:hint="eastAsia" w:ascii="宋体" w:hAnsi="宋体" w:eastAsia="宋体" w:cs="Times New Roman"/>
          <w:color w:val="000000" w:themeColor="text1"/>
          <w:kern w:val="2"/>
          <w:sz w:val="21"/>
          <w:szCs w:val="21"/>
          <w14:textFill>
            <w14:solidFill>
              <w14:schemeClr w14:val="tx1"/>
            </w14:solidFill>
          </w14:textFill>
        </w:rPr>
        <w:t>采购人或者采购代理机构应当相应顺延报名的截止时间。</w:t>
      </w:r>
    </w:p>
    <w:p>
      <w:pPr>
        <w:widowControl w:val="0"/>
        <w:numPr>
          <w:ilvl w:val="1"/>
          <w:numId w:val="4"/>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color w:val="000000" w:themeColor="text1"/>
          <w:kern w:val="2"/>
          <w:sz w:val="21"/>
          <w:szCs w:val="21"/>
          <w14:textFill>
            <w14:solidFill>
              <w14:schemeClr w14:val="tx1"/>
            </w14:solidFill>
          </w14:textFill>
        </w:rPr>
        <w:t>采购人或者采购代理机构发出的澄清或修改（更正/变更）的内容为竞价文件的组成部分，并对供应商具有约束力。</w:t>
      </w:r>
    </w:p>
    <w:p>
      <w:pPr>
        <w:widowControl w:val="0"/>
        <w:numPr>
          <w:ilvl w:val="0"/>
          <w:numId w:val="2"/>
        </w:numPr>
        <w:adjustRightInd/>
        <w:snapToGrid/>
        <w:spacing w:after="0" w:line="360" w:lineRule="auto"/>
        <w:jc w:val="both"/>
        <w:rPr>
          <w:rFonts w:ascii="宋体" w:hAnsi="宋体" w:eastAsia="宋体" w:cs="Times New Roman"/>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报名要求（</w:t>
      </w:r>
      <w:r>
        <w:rPr>
          <w:rFonts w:hint="eastAsia" w:ascii="宋体" w:hAnsi="宋体" w:eastAsia="宋体" w:cs="宋体"/>
          <w:color w:val="000000" w:themeColor="text1"/>
          <w:kern w:val="2"/>
          <w:sz w:val="21"/>
          <w:szCs w:val="21"/>
          <w14:textFill>
            <w14:solidFill>
              <w14:schemeClr w14:val="tx1"/>
            </w14:solidFill>
          </w14:textFill>
        </w:rPr>
        <w:t>参与竞价的</w:t>
      </w:r>
      <w:r>
        <w:rPr>
          <w:rFonts w:hint="eastAsia" w:ascii="宋体" w:hAnsi="宋体" w:eastAsia="宋体" w:cs="宋体"/>
          <w:b/>
          <w:bCs/>
          <w:color w:val="000000" w:themeColor="text1"/>
          <w:kern w:val="2"/>
          <w:sz w:val="21"/>
          <w:szCs w:val="21"/>
          <w14:textFill>
            <w14:solidFill>
              <w14:schemeClr w14:val="tx1"/>
            </w14:solidFill>
          </w14:textFill>
        </w:rPr>
        <w:t>供应商资质要求</w:t>
      </w:r>
      <w:r>
        <w:rPr>
          <w:rFonts w:ascii="宋体" w:hAnsi="宋体" w:eastAsia="宋体" w:cs="宋体"/>
          <w:b/>
          <w:bCs/>
          <w:color w:val="000000" w:themeColor="text1"/>
          <w:kern w:val="2"/>
          <w:sz w:val="2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报名时需要提供以下盖章资料，并对上传的报名文件资料承担责任</w:t>
      </w:r>
      <w:r>
        <w:rPr>
          <w:rFonts w:hint="eastAsia" w:ascii="宋体" w:hAnsi="宋体" w:eastAsia="宋体" w:cs="宋体"/>
          <w:b/>
          <w:bCs/>
          <w:color w:val="000000" w:themeColor="text1"/>
          <w:kern w:val="2"/>
          <w:sz w:val="21"/>
          <w:szCs w:val="21"/>
          <w14:textFill>
            <w14:solidFill>
              <w14:schemeClr w14:val="tx1"/>
            </w14:solidFill>
          </w14:textFill>
        </w:rPr>
        <w:t>）</w:t>
      </w:r>
    </w:p>
    <w:p>
      <w:pPr>
        <w:widowControl w:val="0"/>
        <w:numPr>
          <w:ilvl w:val="0"/>
          <w:numId w:val="5"/>
        </w:numPr>
        <w:adjustRightInd/>
        <w:snapToGrid/>
        <w:spacing w:after="0" w:line="360" w:lineRule="auto"/>
        <w:jc w:val="both"/>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具有独立承担民事责任的在中华人民共和国境内注册的法人或其他组织，提供法人或其他组织的营业执照等证明材料；</w:t>
      </w:r>
    </w:p>
    <w:p>
      <w:pPr>
        <w:pStyle w:val="25"/>
        <w:numPr>
          <w:ilvl w:val="0"/>
          <w:numId w:val="5"/>
        </w:numPr>
        <w:snapToGrid/>
        <w:spacing w:after="0" w:line="360" w:lineRule="auto"/>
        <w:ind w:firstLineChars="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经办人如是法定代表人，需提供法定代表人证明书及法定代表人身份证复印件；经办人如是供应商授权代表，需提供法定代表人授权委托书及授权代表身份证复印件（须随附法定代表人证明书）格式详见附件；</w:t>
      </w:r>
    </w:p>
    <w:p>
      <w:pPr>
        <w:pStyle w:val="25"/>
        <w:numPr>
          <w:ilvl w:val="0"/>
          <w:numId w:val="5"/>
        </w:numPr>
        <w:snapToGrid/>
        <w:spacing w:after="0" w:line="360" w:lineRule="auto"/>
        <w:ind w:firstLineChars="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报名供应商须具备《政府采购法》第二十二条所规定的条件；提供供应商资格声明函，格式详见附件；</w:t>
      </w:r>
    </w:p>
    <w:p>
      <w:pPr>
        <w:widowControl w:val="0"/>
        <w:numPr>
          <w:ilvl w:val="0"/>
          <w:numId w:val="5"/>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供应商完全响应本项目用户需求的条款、内容及要求的，提供用户需求书响应声明函即可</w:t>
      </w:r>
      <w:r>
        <w:rPr>
          <w:rFonts w:hint="eastAsia" w:ascii="宋体" w:hAnsi="宋体" w:eastAsia="宋体" w:cs="宋体"/>
          <w:b/>
          <w:bCs/>
          <w:color w:val="000000" w:themeColor="text1"/>
          <w:sz w:val="21"/>
          <w:szCs w:val="21"/>
          <w14:textFill>
            <w14:solidFill>
              <w14:schemeClr w14:val="tx1"/>
            </w14:solidFill>
          </w14:textFill>
        </w:rPr>
        <w:t>，格式详见附件</w:t>
      </w:r>
      <w:r>
        <w:rPr>
          <w:rFonts w:hint="eastAsia" w:ascii="宋体" w:hAnsi="宋体" w:eastAsia="宋体" w:cs="宋体"/>
          <w:color w:val="000000" w:themeColor="text1"/>
          <w:sz w:val="21"/>
          <w:szCs w:val="21"/>
          <w14:textFill>
            <w14:solidFill>
              <w14:schemeClr w14:val="tx1"/>
            </w14:solidFill>
          </w14:textFill>
        </w:rPr>
        <w:t>；</w:t>
      </w:r>
    </w:p>
    <w:p>
      <w:pPr>
        <w:widowControl w:val="0"/>
        <w:numPr>
          <w:ilvl w:val="0"/>
          <w:numId w:val="2"/>
        </w:numPr>
        <w:adjustRightInd/>
        <w:snapToGrid/>
        <w:spacing w:after="0" w:line="360" w:lineRule="auto"/>
        <w:jc w:val="both"/>
        <w:rPr>
          <w:rFonts w:ascii="宋体" w:hAnsi="宋体" w:eastAsia="宋体" w:cs="Times New Roman"/>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报价要求（</w:t>
      </w:r>
      <w:r>
        <w:rPr>
          <w:rFonts w:hint="eastAsia" w:ascii="宋体" w:hAnsi="宋体" w:eastAsia="宋体" w:cs="宋体"/>
          <w:color w:val="000000" w:themeColor="text1"/>
          <w:kern w:val="2"/>
          <w:sz w:val="21"/>
          <w:szCs w:val="21"/>
          <w14:textFill>
            <w14:solidFill>
              <w14:schemeClr w14:val="tx1"/>
            </w14:solidFill>
          </w14:textFill>
        </w:rPr>
        <w:t>报价时需要提供以下盖章资料，并对上传的竞价文件资料承担责任</w:t>
      </w:r>
      <w:r>
        <w:rPr>
          <w:rFonts w:hint="eastAsia" w:ascii="宋体" w:hAnsi="宋体" w:eastAsia="宋体" w:cs="宋体"/>
          <w:b/>
          <w:bCs/>
          <w:color w:val="000000" w:themeColor="text1"/>
          <w:kern w:val="2"/>
          <w:sz w:val="21"/>
          <w:szCs w:val="21"/>
          <w14:textFill>
            <w14:solidFill>
              <w14:schemeClr w14:val="tx1"/>
            </w14:solidFill>
          </w14:textFill>
        </w:rPr>
        <w:t>）</w:t>
      </w:r>
    </w:p>
    <w:p>
      <w:pPr>
        <w:widowControl w:val="0"/>
        <w:numPr>
          <w:ilvl w:val="0"/>
          <w:numId w:val="6"/>
        </w:numPr>
        <w:adjustRightInd/>
        <w:snapToGrid/>
        <w:spacing w:after="0" w:line="360" w:lineRule="auto"/>
        <w:jc w:val="both"/>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通过报名供应商应根据本公告要求，在规定的竞价时间内对采购项目进行报价，同时按本公告要求完整</w:t>
      </w:r>
      <w:r>
        <w:rPr>
          <w:rFonts w:hint="eastAsia" w:ascii="宋体" w:hAnsi="宋体" w:eastAsia="宋体" w:cs="宋体"/>
          <w:color w:val="000000" w:themeColor="text1"/>
          <w:kern w:val="2"/>
          <w:sz w:val="21"/>
          <w:szCs w:val="21"/>
          <w:lang w:eastAsia="zh-TW"/>
          <w14:textFill>
            <w14:solidFill>
              <w14:schemeClr w14:val="tx1"/>
            </w14:solidFill>
          </w14:textFill>
        </w:rPr>
        <w:t>、真实、准确地</w:t>
      </w:r>
      <w:r>
        <w:rPr>
          <w:rFonts w:hint="eastAsia" w:ascii="宋体" w:hAnsi="宋体" w:eastAsia="宋体" w:cs="宋体"/>
          <w:color w:val="000000" w:themeColor="text1"/>
          <w:kern w:val="2"/>
          <w:sz w:val="21"/>
          <w:szCs w:val="21"/>
          <w14:textFill>
            <w14:solidFill>
              <w14:schemeClr w14:val="tx1"/>
            </w14:solidFill>
          </w14:textFill>
        </w:rPr>
        <w:t>填写并上传相应报价附件</w:t>
      </w:r>
      <w:r>
        <w:rPr>
          <w:rFonts w:hint="eastAsia" w:ascii="宋体" w:hAnsi="宋体" w:eastAsia="宋体" w:cs="宋体"/>
          <w:b/>
          <w:bCs/>
          <w:color w:val="000000" w:themeColor="text1"/>
          <w:kern w:val="2"/>
          <w:sz w:val="21"/>
          <w:szCs w:val="21"/>
          <w:u w:val="single"/>
          <w14:textFill>
            <w14:solidFill>
              <w14:schemeClr w14:val="tx1"/>
            </w14:solidFill>
          </w14:textFill>
        </w:rPr>
        <w:t>（报价表</w:t>
      </w:r>
      <w:r>
        <w:rPr>
          <w:rFonts w:hint="eastAsia" w:ascii="宋体" w:hAnsi="宋体" w:eastAsia="宋体" w:cs="宋体"/>
          <w:b/>
          <w:bCs/>
          <w:color w:val="000000" w:themeColor="text1"/>
          <w:kern w:val="2"/>
          <w:sz w:val="21"/>
          <w:szCs w:val="21"/>
          <w:u w:val="single"/>
          <w:lang w:val="en-US" w:eastAsia="zh-CN"/>
          <w14:textFill>
            <w14:solidFill>
              <w14:schemeClr w14:val="tx1"/>
            </w14:solidFill>
          </w14:textFill>
        </w:rPr>
        <w:t>PDF盖章版以及</w:t>
      </w:r>
      <w:r>
        <w:rPr>
          <w:rFonts w:hint="eastAsia" w:ascii="宋体" w:hAnsi="宋体" w:eastAsia="宋体" w:cs="宋体"/>
          <w:b/>
          <w:bCs/>
          <w:color w:val="000000" w:themeColor="text1"/>
          <w:kern w:val="2"/>
          <w:sz w:val="21"/>
          <w:szCs w:val="21"/>
          <w:u w:val="single"/>
          <w14:textFill>
            <w14:solidFill>
              <w14:schemeClr w14:val="tx1"/>
            </w14:solidFill>
          </w14:textFill>
        </w:rPr>
        <w:t>采购清单报价表Excel版本）</w:t>
      </w:r>
      <w:r>
        <w:rPr>
          <w:rFonts w:hint="eastAsia" w:ascii="宋体" w:hAnsi="宋体" w:eastAsia="宋体" w:cs="宋体"/>
          <w:color w:val="000000" w:themeColor="text1"/>
          <w:kern w:val="2"/>
          <w:sz w:val="21"/>
          <w:szCs w:val="21"/>
          <w14:textFill>
            <w14:solidFill>
              <w14:schemeClr w14:val="tx1"/>
            </w14:solidFill>
          </w14:textFill>
        </w:rPr>
        <w:t>。</w:t>
      </w:r>
    </w:p>
    <w:p>
      <w:pPr>
        <w:widowControl w:val="0"/>
        <w:numPr>
          <w:ilvl w:val="0"/>
          <w:numId w:val="6"/>
        </w:numPr>
        <w:adjustRightInd/>
        <w:snapToGrid/>
        <w:spacing w:after="0" w:line="360" w:lineRule="auto"/>
        <w:jc w:val="both"/>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widowControl w:val="0"/>
        <w:numPr>
          <w:ilvl w:val="0"/>
          <w:numId w:val="2"/>
        </w:numPr>
        <w:adjustRightInd/>
        <w:snapToGrid/>
        <w:spacing w:after="0" w:line="360" w:lineRule="auto"/>
        <w:jc w:val="both"/>
        <w:rPr>
          <w:rFonts w:ascii="宋体" w:hAnsi="宋体" w:eastAsia="宋体" w:cs="Times New Roman"/>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确定成交候选人</w:t>
      </w:r>
    </w:p>
    <w:p>
      <w:pPr>
        <w:pStyle w:val="25"/>
        <w:numPr>
          <w:ilvl w:val="0"/>
          <w:numId w:val="7"/>
        </w:numPr>
        <w:spacing w:after="0" w:line="360" w:lineRule="auto"/>
        <w:ind w:firstLineChars="0"/>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本项目以最低价成交的方式</w:t>
      </w:r>
      <w:r>
        <w:rPr>
          <w:rFonts w:hint="eastAsia" w:ascii="宋体" w:hAnsi="宋体" w:eastAsia="宋体" w:cs="宋体"/>
          <w:b/>
          <w:bCs/>
          <w:color w:val="000000" w:themeColor="text1"/>
          <w:kern w:val="2"/>
          <w:sz w:val="21"/>
          <w:szCs w:val="21"/>
          <w:u w:val="single"/>
          <w:lang w:eastAsia="zh-CN"/>
          <w14:textFill>
            <w14:solidFill>
              <w14:schemeClr w14:val="tx1"/>
            </w14:solidFill>
          </w14:textFill>
        </w:rPr>
        <w:t>（</w:t>
      </w:r>
      <w:r>
        <w:rPr>
          <w:rFonts w:hint="eastAsia" w:ascii="宋体" w:hAnsi="宋体" w:eastAsia="宋体" w:cs="宋体"/>
          <w:b/>
          <w:bCs/>
          <w:color w:val="000000" w:themeColor="text1"/>
          <w:kern w:val="2"/>
          <w:sz w:val="21"/>
          <w:szCs w:val="21"/>
          <w:u w:val="single"/>
          <w:lang w:val="en-US" w:eastAsia="zh-CN"/>
          <w14:textFill>
            <w14:solidFill>
              <w14:schemeClr w14:val="tx1"/>
            </w14:solidFill>
          </w14:textFill>
        </w:rPr>
        <w:t>单价合计最低者</w:t>
      </w:r>
      <w:r>
        <w:rPr>
          <w:rFonts w:hint="eastAsia" w:ascii="宋体" w:hAnsi="宋体" w:eastAsia="宋体" w:cs="宋体"/>
          <w:b/>
          <w:bCs/>
          <w:color w:val="000000" w:themeColor="text1"/>
          <w:kern w:val="2"/>
          <w:sz w:val="21"/>
          <w:szCs w:val="21"/>
          <w:u w:val="single"/>
          <w:lang w:eastAsia="zh-CN"/>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确定成交供应商。报价时间截止后，系统按含税报价（经价格核准后的价格）由低到高顺序排列，报价最低的为第一成交候选人，报价相同的，按报价时间在前的为第一成交候选人；报价次低的为第二成交候选人，以此类推。</w:t>
      </w:r>
    </w:p>
    <w:p>
      <w:pPr>
        <w:widowControl w:val="0"/>
        <w:numPr>
          <w:ilvl w:val="0"/>
          <w:numId w:val="2"/>
        </w:numPr>
        <w:adjustRightInd/>
        <w:snapToGrid/>
        <w:spacing w:after="0" w:line="360" w:lineRule="auto"/>
        <w:jc w:val="both"/>
        <w:rPr>
          <w:rFonts w:ascii="宋体" w:hAnsi="宋体" w:eastAsia="宋体" w:cs="Times New Roman"/>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无效报价</w:t>
      </w:r>
    </w:p>
    <w:p>
      <w:pPr>
        <w:pStyle w:val="25"/>
        <w:numPr>
          <w:ilvl w:val="0"/>
          <w:numId w:val="8"/>
        </w:numPr>
        <w:spacing w:after="0" w:line="360" w:lineRule="auto"/>
        <w:ind w:firstLineChars="0"/>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参与竞价的供应商报价超过最高限价或低于最低限价或超过项目对应产品单项最高限价的视为无效报价。</w:t>
      </w:r>
    </w:p>
    <w:p>
      <w:pPr>
        <w:widowControl w:val="0"/>
        <w:numPr>
          <w:ilvl w:val="0"/>
          <w:numId w:val="8"/>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参与竞价的供应商须提供本项目要求的资质文件，如果不按公告规定或竞价文件要求等相关规定提供符合要求的资质文件，将被视为无效报价；</w:t>
      </w:r>
    </w:p>
    <w:p>
      <w:pPr>
        <w:widowControl w:val="0"/>
        <w:numPr>
          <w:ilvl w:val="0"/>
          <w:numId w:val="8"/>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参与竞价的供应商须对本项目采购内容进行整体报价，任何只对其中一部分内容进行的报价都被视为无效报价。</w:t>
      </w:r>
    </w:p>
    <w:p>
      <w:pPr>
        <w:widowControl w:val="0"/>
        <w:numPr>
          <w:ilvl w:val="0"/>
          <w:numId w:val="8"/>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ascii="宋体" w:hAnsi="宋体" w:eastAsia="宋体" w:cs="Times New Roman"/>
          <w:color w:val="000000" w:themeColor="text1"/>
          <w:kern w:val="2"/>
          <w:sz w:val="21"/>
          <w:szCs w:val="21"/>
          <w:u w:val="double"/>
          <w14:textFill>
            <w14:solidFill>
              <w14:schemeClr w14:val="tx1"/>
            </w14:solidFill>
          </w14:textFill>
        </w:rPr>
        <w:t>报价表</w:t>
      </w:r>
      <w:r>
        <w:rPr>
          <w:rFonts w:hint="eastAsia" w:ascii="宋体" w:hAnsi="宋体" w:eastAsia="宋体" w:cs="Times New Roman"/>
          <w:color w:val="000000" w:themeColor="text1"/>
          <w:kern w:val="2"/>
          <w:sz w:val="21"/>
          <w:szCs w:val="21"/>
          <w:u w:val="double"/>
          <w14:textFill>
            <w14:solidFill>
              <w14:schemeClr w14:val="tx1"/>
            </w14:solidFill>
          </w14:textFill>
        </w:rPr>
        <w:t>以及有报价供应商落款的报价文件</w:t>
      </w:r>
      <w:r>
        <w:rPr>
          <w:rFonts w:ascii="宋体" w:hAnsi="宋体" w:eastAsia="宋体" w:cs="Times New Roman"/>
          <w:color w:val="000000" w:themeColor="text1"/>
          <w:kern w:val="2"/>
          <w:sz w:val="21"/>
          <w:szCs w:val="21"/>
          <w:u w:val="double"/>
          <w14:textFill>
            <w14:solidFill>
              <w14:schemeClr w14:val="tx1"/>
            </w14:solidFill>
          </w14:textFill>
        </w:rPr>
        <w:t>必须加盖</w:t>
      </w:r>
      <w:r>
        <w:rPr>
          <w:rFonts w:hint="eastAsia" w:ascii="宋体" w:hAnsi="宋体" w:eastAsia="宋体" w:cs="Times New Roman"/>
          <w:color w:val="000000" w:themeColor="text1"/>
          <w:kern w:val="2"/>
          <w:sz w:val="21"/>
          <w:szCs w:val="21"/>
          <w:u w:val="double"/>
          <w14:textFill>
            <w14:solidFill>
              <w14:schemeClr w14:val="tx1"/>
            </w14:solidFill>
          </w14:textFill>
        </w:rPr>
        <w:t>报价供应商</w:t>
      </w:r>
      <w:r>
        <w:rPr>
          <w:rFonts w:ascii="宋体" w:hAnsi="宋体" w:eastAsia="宋体" w:cs="Times New Roman"/>
          <w:color w:val="000000" w:themeColor="text1"/>
          <w:kern w:val="2"/>
          <w:sz w:val="21"/>
          <w:szCs w:val="21"/>
          <w:u w:val="double"/>
          <w14:textFill>
            <w14:solidFill>
              <w14:schemeClr w14:val="tx1"/>
            </w14:solidFill>
          </w14:textFill>
        </w:rPr>
        <w:t>公章，否则视为无效报价</w:t>
      </w:r>
      <w:r>
        <w:rPr>
          <w:rFonts w:hint="eastAsia" w:ascii="宋体" w:hAnsi="宋体" w:eastAsia="宋体" w:cs="Times New Roman"/>
          <w:color w:val="000000" w:themeColor="text1"/>
          <w:kern w:val="2"/>
          <w:sz w:val="21"/>
          <w:szCs w:val="21"/>
          <w14:textFill>
            <w14:solidFill>
              <w14:schemeClr w14:val="tx1"/>
            </w14:solidFill>
          </w14:textFill>
        </w:rPr>
        <w:t>；</w:t>
      </w:r>
    </w:p>
    <w:p>
      <w:pPr>
        <w:pStyle w:val="25"/>
        <w:numPr>
          <w:ilvl w:val="0"/>
          <w:numId w:val="8"/>
        </w:numPr>
        <w:spacing w:after="0" w:line="360" w:lineRule="auto"/>
        <w:ind w:firstLineChars="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2"/>
        <w:numPr>
          <w:ilvl w:val="0"/>
          <w:numId w:val="8"/>
        </w:numPr>
        <w:shd w:val="clear" w:color="auto" w:fill="FFFFFF"/>
        <w:spacing w:before="0" w:beforeAutospacing="0" w:after="0" w:afterAutospacing="0" w:line="276" w:lineRule="auto"/>
        <w:rPr>
          <w:rFonts w:asciiTheme="minorEastAsia" w:hAnsiTheme="minorEastAsia" w:eastAsiaTheme="minorEastAsia"/>
          <w:b/>
          <w:bCs/>
          <w:sz w:val="21"/>
          <w:szCs w:val="21"/>
          <w:u w:val="double"/>
        </w:rPr>
      </w:pPr>
      <w:r>
        <w:rPr>
          <w:rFonts w:hint="eastAsia" w:asciiTheme="minorEastAsia" w:hAnsiTheme="minorEastAsia" w:eastAsiaTheme="minorEastAsia"/>
          <w:b/>
          <w:bCs/>
          <w:sz w:val="21"/>
          <w:szCs w:val="21"/>
          <w:u w:val="double"/>
        </w:rPr>
        <w:t>按有关法律、法规、规章属于报价无效的。</w:t>
      </w:r>
    </w:p>
    <w:p>
      <w:pPr>
        <w:widowControl w:val="0"/>
        <w:numPr>
          <w:ilvl w:val="0"/>
          <w:numId w:val="8"/>
        </w:numPr>
        <w:shd w:val="clear" w:color="auto" w:fill="FFFFFF"/>
        <w:adjustRightInd/>
        <w:snapToGrid/>
        <w:spacing w:after="0" w:line="360" w:lineRule="auto"/>
        <w:jc w:val="both"/>
        <w:rPr>
          <w:rFonts w:ascii="宋体" w:hAnsi="宋体" w:eastAsia="宋体" w:cs="Times New Roman"/>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有下列情形之一的，视为串通竞价，其报价无效：</w:t>
      </w:r>
    </w:p>
    <w:p>
      <w:pPr>
        <w:pStyle w:val="25"/>
        <w:numPr>
          <w:ilvl w:val="2"/>
          <w:numId w:val="9"/>
        </w:numPr>
        <w:spacing w:after="0" w:line="360" w:lineRule="auto"/>
        <w:ind w:firstLineChars="0"/>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存在单位负责人为同一人或存在控股、管理关系的不同单位参与同一竞价项目；</w:t>
      </w:r>
    </w:p>
    <w:p>
      <w:pPr>
        <w:widowControl w:val="0"/>
        <w:numPr>
          <w:ilvl w:val="2"/>
          <w:numId w:val="9"/>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不同供应商的响应文件由同一单位或者个人编制；</w:t>
      </w:r>
    </w:p>
    <w:p>
      <w:pPr>
        <w:widowControl w:val="0"/>
        <w:numPr>
          <w:ilvl w:val="2"/>
          <w:numId w:val="9"/>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不同供应商委托同一单位或者个人办理竞价事宜；</w:t>
      </w:r>
    </w:p>
    <w:p>
      <w:pPr>
        <w:widowControl w:val="0"/>
        <w:numPr>
          <w:ilvl w:val="2"/>
          <w:numId w:val="9"/>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不同供应商使用同一</w:t>
      </w:r>
      <w:r>
        <w:rPr>
          <w:rFonts w:ascii="宋体" w:hAnsi="宋体" w:eastAsia="宋体" w:cs="宋体"/>
          <w:color w:val="000000" w:themeColor="text1"/>
          <w:kern w:val="2"/>
          <w:sz w:val="21"/>
          <w:szCs w:val="21"/>
          <w14:textFill>
            <w14:solidFill>
              <w14:schemeClr w14:val="tx1"/>
            </w14:solidFill>
          </w14:textFill>
        </w:rPr>
        <w:t>IP</w:t>
      </w:r>
      <w:r>
        <w:rPr>
          <w:rFonts w:hint="eastAsia" w:ascii="宋体" w:hAnsi="宋体" w:eastAsia="宋体" w:cs="宋体"/>
          <w:color w:val="000000" w:themeColor="text1"/>
          <w:kern w:val="2"/>
          <w:sz w:val="21"/>
          <w:szCs w:val="21"/>
          <w14:textFill>
            <w14:solidFill>
              <w14:schemeClr w14:val="tx1"/>
            </w14:solidFill>
          </w14:textFill>
        </w:rPr>
        <w:t>地址参与竞价；</w:t>
      </w:r>
    </w:p>
    <w:p>
      <w:pPr>
        <w:widowControl w:val="0"/>
        <w:numPr>
          <w:ilvl w:val="2"/>
          <w:numId w:val="9"/>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不同供应商的响应文件载明的项目管理成员或者联系人员为同一人；</w:t>
      </w:r>
    </w:p>
    <w:p>
      <w:pPr>
        <w:widowControl w:val="0"/>
        <w:numPr>
          <w:ilvl w:val="2"/>
          <w:numId w:val="9"/>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不同供应商的响应文件异常一致或者报价呈规律性差异；</w:t>
      </w:r>
    </w:p>
    <w:p>
      <w:pPr>
        <w:widowControl w:val="0"/>
        <w:numPr>
          <w:ilvl w:val="2"/>
          <w:numId w:val="9"/>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不同供应商的响应文件相互混淆；</w:t>
      </w:r>
    </w:p>
    <w:p>
      <w:pPr>
        <w:widowControl w:val="0"/>
        <w:numPr>
          <w:ilvl w:val="2"/>
          <w:numId w:val="9"/>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不同供应商的平台使用费从同一单位或者个人的账户转出；</w:t>
      </w:r>
    </w:p>
    <w:p>
      <w:pPr>
        <w:widowControl w:val="0"/>
        <w:numPr>
          <w:ilvl w:val="0"/>
          <w:numId w:val="2"/>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竞价活动失败</w:t>
      </w:r>
    </w:p>
    <w:p>
      <w:pPr>
        <w:widowControl w:val="0"/>
        <w:numPr>
          <w:ilvl w:val="0"/>
          <w:numId w:val="10"/>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报价供应商不足</w:t>
      </w:r>
      <w:r>
        <w:rPr>
          <w:rFonts w:ascii="宋体" w:hAnsi="宋体" w:eastAsia="宋体" w:cs="宋体"/>
          <w:color w:val="000000" w:themeColor="text1"/>
          <w:kern w:val="2"/>
          <w:sz w:val="21"/>
          <w:szCs w:val="21"/>
          <w14:textFill>
            <w14:solidFill>
              <w14:schemeClr w14:val="tx1"/>
            </w14:solidFill>
          </w14:textFill>
        </w:rPr>
        <w:t>3</w:t>
      </w:r>
      <w:r>
        <w:rPr>
          <w:rFonts w:hint="eastAsia" w:ascii="宋体" w:hAnsi="宋体" w:eastAsia="宋体" w:cs="宋体"/>
          <w:color w:val="000000" w:themeColor="text1"/>
          <w:kern w:val="2"/>
          <w:sz w:val="21"/>
          <w:szCs w:val="21"/>
          <w14:textFill>
            <w14:solidFill>
              <w14:schemeClr w14:val="tx1"/>
            </w14:solidFill>
          </w14:textFill>
        </w:rPr>
        <w:t>家，本次竞价活动失败；</w:t>
      </w:r>
    </w:p>
    <w:p>
      <w:pPr>
        <w:widowControl w:val="0"/>
        <w:numPr>
          <w:ilvl w:val="0"/>
          <w:numId w:val="10"/>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出现影响采购公正的违法、违规行为的；</w:t>
      </w:r>
    </w:p>
    <w:p>
      <w:pPr>
        <w:widowControl w:val="0"/>
        <w:numPr>
          <w:ilvl w:val="0"/>
          <w:numId w:val="10"/>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因重大变故，采购任务取消的；</w:t>
      </w:r>
    </w:p>
    <w:p>
      <w:pPr>
        <w:widowControl w:val="0"/>
        <w:numPr>
          <w:ilvl w:val="0"/>
          <w:numId w:val="2"/>
        </w:numPr>
        <w:adjustRightInd/>
        <w:snapToGrid/>
        <w:spacing w:after="0" w:line="360" w:lineRule="auto"/>
        <w:jc w:val="both"/>
        <w:rPr>
          <w:rFonts w:ascii="宋体" w:hAnsi="宋体" w:eastAsia="宋体" w:cs="Times New Roman"/>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使用费</w:t>
      </w:r>
    </w:p>
    <w:p>
      <w:pPr>
        <w:widowControl w:val="0"/>
        <w:numPr>
          <w:ilvl w:val="0"/>
          <w:numId w:val="11"/>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成交供应商须向平台服务商云采链线上采购一体化平台缴纳平台使用费，金额为预算金额的1.5%（四舍五入取整数），不足1000元收1000元。</w:t>
      </w:r>
    </w:p>
    <w:p>
      <w:pPr>
        <w:widowControl w:val="0"/>
        <w:numPr>
          <w:ilvl w:val="0"/>
          <w:numId w:val="11"/>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成交供应商无正当理由放弃成交资格的必须按竞价公告等相关规定缴纳相应的平台使用费；</w:t>
      </w:r>
    </w:p>
    <w:p>
      <w:pPr>
        <w:widowControl w:val="0"/>
        <w:numPr>
          <w:ilvl w:val="0"/>
          <w:numId w:val="11"/>
        </w:numPr>
        <w:adjustRightInd/>
        <w:snapToGrid/>
        <w:spacing w:after="0" w:line="360" w:lineRule="auto"/>
        <w:jc w:val="both"/>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如确实因不可抗力放弃成交资格的，应在不可抗力发生后三个工作日内予以通知采购代理机构并提供相关的证明；如逾期，采购代理机构不予退还平台使用费；</w:t>
      </w:r>
    </w:p>
    <w:p>
      <w:pPr>
        <w:widowControl w:val="0"/>
        <w:numPr>
          <w:ilvl w:val="0"/>
          <w:numId w:val="2"/>
        </w:numPr>
        <w:adjustRightInd/>
        <w:snapToGrid/>
        <w:spacing w:after="0" w:line="360" w:lineRule="auto"/>
        <w:jc w:val="both"/>
        <w:rPr>
          <w:rFonts w:ascii="宋体" w:hAnsi="宋体" w:eastAsia="宋体" w:cs="Times New Roman"/>
          <w:b/>
          <w:bCs/>
          <w:color w:val="000000" w:themeColor="text1"/>
          <w:kern w:val="2"/>
          <w:sz w:val="21"/>
          <w:szCs w:val="21"/>
          <w14:textFill>
            <w14:solidFill>
              <w14:schemeClr w14:val="tx1"/>
            </w14:solidFill>
          </w14:textFill>
        </w:rPr>
      </w:pPr>
      <w:r>
        <w:rPr>
          <w:rFonts w:hint="eastAsia" w:ascii="宋体" w:hAnsi="宋体" w:eastAsia="宋体" w:cs="宋体"/>
          <w:b/>
          <w:bCs/>
          <w:color w:val="000000" w:themeColor="text1"/>
          <w:kern w:val="2"/>
          <w:sz w:val="21"/>
          <w:szCs w:val="21"/>
          <w14:textFill>
            <w14:solidFill>
              <w14:schemeClr w14:val="tx1"/>
            </w14:solidFill>
          </w14:textFill>
        </w:rPr>
        <w:t>联系方式</w:t>
      </w:r>
    </w:p>
    <w:p>
      <w:pPr>
        <w:adjustRightInd/>
        <w:snapToGrid/>
        <w:spacing w:after="0" w:line="360" w:lineRule="auto"/>
        <w:ind w:left="420"/>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扫码关注微信公众号</w:t>
      </w:r>
      <w:r>
        <w:rPr>
          <w:rFonts w:ascii="宋体" w:hAnsi="宋体" w:eastAsia="宋体" w:cs="Calibri"/>
          <w:color w:val="000000" w:themeColor="text1"/>
          <w:kern w:val="2"/>
          <w:sz w:val="2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云采链互联服务平台</w:t>
      </w:r>
      <w:r>
        <w:rPr>
          <w:rFonts w:ascii="宋体" w:hAnsi="宋体" w:eastAsia="宋体" w:cs="Calibri"/>
          <w:color w:val="000000" w:themeColor="text1"/>
          <w:kern w:val="2"/>
          <w:sz w:val="2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，即可在线咨询相关事项；</w:t>
      </w:r>
    </w:p>
    <w:p>
      <w:pPr>
        <w:adjustRightInd/>
        <w:snapToGrid/>
        <w:spacing w:after="0" w:line="360" w:lineRule="auto"/>
        <w:ind w:left="420"/>
        <w:jc w:val="center"/>
        <w:rPr>
          <w:rFonts w:ascii="宋体" w:hAnsi="Calibri" w:eastAsia="宋体" w:cs="Times New Roman"/>
          <w:b/>
          <w:bCs/>
          <w:kern w:val="2"/>
          <w:sz w:val="21"/>
          <w:szCs w:val="21"/>
        </w:rPr>
      </w:pPr>
      <w:r>
        <w:rPr>
          <w:rFonts w:ascii="宋体" w:hAnsi="Calibri" w:eastAsia="宋体" w:cs="Times New Roman"/>
          <w:kern w:val="2"/>
          <w:sz w:val="21"/>
          <w:szCs w:val="21"/>
        </w:rPr>
        <w:drawing>
          <wp:inline distT="0" distB="0" distL="0" distR="0">
            <wp:extent cx="1647825" cy="1647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pPr>
        <w:adjustRightInd/>
        <w:snapToGrid/>
        <w:spacing w:after="0"/>
        <w:rPr>
          <w:rFonts w:ascii="Calibri" w:hAnsi="Calibri" w:eastAsia="宋体" w:cs="Times New Roman"/>
          <w:b/>
          <w:bCs/>
          <w:kern w:val="2"/>
          <w:sz w:val="28"/>
          <w:szCs w:val="28"/>
        </w:rPr>
      </w:pPr>
      <w:r>
        <w:rPr>
          <w:rFonts w:ascii="Calibri" w:hAnsi="Calibri" w:eastAsia="宋体" w:cs="Times New Roman"/>
          <w:b/>
          <w:bCs/>
          <w:kern w:val="2"/>
          <w:sz w:val="28"/>
          <w:szCs w:val="28"/>
        </w:rPr>
        <w:br w:type="page"/>
      </w:r>
    </w:p>
    <w:p>
      <w:pPr>
        <w:widowControl w:val="0"/>
        <w:adjustRightInd/>
        <w:spacing w:after="0" w:line="360" w:lineRule="auto"/>
        <w:jc w:val="center"/>
        <w:outlineLvl w:val="0"/>
        <w:rPr>
          <w:rFonts w:ascii="Calibri" w:hAnsi="Calibri" w:eastAsia="宋体" w:cs="Times New Roman"/>
          <w:kern w:val="2"/>
          <w:sz w:val="28"/>
          <w:szCs w:val="28"/>
        </w:rPr>
      </w:pPr>
      <w:r>
        <w:rPr>
          <w:rFonts w:hint="eastAsia" w:ascii="Calibri" w:hAnsi="Calibri" w:eastAsia="宋体" w:cs="Times New Roman"/>
          <w:b/>
          <w:bCs/>
          <w:kern w:val="2"/>
          <w:sz w:val="28"/>
          <w:szCs w:val="28"/>
        </w:rPr>
        <w:t>第二章用户需求书</w:t>
      </w:r>
      <w:bookmarkEnd w:id="0"/>
      <w:bookmarkEnd w:id="1"/>
    </w:p>
    <w:p>
      <w:pPr>
        <w:widowControl w:val="0"/>
        <w:adjustRightInd/>
        <w:spacing w:after="0" w:line="440" w:lineRule="exact"/>
        <w:ind w:left="517" w:hanging="517" w:hangingChars="245"/>
        <w:jc w:val="both"/>
        <w:rPr>
          <w:rFonts w:ascii="宋体" w:hAnsi="宋体" w:eastAsia="宋体" w:cs="Times New Roman"/>
          <w:b/>
          <w:bCs/>
          <w:kern w:val="2"/>
          <w:sz w:val="21"/>
          <w:szCs w:val="21"/>
        </w:rPr>
      </w:pPr>
      <w:r>
        <w:rPr>
          <w:rFonts w:hint="eastAsia" w:ascii="宋体" w:hAnsi="宋体" w:eastAsia="宋体" w:cs="Times New Roman"/>
          <w:b/>
          <w:bCs/>
          <w:kern w:val="2"/>
          <w:sz w:val="21"/>
          <w:szCs w:val="21"/>
        </w:rPr>
        <w:t>说明：</w:t>
      </w:r>
    </w:p>
    <w:p>
      <w:pPr>
        <w:widowControl w:val="0"/>
        <w:numPr>
          <w:ilvl w:val="0"/>
          <w:numId w:val="12"/>
        </w:numPr>
        <w:adjustRightInd/>
        <w:snapToGrid/>
        <w:spacing w:after="0" w:line="360" w:lineRule="auto"/>
        <w:jc w:val="both"/>
        <w:rPr>
          <w:rFonts w:ascii="宋体" w:hAnsi="宋体" w:eastAsia="宋体" w:cs="Times New Roman"/>
          <w:b/>
          <w:bCs/>
          <w:kern w:val="2"/>
          <w:sz w:val="21"/>
          <w:szCs w:val="21"/>
        </w:rPr>
      </w:pPr>
      <w:r>
        <w:rPr>
          <w:rFonts w:hint="eastAsia" w:ascii="宋体" w:hAnsi="宋体" w:eastAsia="宋体" w:cs="Times New Roman"/>
          <w:b/>
          <w:bCs/>
          <w:kern w:val="2"/>
          <w:sz w:val="21"/>
          <w:szCs w:val="21"/>
        </w:rPr>
        <w:t xml:space="preserve">响应供应商须对本项目进行整体响应，任何只对其中一部分进行的响应都被视为无效响应。 </w:t>
      </w:r>
    </w:p>
    <w:p>
      <w:pPr>
        <w:widowControl w:val="0"/>
        <w:numPr>
          <w:ilvl w:val="0"/>
          <w:numId w:val="13"/>
        </w:numPr>
        <w:tabs>
          <w:tab w:val="left" w:pos="540"/>
        </w:tabs>
        <w:adjustRightInd/>
        <w:snapToGrid/>
        <w:spacing w:after="0" w:line="360" w:lineRule="auto"/>
        <w:jc w:val="both"/>
        <w:rPr>
          <w:rFonts w:ascii="宋体" w:hAnsi="宋体" w:eastAsia="宋体" w:cs="Times New Roman"/>
          <w:b/>
          <w:bCs/>
          <w:sz w:val="21"/>
          <w:szCs w:val="21"/>
        </w:rPr>
      </w:pPr>
      <w:r>
        <w:rPr>
          <w:rFonts w:hint="eastAsia" w:ascii="宋体" w:hAnsi="宋体" w:eastAsia="宋体" w:cs="Times New Roman"/>
          <w:b/>
          <w:bCs/>
          <w:sz w:val="21"/>
          <w:szCs w:val="21"/>
        </w:rPr>
        <w:t>项目一览表</w:t>
      </w:r>
    </w:p>
    <w:tbl>
      <w:tblPr>
        <w:tblStyle w:val="14"/>
        <w:tblW w:w="88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79"/>
        <w:gridCol w:w="1134"/>
        <w:gridCol w:w="2410"/>
        <w:gridCol w:w="1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3379" w:type="dxa"/>
            <w:tcBorders>
              <w:top w:val="single" w:color="auto" w:sz="12" w:space="0"/>
              <w:bottom w:val="single" w:color="auto" w:sz="2" w:space="0"/>
            </w:tcBorders>
            <w:shd w:val="clear" w:color="auto" w:fill="EEECE1"/>
            <w:vAlign w:val="center"/>
          </w:tcPr>
          <w:p>
            <w:pPr>
              <w:widowControl w:val="0"/>
              <w:adjustRightInd/>
              <w:snapToGrid/>
              <w:spacing w:after="0"/>
              <w:jc w:val="center"/>
              <w:rPr>
                <w:rFonts w:ascii="宋体" w:hAnsi="宋体" w:eastAsia="宋体" w:cs="Times New Roman"/>
                <w:b/>
                <w:color w:val="000000" w:themeColor="text1"/>
                <w:kern w:val="2"/>
                <w:sz w:val="21"/>
                <w:szCs w:val="21"/>
                <w14:textFill>
                  <w14:solidFill>
                    <w14:schemeClr w14:val="tx1"/>
                  </w14:solidFill>
                </w14:textFill>
              </w:rPr>
            </w:pPr>
            <w:r>
              <w:rPr>
                <w:rFonts w:hint="eastAsia" w:ascii="宋体" w:hAnsi="宋体" w:eastAsia="宋体" w:cs="Times New Roman"/>
                <w:b/>
                <w:color w:val="000000" w:themeColor="text1"/>
                <w:kern w:val="2"/>
                <w:sz w:val="21"/>
                <w:szCs w:val="21"/>
                <w14:textFill>
                  <w14:solidFill>
                    <w14:schemeClr w14:val="tx1"/>
                  </w14:solidFill>
                </w14:textFill>
              </w:rPr>
              <w:t>采购内容</w:t>
            </w:r>
          </w:p>
        </w:tc>
        <w:tc>
          <w:tcPr>
            <w:tcW w:w="1134" w:type="dxa"/>
            <w:tcBorders>
              <w:top w:val="single" w:color="auto" w:sz="12" w:space="0"/>
              <w:bottom w:val="single" w:color="auto" w:sz="2" w:space="0"/>
            </w:tcBorders>
            <w:shd w:val="clear" w:color="auto" w:fill="EEECE1"/>
            <w:vAlign w:val="center"/>
          </w:tcPr>
          <w:p>
            <w:pPr>
              <w:widowControl w:val="0"/>
              <w:adjustRightInd/>
              <w:snapToGrid/>
              <w:spacing w:after="0"/>
              <w:jc w:val="center"/>
              <w:rPr>
                <w:rFonts w:ascii="宋体" w:hAnsi="宋体" w:eastAsia="宋体" w:cs="Times New Roman"/>
                <w:b/>
                <w:color w:val="000000" w:themeColor="text1"/>
                <w:kern w:val="2"/>
                <w:sz w:val="21"/>
                <w:szCs w:val="21"/>
                <w14:textFill>
                  <w14:solidFill>
                    <w14:schemeClr w14:val="tx1"/>
                  </w14:solidFill>
                </w14:textFill>
              </w:rPr>
            </w:pPr>
            <w:r>
              <w:rPr>
                <w:rFonts w:hint="eastAsia" w:ascii="宋体" w:hAnsi="宋体" w:eastAsia="宋体" w:cs="Times New Roman"/>
                <w:b/>
                <w:color w:val="000000" w:themeColor="text1"/>
                <w:kern w:val="2"/>
                <w:sz w:val="21"/>
                <w:szCs w:val="21"/>
                <w14:textFill>
                  <w14:solidFill>
                    <w14:schemeClr w14:val="tx1"/>
                  </w14:solidFill>
                </w14:textFill>
              </w:rPr>
              <w:t>数量</w:t>
            </w:r>
          </w:p>
        </w:tc>
        <w:tc>
          <w:tcPr>
            <w:tcW w:w="2410" w:type="dxa"/>
            <w:tcBorders>
              <w:top w:val="single" w:color="auto" w:sz="12" w:space="0"/>
              <w:bottom w:val="single" w:color="auto" w:sz="2" w:space="0"/>
            </w:tcBorders>
            <w:shd w:val="clear" w:color="auto" w:fill="EEECE1"/>
            <w:vAlign w:val="center"/>
          </w:tcPr>
          <w:p>
            <w:pPr>
              <w:widowControl w:val="0"/>
              <w:adjustRightInd/>
              <w:snapToGrid/>
              <w:spacing w:after="0"/>
              <w:jc w:val="center"/>
              <w:rPr>
                <w:rFonts w:ascii="宋体" w:hAnsi="宋体" w:eastAsia="宋体" w:cs="Times New Roman"/>
                <w:b/>
                <w:color w:val="000000" w:themeColor="text1"/>
                <w:kern w:val="2"/>
                <w:sz w:val="21"/>
                <w:szCs w:val="21"/>
                <w14:textFill>
                  <w14:solidFill>
                    <w14:schemeClr w14:val="tx1"/>
                  </w14:solidFill>
                </w14:textFill>
              </w:rPr>
            </w:pPr>
            <w:r>
              <w:rPr>
                <w:rFonts w:hint="eastAsia" w:ascii="宋体" w:hAnsi="宋体" w:eastAsia="宋体" w:cs="Times New Roman"/>
                <w:b/>
                <w:color w:val="000000" w:themeColor="text1"/>
                <w:kern w:val="2"/>
                <w:sz w:val="21"/>
                <w:szCs w:val="21"/>
                <w14:textFill>
                  <w14:solidFill>
                    <w14:schemeClr w14:val="tx1"/>
                  </w14:solidFill>
                </w14:textFill>
              </w:rPr>
              <w:t>服务期</w:t>
            </w:r>
          </w:p>
        </w:tc>
        <w:tc>
          <w:tcPr>
            <w:tcW w:w="1903" w:type="dxa"/>
            <w:tcBorders>
              <w:top w:val="single" w:color="auto" w:sz="12" w:space="0"/>
              <w:bottom w:val="single" w:color="auto" w:sz="2" w:space="0"/>
            </w:tcBorders>
            <w:shd w:val="clear" w:color="auto" w:fill="EEECE1"/>
            <w:vAlign w:val="center"/>
          </w:tcPr>
          <w:p>
            <w:pPr>
              <w:widowControl w:val="0"/>
              <w:adjustRightInd/>
              <w:snapToGrid/>
              <w:spacing w:after="0"/>
              <w:jc w:val="center"/>
              <w:rPr>
                <w:rFonts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Times New Roman"/>
                <w:b/>
                <w:color w:val="000000" w:themeColor="text1"/>
                <w:kern w:val="2"/>
                <w:sz w:val="21"/>
                <w:szCs w:val="21"/>
                <w14:textFill>
                  <w14:solidFill>
                    <w14:schemeClr w14:val="tx1"/>
                  </w14:solidFill>
                </w14:textFill>
              </w:rPr>
              <w:t>项目预算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379" w:type="dxa"/>
            <w:tcBorders>
              <w:top w:val="single" w:color="auto" w:sz="2" w:space="0"/>
              <w:bottom w:val="single" w:color="auto" w:sz="2" w:space="0"/>
            </w:tcBorders>
            <w:vAlign w:val="center"/>
          </w:tcPr>
          <w:p>
            <w:pPr>
              <w:widowControl w:val="0"/>
              <w:adjustRightInd/>
              <w:snapToGrid/>
              <w:spacing w:after="0"/>
              <w:jc w:val="center"/>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eastAsia="宋体"/>
                <w:color w:val="000000" w:themeColor="text1"/>
                <w:sz w:val="21"/>
                <w:szCs w:val="21"/>
                <w:lang w:eastAsia="zh-CN"/>
                <w14:textFill>
                  <w14:solidFill>
                    <w14:schemeClr w14:val="tx1"/>
                  </w14:solidFill>
                </w14:textFill>
              </w:rPr>
              <w:t>广东省广播电视网络股份有限公司茂名分公司2024年办公用品采购项目</w:t>
            </w:r>
          </w:p>
        </w:tc>
        <w:tc>
          <w:tcPr>
            <w:tcW w:w="1134" w:type="dxa"/>
            <w:tcBorders>
              <w:top w:val="single" w:color="auto" w:sz="2" w:space="0"/>
              <w:bottom w:val="single" w:color="auto" w:sz="2" w:space="0"/>
            </w:tcBorders>
            <w:vAlign w:val="center"/>
          </w:tcPr>
          <w:p>
            <w:pPr>
              <w:widowControl w:val="0"/>
              <w:adjustRightInd/>
              <w:snapToGrid/>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1批</w:t>
            </w:r>
          </w:p>
        </w:tc>
        <w:tc>
          <w:tcPr>
            <w:tcW w:w="2410" w:type="dxa"/>
            <w:tcBorders>
              <w:top w:val="single" w:color="auto" w:sz="2" w:space="0"/>
              <w:bottom w:val="single" w:color="auto" w:sz="2" w:space="0"/>
            </w:tcBorders>
            <w:vAlign w:val="center"/>
          </w:tcPr>
          <w:p>
            <w:pPr>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自合同生效之日起1年</w:t>
            </w:r>
          </w:p>
        </w:tc>
        <w:tc>
          <w:tcPr>
            <w:tcW w:w="1903" w:type="dxa"/>
            <w:tcBorders>
              <w:top w:val="single" w:color="auto" w:sz="2" w:space="0"/>
              <w:bottom w:val="single" w:color="auto" w:sz="2" w:space="0"/>
            </w:tcBorders>
            <w:vAlign w:val="center"/>
          </w:tcPr>
          <w:p>
            <w:pPr>
              <w:widowControl w:val="0"/>
              <w:adjustRightInd/>
              <w:snapToGrid/>
              <w:spacing w:after="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人民币</w:t>
            </w:r>
            <w:r>
              <w:rPr>
                <w:rFonts w:ascii="宋体" w:hAnsi="宋体" w:eastAsia="宋体"/>
                <w:color w:val="000000" w:themeColor="text1"/>
                <w:sz w:val="21"/>
                <w:szCs w:val="21"/>
                <w14:textFill>
                  <w14:solidFill>
                    <w14:schemeClr w14:val="tx1"/>
                  </w14:solidFill>
                </w14:textFill>
              </w:rPr>
              <w:t>60000</w:t>
            </w:r>
            <w:r>
              <w:rPr>
                <w:rFonts w:hint="eastAsia" w:ascii="宋体" w:hAnsi="宋体" w:eastAsia="宋体"/>
                <w:color w:val="000000" w:themeColor="text1"/>
                <w:sz w:val="21"/>
                <w:szCs w:val="21"/>
                <w14:textFill>
                  <w14:solidFill>
                    <w14:schemeClr w14:val="tx1"/>
                  </w14:solidFill>
                </w14:textFill>
              </w:rPr>
              <w:t>元</w:t>
            </w:r>
          </w:p>
        </w:tc>
      </w:tr>
    </w:tbl>
    <w:p>
      <w:pPr>
        <w:widowControl w:val="0"/>
        <w:numPr>
          <w:ilvl w:val="0"/>
          <w:numId w:val="13"/>
        </w:numPr>
        <w:tabs>
          <w:tab w:val="left" w:pos="540"/>
        </w:tabs>
        <w:adjustRightInd/>
        <w:snapToGrid/>
        <w:spacing w:after="0" w:line="360" w:lineRule="auto"/>
        <w:jc w:val="both"/>
        <w:rPr>
          <w:rFonts w:hint="eastAsia" w:ascii="宋体" w:hAnsi="宋体" w:eastAsia="宋体" w:cs="Times New Roman"/>
          <w:b/>
          <w:bCs/>
          <w:sz w:val="21"/>
          <w:szCs w:val="21"/>
        </w:rPr>
      </w:pPr>
      <w:r>
        <w:rPr>
          <w:rFonts w:hint="eastAsia" w:ascii="宋体" w:hAnsi="宋体" w:eastAsia="宋体" w:cs="Times New Roman"/>
          <w:b/>
          <w:bCs/>
          <w:sz w:val="21"/>
          <w:szCs w:val="21"/>
        </w:rPr>
        <w:t>采购清单</w:t>
      </w:r>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72"/>
        <w:gridCol w:w="2071"/>
        <w:gridCol w:w="1581"/>
        <w:gridCol w:w="967"/>
        <w:gridCol w:w="1125"/>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9"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含税单价（元）</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000" w:type="pct"/>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文具类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打印纸（1*10包/箱）</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A4（80g）</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500张/包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打印纸（1*5包/箱）</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A3(80g)</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500张/包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电脑纸</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3联1/2</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1000页/盒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彩色复印纸</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A4（80g）</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500张/包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彩色皮纹封面纸</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A4（210g）</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100张/包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南国档案盒</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A800</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A4牛皮档案袋</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350g</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A4牛皮信封</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32*22.5cm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A4软塑料拉锁袋</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A4网格拉链袋</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A4纽扣文件袋</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手提帆布文件袋</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4格桌面文件架</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4格桌面文件架</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金属铁丝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订书钉</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通用12#</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1000枚1盒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订书机</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适用12#钉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重型订书机</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旗文3000</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装订机</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云广168</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起钉器</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适用12#钉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剪刀</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大号美工刀</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18mm刀片宽</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小号美工刀</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9mm刀片宽</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A4切纸刀</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300mm*250mm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计算器小号</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147*120mm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计算器大号</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186*147mm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塑料直尺</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塑料直尺</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5米卷尺</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金属网纹圆形笔筒</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七格金属网纹笔架</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卷笔刀</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胶水</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固体胶</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21g</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固体胶</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36g</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小胶带</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12mm*30Y</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美纹胶布</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24厘</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双面胶布</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厚海绵胶布</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透明封箱胶</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42cm*200m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60个/盒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40个/盒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48个/盒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24个/盒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12个/盒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山形票据夹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山形票据夹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山形票据夹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加厚铁皮文件柜</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中二抽</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H1800*W850*D390mm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双色铁皮文件柜</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H1800*W850*D390mm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铁皮柜矮</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H900*W850*D390mm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五层分体文件柜</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H360*W850*D390mm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五层塑料文件柜</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H325*W295*D394mm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桌面文件柜</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9775</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H344*W277*D259mm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威伦司保险柜</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H500*W430*D370mm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金属双强力文件夹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资料册</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A4/40页</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A4塑料垫板夹</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A4抽杆夹</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回形针</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100枚/盒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封箱器</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挂式白板写字板</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挂式白板写字板</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60*90cm </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白板刷</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圆珠笔</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签字笔0.5mm</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按动签字笔0.5mm</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签字笔1.0mm</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中华铅笔</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橡皮擦</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记号笔大</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记号笔小</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白板笔</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白板擦</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荧光笔</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台笔</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笔芯0.5mm</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笔记本30页</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A5（148*210mm）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笔记本40页</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A5（148*210mm）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笔记本60页</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A5（148*210mm）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18K会议记录本</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商务皮质</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18K笔记本</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商务皮质</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便利贴</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76*19mm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4色分条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便利贴</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76*76mm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便利贴</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76*101mm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印台</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长方形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印台</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φ82mm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印油</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橡胶圈</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荣誉证书</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12K</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荣誉证书</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8K</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荣誉证书</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6K</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人脸考勤机</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5000" w:type="pct"/>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生活用品类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1.5L电热水壶</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1.5L</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弹压式玻璃茶壶</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1.2L</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LED平板灯</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76*76cm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LED灯管</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LED灯管</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灯泡</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应急灯</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灭蚊灯</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地胶垫(欢迎光临)</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180*120CM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地胶垫(欢迎光临)</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120*80CM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垃圾桶</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网状垃圾桶</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水桶</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17L</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12寸垃圾袋</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50*46cm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大垃圾袋</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100*80cm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毛巾小</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35*35cm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毛巾大</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35*75cm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洗手液</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500g/瓶</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卷纸</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10卷/提</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硬盒抽纸</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120抽/盒</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抽纸</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6包/提</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大盘纸</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10卷/箱</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餐巾纸</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90包/提</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一次性纸杯</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50个/包</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一次性塑料杯</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50个/包</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3孔排插</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1.0米线</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3孔排插</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3.0米线</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6孔排插</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1.0米线</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6孔排插</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3.0米线</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三五大号电池</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555</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5号电池</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7号电池</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金霸王电池</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电风扇</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台地两用</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垃圾铲</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冰丝扫把</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短竹扫把</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圆头拖把</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平板拖把</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平板拖把</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海绵拖把</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旋转拖把免手洗拖把套装</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免手洗平板拖把套装</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水刮</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水刮</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85cm</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圆头厕所刷</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洗衣粉</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900g</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洁厕精</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消鸡净</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空气清洗剂</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杀虫剂</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檀香蚊香</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一次性医用手套</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乳胶手套</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胶粒棉手套</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0" w:type="pct"/>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一次性筷子</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（筷子汤勺四合一）</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一次性饭盒</w:t>
            </w:r>
          </w:p>
        </w:tc>
        <w:tc>
          <w:tcPr>
            <w:tcW w:w="94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650ML</w:t>
            </w: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300个/件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2" w:hRule="atLeast"/>
        </w:trPr>
        <w:tc>
          <w:tcPr>
            <w:tcW w:w="4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25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一次性汤盅</w:t>
            </w:r>
          </w:p>
        </w:tc>
        <w:tc>
          <w:tcPr>
            <w:tcW w:w="940"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2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69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99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600个/件</w:t>
            </w:r>
          </w:p>
        </w:tc>
      </w:tr>
    </w:tbl>
    <w:p>
      <w:pPr>
        <w:pStyle w:val="6"/>
      </w:pPr>
    </w:p>
    <w:p>
      <w:pPr>
        <w:widowControl w:val="0"/>
        <w:numPr>
          <w:ilvl w:val="0"/>
          <w:numId w:val="13"/>
        </w:numPr>
        <w:tabs>
          <w:tab w:val="left" w:pos="540"/>
        </w:tabs>
        <w:adjustRightInd/>
        <w:snapToGrid/>
        <w:spacing w:after="0" w:line="360" w:lineRule="auto"/>
        <w:jc w:val="both"/>
        <w:rPr>
          <w:rFonts w:hint="eastAsia" w:ascii="宋体" w:hAnsi="宋体" w:eastAsia="宋体" w:cs="Times New Roman"/>
          <w:b/>
          <w:bCs/>
          <w:sz w:val="21"/>
          <w:szCs w:val="21"/>
        </w:rPr>
      </w:pPr>
      <w:r>
        <w:rPr>
          <w:rFonts w:hint="eastAsia" w:ascii="宋体" w:hAnsi="宋体" w:eastAsia="宋体" w:cs="Times New Roman"/>
          <w:b/>
          <w:bCs/>
          <w:sz w:val="21"/>
          <w:szCs w:val="21"/>
        </w:rPr>
        <w:t>三、服务资格期</w:t>
      </w:r>
    </w:p>
    <w:p>
      <w:pPr>
        <w:numPr>
          <w:ilvl w:val="0"/>
          <w:numId w:val="14"/>
        </w:numPr>
        <w:spacing w:after="0" w:line="360" w:lineRule="auto"/>
        <w:ind w:firstLine="403"/>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项目内容：自签定合同期一年的办公用品采购。</w:t>
      </w:r>
    </w:p>
    <w:p>
      <w:pPr>
        <w:numPr>
          <w:ilvl w:val="0"/>
          <w:numId w:val="14"/>
        </w:numPr>
        <w:spacing w:after="0" w:line="360" w:lineRule="auto"/>
        <w:ind w:firstLine="403"/>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项目金额：人民币6万元</w:t>
      </w:r>
    </w:p>
    <w:p>
      <w:pPr>
        <w:numPr>
          <w:ilvl w:val="0"/>
          <w:numId w:val="14"/>
        </w:numPr>
        <w:spacing w:after="0" w:line="360" w:lineRule="auto"/>
        <w:ind w:firstLine="403"/>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服务资格期：①自合同生效之日起一年；②自本合同生效之日起至本合同结算金额累计达到6万元。以①、②中最先到的时间为准，期限满后成交资格即自动终止，由采购人另行决定采购。</w:t>
      </w:r>
    </w:p>
    <w:p>
      <w:pPr>
        <w:numPr>
          <w:ilvl w:val="0"/>
          <w:numId w:val="14"/>
        </w:numPr>
        <w:spacing w:after="0" w:line="360" w:lineRule="auto"/>
        <w:ind w:firstLine="403"/>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采购人对实际采购金额不作任何承诺。</w:t>
      </w:r>
    </w:p>
    <w:p>
      <w:pPr>
        <w:numPr>
          <w:ilvl w:val="0"/>
          <w:numId w:val="14"/>
        </w:numPr>
        <w:spacing w:after="0" w:line="360" w:lineRule="auto"/>
        <w:ind w:firstLine="403"/>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按日常需求下单送货到指定办公地点,分批按实际采购量进行结算。</w:t>
      </w:r>
    </w:p>
    <w:p>
      <w:pPr>
        <w:numPr>
          <w:ilvl w:val="0"/>
          <w:numId w:val="14"/>
        </w:numPr>
        <w:spacing w:after="0" w:line="360" w:lineRule="auto"/>
        <w:ind w:firstLine="403"/>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成交人数量：1家。</w:t>
      </w:r>
    </w:p>
    <w:p>
      <w:pPr>
        <w:widowControl w:val="0"/>
        <w:numPr>
          <w:ilvl w:val="0"/>
          <w:numId w:val="14"/>
        </w:numPr>
        <w:adjustRightInd/>
        <w:snapToGrid/>
        <w:spacing w:after="0" w:line="360" w:lineRule="auto"/>
        <w:ind w:firstLine="403"/>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采购人按需求下单，每次下单数量不作任何承诺，无最低起送标准。</w:t>
      </w:r>
    </w:p>
    <w:p>
      <w:pPr>
        <w:widowControl w:val="0"/>
        <w:numPr>
          <w:ilvl w:val="0"/>
          <w:numId w:val="13"/>
        </w:numPr>
        <w:tabs>
          <w:tab w:val="left" w:pos="540"/>
        </w:tabs>
        <w:adjustRightInd/>
        <w:snapToGrid/>
        <w:spacing w:after="0" w:line="360" w:lineRule="auto"/>
        <w:jc w:val="both"/>
        <w:rPr>
          <w:rFonts w:hint="eastAsia" w:ascii="宋体" w:hAnsi="宋体" w:eastAsia="宋体" w:cs="Times New Roman"/>
          <w:b/>
          <w:bCs/>
          <w:sz w:val="21"/>
          <w:szCs w:val="21"/>
        </w:rPr>
      </w:pPr>
      <w:r>
        <w:rPr>
          <w:rFonts w:hint="eastAsia" w:ascii="宋体" w:hAnsi="宋体" w:eastAsia="宋体" w:cs="Times New Roman"/>
          <w:b/>
          <w:bCs/>
          <w:sz w:val="21"/>
          <w:szCs w:val="21"/>
        </w:rPr>
        <w:t>商务要求</w:t>
      </w:r>
    </w:p>
    <w:p>
      <w:pPr>
        <w:pStyle w:val="7"/>
        <w:widowControl w:val="0"/>
        <w:numPr>
          <w:ilvl w:val="0"/>
          <w:numId w:val="15"/>
        </w:numPr>
        <w:tabs>
          <w:tab w:val="left" w:pos="540"/>
        </w:tabs>
        <w:spacing w:after="0" w:line="360" w:lineRule="auto"/>
        <w:jc w:val="both"/>
        <w:rPr>
          <w:rFonts w:hAnsi="宋体" w:eastAsia="宋体"/>
          <w:b/>
          <w:bCs/>
          <w:color w:val="000000" w:themeColor="text1"/>
          <w:sz w:val="21"/>
          <w:szCs w:val="21"/>
          <w14:textFill>
            <w14:solidFill>
              <w14:schemeClr w14:val="tx1"/>
            </w14:solidFill>
          </w14:textFill>
        </w:rPr>
      </w:pPr>
      <w:r>
        <w:rPr>
          <w:rFonts w:hint="eastAsia" w:hAnsi="宋体" w:eastAsia="宋体"/>
          <w:b/>
          <w:bCs/>
          <w:color w:val="000000" w:themeColor="text1"/>
          <w:sz w:val="21"/>
          <w:szCs w:val="21"/>
          <w14:textFill>
            <w14:solidFill>
              <w14:schemeClr w14:val="tx1"/>
            </w14:solidFill>
          </w14:textFill>
        </w:rPr>
        <w:t>服务要求</w:t>
      </w:r>
    </w:p>
    <w:p>
      <w:pPr>
        <w:pStyle w:val="7"/>
        <w:widowControl w:val="0"/>
        <w:tabs>
          <w:tab w:val="left" w:pos="540"/>
        </w:tabs>
        <w:spacing w:after="0" w:line="360" w:lineRule="auto"/>
        <w:ind w:left="286"/>
        <w:jc w:val="both"/>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在接到采购人的</w:t>
      </w:r>
      <w:r>
        <w:rPr>
          <w:rFonts w:hint="eastAsia" w:hAnsi="宋体" w:eastAsia="宋体"/>
          <w:color w:val="000000" w:themeColor="text1"/>
          <w:sz w:val="21"/>
          <w:szCs w:val="21"/>
          <w:lang w:eastAsia="zh-CN"/>
          <w14:textFill>
            <w14:solidFill>
              <w14:schemeClr w14:val="tx1"/>
            </w14:solidFill>
          </w14:textFill>
        </w:rPr>
        <w:t>到货</w:t>
      </w:r>
      <w:r>
        <w:rPr>
          <w:rFonts w:hint="eastAsia" w:hAnsi="宋体" w:eastAsia="宋体"/>
          <w:color w:val="000000" w:themeColor="text1"/>
          <w:sz w:val="21"/>
          <w:szCs w:val="21"/>
          <w14:textFill>
            <w14:solidFill>
              <w14:schemeClr w14:val="tx1"/>
            </w14:solidFill>
          </w14:textFill>
        </w:rPr>
        <w:t>通知，一般</w:t>
      </w:r>
      <w:r>
        <w:rPr>
          <w:rFonts w:hint="eastAsia" w:hAnsi="宋体" w:eastAsia="宋体"/>
          <w:color w:val="000000" w:themeColor="text1"/>
          <w:sz w:val="21"/>
          <w:szCs w:val="21"/>
          <w:lang w:eastAsia="zh-CN"/>
          <w14:textFill>
            <w14:solidFill>
              <w14:schemeClr w14:val="tx1"/>
            </w14:solidFill>
          </w14:textFill>
        </w:rPr>
        <w:t>到货</w:t>
      </w:r>
      <w:r>
        <w:rPr>
          <w:rFonts w:hint="eastAsia" w:hAnsi="宋体" w:eastAsia="宋体"/>
          <w:color w:val="000000" w:themeColor="text1"/>
          <w:sz w:val="21"/>
          <w:szCs w:val="21"/>
          <w14:textFill>
            <w14:solidFill>
              <w14:schemeClr w14:val="tx1"/>
            </w14:solidFill>
          </w14:textFill>
        </w:rPr>
        <w:t>时间为24小时内</w:t>
      </w:r>
      <w:r>
        <w:rPr>
          <w:rFonts w:hint="eastAsia" w:hAnsi="宋体" w:eastAsia="宋体"/>
          <w:color w:val="000000" w:themeColor="text1"/>
          <w:sz w:val="21"/>
          <w:szCs w:val="21"/>
          <w:lang w:eastAsia="zh-CN"/>
          <w14:textFill>
            <w14:solidFill>
              <w14:schemeClr w14:val="tx1"/>
            </w14:solidFill>
          </w14:textFill>
        </w:rPr>
        <w:t>到货</w:t>
      </w:r>
      <w:r>
        <w:rPr>
          <w:rFonts w:hint="eastAsia" w:hAnsi="宋体" w:eastAsia="宋体"/>
          <w:color w:val="000000" w:themeColor="text1"/>
          <w:sz w:val="21"/>
          <w:szCs w:val="21"/>
          <w14:textFill>
            <w14:solidFill>
              <w14:schemeClr w14:val="tx1"/>
            </w14:solidFill>
          </w14:textFill>
        </w:rPr>
        <w:t>，紧急、特殊</w:t>
      </w:r>
      <w:r>
        <w:rPr>
          <w:rFonts w:hint="eastAsia" w:hAnsi="宋体" w:eastAsia="宋体"/>
          <w:color w:val="000000" w:themeColor="text1"/>
          <w:sz w:val="21"/>
          <w:szCs w:val="21"/>
          <w:lang w:eastAsia="zh-CN"/>
          <w14:textFill>
            <w14:solidFill>
              <w14:schemeClr w14:val="tx1"/>
            </w14:solidFill>
          </w14:textFill>
        </w:rPr>
        <w:t>到货</w:t>
      </w:r>
      <w:r>
        <w:rPr>
          <w:rFonts w:hint="eastAsia" w:hAnsi="宋体" w:eastAsia="宋体"/>
          <w:color w:val="000000" w:themeColor="text1"/>
          <w:sz w:val="21"/>
          <w:szCs w:val="21"/>
          <w14:textFill>
            <w14:solidFill>
              <w14:schemeClr w14:val="tx1"/>
            </w14:solidFill>
          </w14:textFill>
        </w:rPr>
        <w:t>时间为2小时内</w:t>
      </w:r>
      <w:r>
        <w:rPr>
          <w:rFonts w:hint="eastAsia" w:hAnsi="宋体" w:eastAsia="宋体"/>
          <w:color w:val="000000" w:themeColor="text1"/>
          <w:sz w:val="21"/>
          <w:szCs w:val="21"/>
          <w:lang w:eastAsia="zh-CN"/>
          <w14:textFill>
            <w14:solidFill>
              <w14:schemeClr w14:val="tx1"/>
            </w14:solidFill>
          </w14:textFill>
        </w:rPr>
        <w:t>到货</w:t>
      </w:r>
      <w:r>
        <w:rPr>
          <w:rFonts w:hint="eastAsia" w:hAnsi="宋体" w:eastAsia="宋体"/>
          <w:color w:val="000000" w:themeColor="text1"/>
          <w:sz w:val="21"/>
          <w:szCs w:val="21"/>
          <w14:textFill>
            <w14:solidFill>
              <w14:schemeClr w14:val="tx1"/>
            </w14:solidFill>
          </w14:textFill>
        </w:rPr>
        <w:t>。</w:t>
      </w:r>
      <w:bookmarkStart w:id="8" w:name="_GoBack"/>
      <w:bookmarkEnd w:id="8"/>
    </w:p>
    <w:p>
      <w:pPr>
        <w:pStyle w:val="7"/>
        <w:widowControl w:val="0"/>
        <w:numPr>
          <w:ilvl w:val="0"/>
          <w:numId w:val="15"/>
        </w:numPr>
        <w:tabs>
          <w:tab w:val="left" w:pos="540"/>
        </w:tabs>
        <w:spacing w:after="0" w:line="360" w:lineRule="auto"/>
        <w:jc w:val="both"/>
        <w:rPr>
          <w:rFonts w:hAnsi="宋体" w:eastAsia="宋体"/>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质保期及售后服务要求</w:t>
      </w:r>
    </w:p>
    <w:p>
      <w:pPr>
        <w:pStyle w:val="7"/>
        <w:widowControl w:val="0"/>
        <w:numPr>
          <w:ilvl w:val="0"/>
          <w:numId w:val="16"/>
        </w:numPr>
        <w:tabs>
          <w:tab w:val="left" w:pos="2340"/>
        </w:tabs>
        <w:spacing w:after="0" w:line="360" w:lineRule="auto"/>
        <w:jc w:val="both"/>
        <w:rPr>
          <w:rFonts w:hAnsi="宋体" w:eastAsia="宋体"/>
          <w:color w:val="000000" w:themeColor="text1"/>
          <w:sz w:val="21"/>
          <w:szCs w:val="21"/>
          <w14:textFill>
            <w14:solidFill>
              <w14:schemeClr w14:val="tx1"/>
            </w14:solidFill>
          </w14:textFill>
        </w:rPr>
      </w:pPr>
      <w:r>
        <w:rPr>
          <w:rFonts w:hAnsi="宋体" w:eastAsia="宋体"/>
          <w:color w:val="000000" w:themeColor="text1"/>
          <w:sz w:val="21"/>
          <w:szCs w:val="21"/>
          <w14:textFill>
            <w14:solidFill>
              <w14:schemeClr w14:val="tx1"/>
            </w14:solidFill>
          </w14:textFill>
        </w:rPr>
        <w:t>所有设备产品均按照厂家的保修条例保修</w:t>
      </w:r>
      <w:r>
        <w:rPr>
          <w:rFonts w:hint="eastAsia" w:hAnsi="宋体" w:eastAsia="宋体"/>
          <w:color w:val="000000" w:themeColor="text1"/>
          <w:sz w:val="21"/>
          <w:szCs w:val="21"/>
          <w14:textFill>
            <w14:solidFill>
              <w14:schemeClr w14:val="tx1"/>
            </w14:solidFill>
          </w14:textFill>
        </w:rPr>
        <w:t>。</w:t>
      </w:r>
    </w:p>
    <w:p>
      <w:pPr>
        <w:widowControl w:val="0"/>
        <w:numPr>
          <w:ilvl w:val="0"/>
          <w:numId w:val="16"/>
        </w:numPr>
        <w:autoSpaceDE w:val="0"/>
        <w:autoSpaceDN w:val="0"/>
        <w:spacing w:after="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质保期内，如设备或零部件因非人为因素出现故障而造成短期停用时，则质保期和免费维修期相应顺延。如停用时间累计超过60天则质保期重新计算。</w:t>
      </w:r>
    </w:p>
    <w:p>
      <w:pPr>
        <w:widowControl w:val="0"/>
        <w:numPr>
          <w:ilvl w:val="0"/>
          <w:numId w:val="16"/>
        </w:numPr>
        <w:autoSpaceDE w:val="0"/>
        <w:autoSpaceDN w:val="0"/>
        <w:spacing w:after="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对采购人的服务通知，成交人在接报后1小时内响应，4小时内到达现场，48小时内处理完毕。若在48小时内仍未能有效解决，成交人须免费提供同档次的设备予采购人临时使用。</w:t>
      </w:r>
    </w:p>
    <w:p>
      <w:pPr>
        <w:pStyle w:val="7"/>
        <w:widowControl w:val="0"/>
        <w:numPr>
          <w:ilvl w:val="0"/>
          <w:numId w:val="15"/>
        </w:numPr>
        <w:tabs>
          <w:tab w:val="left" w:pos="540"/>
        </w:tabs>
        <w:spacing w:after="0" w:line="360" w:lineRule="auto"/>
        <w:jc w:val="both"/>
        <w:rPr>
          <w:rFonts w:hAnsi="宋体" w:eastAsia="宋体"/>
          <w:b/>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包装、保险及发运、保管要求</w:t>
      </w:r>
    </w:p>
    <w:p>
      <w:pPr>
        <w:widowControl w:val="0"/>
        <w:numPr>
          <w:ilvl w:val="0"/>
          <w:numId w:val="17"/>
        </w:numPr>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设备材料的包装必须是制造商原厂包装，其包装均应有良好的防湿、防锈、防潮、防雨、防腐及防碰撞的措施。凡由于包装不良造成的损失和由此产生的费用均由供应商承担。</w:t>
      </w:r>
    </w:p>
    <w:p>
      <w:pPr>
        <w:widowControl w:val="0"/>
        <w:numPr>
          <w:ilvl w:val="0"/>
          <w:numId w:val="17"/>
        </w:numPr>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成交人负责将材料货到现场过程中的全部运输，包括装卸车、货物现场的搬运。</w:t>
      </w:r>
    </w:p>
    <w:p>
      <w:pPr>
        <w:widowControl w:val="0"/>
        <w:numPr>
          <w:ilvl w:val="0"/>
          <w:numId w:val="17"/>
        </w:numPr>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各种货物必须提供装箱清单，按装箱清单验收货物。</w:t>
      </w:r>
    </w:p>
    <w:p>
      <w:pPr>
        <w:widowControl w:val="0"/>
        <w:numPr>
          <w:ilvl w:val="0"/>
          <w:numId w:val="17"/>
        </w:numPr>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货物在现场的保管由成交人负责，直至项目安装、验收完毕。</w:t>
      </w:r>
    </w:p>
    <w:p>
      <w:pPr>
        <w:widowControl w:val="0"/>
        <w:numPr>
          <w:ilvl w:val="0"/>
          <w:numId w:val="17"/>
        </w:numPr>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货物在货物验收合格前的保险由成交人负责，成交人负责其派出的现场服务人员人身意外保险。</w:t>
      </w:r>
    </w:p>
    <w:p>
      <w:pPr>
        <w:widowControl w:val="0"/>
        <w:numPr>
          <w:ilvl w:val="0"/>
          <w:numId w:val="17"/>
        </w:numPr>
        <w:spacing w:after="0" w:line="360" w:lineRule="auto"/>
        <w:jc w:val="both"/>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货物至采购人指定的使用现场的包装、保险及发运等环节和费用均由成交人负责。</w:t>
      </w:r>
    </w:p>
    <w:p>
      <w:pPr>
        <w:pStyle w:val="7"/>
        <w:widowControl w:val="0"/>
        <w:numPr>
          <w:ilvl w:val="0"/>
          <w:numId w:val="15"/>
        </w:numPr>
        <w:tabs>
          <w:tab w:val="left" w:pos="540"/>
        </w:tabs>
        <w:spacing w:after="0" w:line="360" w:lineRule="auto"/>
        <w:jc w:val="both"/>
        <w:rPr>
          <w:rFonts w:hAnsi="宋体" w:eastAsia="宋体"/>
          <w:b/>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安装、调试与验收</w:t>
      </w:r>
    </w:p>
    <w:p>
      <w:pPr>
        <w:pStyle w:val="7"/>
        <w:widowControl w:val="0"/>
        <w:numPr>
          <w:ilvl w:val="0"/>
          <w:numId w:val="18"/>
        </w:numPr>
        <w:tabs>
          <w:tab w:val="left" w:pos="540"/>
        </w:tabs>
        <w:spacing w:after="0" w:line="360" w:lineRule="auto"/>
        <w:jc w:val="both"/>
        <w:rPr>
          <w:rFonts w:hAnsi="宋体" w:eastAsia="宋体"/>
          <w:color w:val="000000" w:themeColor="text1"/>
          <w:sz w:val="21"/>
          <w:szCs w:val="21"/>
          <w14:textFill>
            <w14:solidFill>
              <w14:schemeClr w14:val="tx1"/>
            </w14:solidFill>
          </w14:textFill>
        </w:rPr>
      </w:pPr>
      <w:r>
        <w:rPr>
          <w:rFonts w:hint="eastAsia" w:hAnsi="宋体" w:eastAsia="宋体"/>
          <w:color w:val="000000" w:themeColor="text1"/>
          <w:sz w:val="21"/>
          <w:szCs w:val="21"/>
          <w14:textFill>
            <w14:solidFill>
              <w14:schemeClr w14:val="tx1"/>
            </w14:solidFill>
          </w14:textFill>
        </w:rPr>
        <w:t xml:space="preserve">货物若有国家标准按照国家标准验收，若无国家标准按行业标准验收，为原制造商制造的全新产品，整机无污染，无侵权行为、表面无划损、无任何缺陷隐患，在中国境内可依常规安全合法使用。 </w:t>
      </w:r>
    </w:p>
    <w:p>
      <w:pPr>
        <w:widowControl w:val="0"/>
        <w:numPr>
          <w:ilvl w:val="0"/>
          <w:numId w:val="18"/>
        </w:numPr>
        <w:tabs>
          <w:tab w:val="left" w:pos="900"/>
        </w:tabs>
        <w:autoSpaceDE w:val="0"/>
        <w:autoSpaceDN w:val="0"/>
        <w:spacing w:after="0" w:line="360" w:lineRule="auto"/>
        <w:jc w:val="both"/>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货物为原厂商未启封全新包装，具出厂合格证，序列号、包装箱号与出厂批号一致，并可追索查阅。所有随设备的附件必须齐全。</w:t>
      </w:r>
    </w:p>
    <w:p>
      <w:pPr>
        <w:widowControl w:val="0"/>
        <w:numPr>
          <w:ilvl w:val="0"/>
          <w:numId w:val="18"/>
        </w:numPr>
        <w:tabs>
          <w:tab w:val="left" w:pos="900"/>
        </w:tabs>
        <w:autoSpaceDE w:val="0"/>
        <w:autoSpaceDN w:val="0"/>
        <w:spacing w:after="0" w:line="360" w:lineRule="auto"/>
        <w:jc w:val="both"/>
      </w:pPr>
      <w:r>
        <w:rPr>
          <w:rFonts w:hint="eastAsia" w:ascii="宋体" w:hAnsi="宋体" w:eastAsia="宋体" w:cs="宋体"/>
          <w:color w:val="000000" w:themeColor="text1"/>
          <w:sz w:val="21"/>
          <w:szCs w:val="21"/>
          <w14:textFill>
            <w14:solidFill>
              <w14:schemeClr w14:val="tx1"/>
            </w14:solidFill>
          </w14:textFill>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7"/>
        <w:widowControl w:val="0"/>
        <w:numPr>
          <w:ilvl w:val="0"/>
          <w:numId w:val="15"/>
        </w:numPr>
        <w:tabs>
          <w:tab w:val="left" w:pos="540"/>
        </w:tabs>
        <w:spacing w:after="0" w:line="360" w:lineRule="auto"/>
        <w:jc w:val="both"/>
        <w:rPr>
          <w:rFonts w:hAnsi="宋体" w:eastAsia="宋体"/>
          <w:b/>
          <w:color w:val="000000" w:themeColor="text1"/>
          <w:sz w:val="21"/>
          <w:szCs w:val="21"/>
          <w14:textFill>
            <w14:solidFill>
              <w14:schemeClr w14:val="tx1"/>
            </w14:solidFill>
          </w14:textFill>
        </w:rPr>
      </w:pPr>
      <w:r>
        <w:rPr>
          <w:rFonts w:hint="eastAsia" w:hAnsi="宋体" w:eastAsia="宋体"/>
          <w:b/>
          <w:color w:val="000000" w:themeColor="text1"/>
          <w:sz w:val="21"/>
          <w:szCs w:val="21"/>
          <w14:textFill>
            <w14:solidFill>
              <w14:schemeClr w14:val="tx1"/>
            </w14:solidFill>
          </w14:textFill>
        </w:rPr>
        <w:t>付款方式</w:t>
      </w:r>
    </w:p>
    <w:p>
      <w:pPr>
        <w:pStyle w:val="25"/>
        <w:numPr>
          <w:ilvl w:val="0"/>
          <w:numId w:val="19"/>
        </w:numPr>
        <w:spacing w:after="0" w:line="360" w:lineRule="auto"/>
        <w:ind w:firstLineChars="0"/>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由采购人按下列程序付款：</w:t>
      </w:r>
      <w:r>
        <w:rPr>
          <w:rFonts w:hint="eastAsia" w:ascii="宋体" w:hAnsi="宋体" w:eastAsia="宋体" w:cs="宋体"/>
          <w:sz w:val="21"/>
          <w:szCs w:val="21"/>
        </w:rPr>
        <w:t>按季度进行结算</w:t>
      </w:r>
      <w:r>
        <w:rPr>
          <w:rFonts w:hint="eastAsia" w:ascii="宋体" w:hAnsi="宋体" w:eastAsia="宋体" w:cs="宋体"/>
          <w:color w:val="000000" w:themeColor="text1"/>
          <w:sz w:val="21"/>
          <w:szCs w:val="21"/>
          <w14:textFill>
            <w14:solidFill>
              <w14:schemeClr w14:val="tx1"/>
            </w14:solidFill>
          </w14:textFill>
        </w:rPr>
        <w:t>，成交人自采购货物经采购人验收合格之日起</w:t>
      </w:r>
      <w:r>
        <w:rPr>
          <w:rFonts w:hint="cs" w:ascii="宋体" w:hAnsi="宋体" w:eastAsia="宋体" w:cs="宋体"/>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个月内，提供该采购货物的全额增值税专用发票给采购人，采购人自收到合法有效发票之日起</w:t>
      </w:r>
      <w:r>
        <w:rPr>
          <w:rFonts w:ascii="宋体" w:hAnsi="宋体" w:eastAsia="宋体" w:cs="宋体"/>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个月内，支付相应货款的【100%】。</w:t>
      </w:r>
    </w:p>
    <w:p>
      <w:pPr>
        <w:pStyle w:val="7"/>
        <w:widowControl w:val="0"/>
        <w:numPr>
          <w:ilvl w:val="0"/>
          <w:numId w:val="19"/>
        </w:numPr>
        <w:adjustRightInd/>
        <w:snapToGrid/>
        <w:spacing w:after="0" w:line="360" w:lineRule="auto"/>
        <w:jc w:val="both"/>
        <w:rPr>
          <w:rFonts w:hAnsi="宋体" w:eastAsia="宋体"/>
          <w:color w:val="000000" w:themeColor="text1"/>
          <w:sz w:val="21"/>
          <w:szCs w:val="21"/>
          <w14:textFill>
            <w14:solidFill>
              <w14:schemeClr w14:val="tx1"/>
            </w14:solidFill>
          </w14:textFill>
        </w:rPr>
      </w:pPr>
      <w:bookmarkStart w:id="2" w:name="_Hlk520054790"/>
      <w:r>
        <w:rPr>
          <w:rFonts w:hint="eastAsia" w:hAnsi="宋体" w:eastAsia="宋体"/>
          <w:color w:val="000000" w:themeColor="text1"/>
          <w:sz w:val="21"/>
          <w:szCs w:val="21"/>
          <w14:textFill>
            <w14:solidFill>
              <w14:schemeClr w14:val="tx1"/>
            </w14:solidFill>
          </w14:textFill>
        </w:rPr>
        <w:t>成交人须按照采购人要求提供合法增值税专用发票</w:t>
      </w:r>
      <w:bookmarkEnd w:id="2"/>
      <w:r>
        <w:rPr>
          <w:rFonts w:hint="eastAsia" w:hAnsi="宋体" w:eastAsia="宋体"/>
          <w:color w:val="000000" w:themeColor="text1"/>
          <w:sz w:val="21"/>
          <w:szCs w:val="21"/>
          <w14:textFill>
            <w14:solidFill>
              <w14:schemeClr w14:val="tx1"/>
            </w14:solidFill>
          </w14:textFill>
        </w:rPr>
        <w:t>，否则，采购人有权延期付款，由此造成迟延付款的责任由成交人自行承担。</w:t>
      </w:r>
    </w:p>
    <w:p>
      <w:pPr>
        <w:pStyle w:val="7"/>
        <w:widowControl w:val="0"/>
        <w:numPr>
          <w:ilvl w:val="0"/>
          <w:numId w:val="19"/>
        </w:numPr>
        <w:adjustRightInd/>
        <w:snapToGrid/>
        <w:spacing w:after="0" w:line="360" w:lineRule="auto"/>
        <w:jc w:val="both"/>
        <w:rPr>
          <w:rFonts w:hAnsi="宋体" w:eastAsia="宋体"/>
          <w:color w:val="000000" w:themeColor="text1"/>
          <w:sz w:val="21"/>
          <w:szCs w:val="21"/>
          <w14:textFill>
            <w14:solidFill>
              <w14:schemeClr w14:val="tx1"/>
            </w14:solidFill>
          </w14:textFill>
        </w:rPr>
      </w:pPr>
      <w:bookmarkStart w:id="3" w:name="_Hlk519866474"/>
      <w:bookmarkStart w:id="4" w:name="_Hlk520055077"/>
      <w:r>
        <w:rPr>
          <w:rFonts w:hint="eastAsia" w:hAnsi="宋体" w:eastAsia="宋体"/>
          <w:color w:val="000000" w:themeColor="text1"/>
          <w:sz w:val="21"/>
          <w:szCs w:val="21"/>
          <w14:textFill>
            <w14:solidFill>
              <w14:schemeClr w14:val="tx1"/>
            </w14:solidFill>
          </w14:textFill>
        </w:rPr>
        <w:t>出现国家税收政策调整时，双方应根据实际税收调整情况，以本合同中的货物不含税单价为依据相应调整受影响的合同含税金额，成交人需按照税收调整政策规定开具合法合规发票</w:t>
      </w:r>
      <w:bookmarkEnd w:id="3"/>
      <w:r>
        <w:rPr>
          <w:rFonts w:hint="eastAsia" w:hAnsi="宋体" w:eastAsia="宋体"/>
          <w:color w:val="000000" w:themeColor="text1"/>
          <w:sz w:val="21"/>
          <w:szCs w:val="21"/>
          <w14:textFill>
            <w14:solidFill>
              <w14:schemeClr w14:val="tx1"/>
            </w14:solidFill>
          </w14:textFill>
        </w:rPr>
        <w:t>。</w:t>
      </w:r>
    </w:p>
    <w:bookmarkEnd w:id="4"/>
    <w:p>
      <w:pPr>
        <w:pStyle w:val="7"/>
        <w:widowControl w:val="0"/>
        <w:numPr>
          <w:ilvl w:val="0"/>
          <w:numId w:val="19"/>
        </w:numPr>
        <w:adjustRightInd/>
        <w:snapToGrid/>
        <w:spacing w:after="0" w:line="360" w:lineRule="auto"/>
        <w:jc w:val="both"/>
        <w:rPr>
          <w:rFonts w:hAnsi="宋体" w:eastAsia="宋体"/>
          <w:color w:val="000000" w:themeColor="text1"/>
          <w:sz w:val="21"/>
          <w:szCs w:val="21"/>
          <w14:textFill>
            <w14:solidFill>
              <w14:schemeClr w14:val="tx1"/>
            </w14:solidFill>
          </w14:textFill>
        </w:rPr>
      </w:pPr>
      <w:bookmarkStart w:id="5" w:name="_Hlk519866249"/>
      <w:r>
        <w:rPr>
          <w:rFonts w:hint="eastAsia" w:hAnsi="宋体" w:eastAsia="宋体"/>
          <w:color w:val="000000" w:themeColor="text1"/>
          <w:sz w:val="21"/>
          <w:szCs w:val="21"/>
          <w14:textFill>
            <w14:solidFill>
              <w14:schemeClr w14:val="tx1"/>
            </w14:solidFill>
          </w14:textFill>
        </w:rPr>
        <w:t>若成交人需要改变收款账户，应提前【10】个工作日以书面形式通知采购人，否则，因此造成的损失由成交人自行承担。</w:t>
      </w:r>
    </w:p>
    <w:bookmarkEnd w:id="5"/>
    <w:p>
      <w:pPr>
        <w:pStyle w:val="7"/>
        <w:widowControl w:val="0"/>
        <w:numPr>
          <w:ilvl w:val="0"/>
          <w:numId w:val="19"/>
        </w:numPr>
        <w:adjustRightInd/>
        <w:snapToGrid/>
        <w:spacing w:after="0" w:line="360" w:lineRule="auto"/>
        <w:jc w:val="both"/>
        <w:rPr>
          <w:rFonts w:hAnsi="宋体" w:eastAsia="宋体"/>
          <w:b/>
          <w:bCs/>
          <w:color w:val="000000" w:themeColor="text1"/>
          <w:sz w:val="21"/>
          <w:szCs w:val="21"/>
          <w14:textFill>
            <w14:solidFill>
              <w14:schemeClr w14:val="tx1"/>
            </w14:solidFill>
          </w14:textFill>
        </w:rPr>
      </w:pPr>
      <w:r>
        <w:rPr>
          <w:rFonts w:hint="eastAsia" w:hAnsi="宋体" w:eastAsia="宋体"/>
          <w:b/>
          <w:bCs/>
          <w:color w:val="000000" w:themeColor="text1"/>
          <w:sz w:val="21"/>
          <w:szCs w:val="21"/>
          <w14:textFill>
            <w14:solidFill>
              <w14:schemeClr w14:val="tx1"/>
            </w14:solidFill>
          </w14:textFill>
        </w:rPr>
        <w:t>为保证每次</w:t>
      </w:r>
      <w:r>
        <w:rPr>
          <w:rFonts w:hint="eastAsia" w:hAnsi="宋体" w:eastAsia="宋体"/>
          <w:b/>
          <w:bCs/>
          <w:color w:val="000000" w:themeColor="text1"/>
          <w:sz w:val="21"/>
          <w:szCs w:val="21"/>
          <w:lang w:eastAsia="zh-CN"/>
          <w14:textFill>
            <w14:solidFill>
              <w14:schemeClr w14:val="tx1"/>
            </w14:solidFill>
          </w14:textFill>
        </w:rPr>
        <w:t>到货</w:t>
      </w:r>
      <w:r>
        <w:rPr>
          <w:rFonts w:hint="eastAsia" w:hAnsi="宋体" w:eastAsia="宋体"/>
          <w:b/>
          <w:bCs/>
          <w:color w:val="000000" w:themeColor="text1"/>
          <w:sz w:val="21"/>
          <w:szCs w:val="21"/>
          <w14:textFill>
            <w14:solidFill>
              <w14:schemeClr w14:val="tx1"/>
            </w14:solidFill>
          </w14:textFill>
        </w:rPr>
        <w:t>的效率，成交人在与采购人签订合同后5个工作日内提交履约保证金2000元至采购人账户。每次不按时</w:t>
      </w:r>
      <w:r>
        <w:rPr>
          <w:rFonts w:hint="eastAsia" w:hAnsi="宋体" w:eastAsia="宋体"/>
          <w:b/>
          <w:bCs/>
          <w:color w:val="000000" w:themeColor="text1"/>
          <w:sz w:val="21"/>
          <w:szCs w:val="21"/>
          <w:lang w:eastAsia="zh-CN"/>
          <w14:textFill>
            <w14:solidFill>
              <w14:schemeClr w14:val="tx1"/>
            </w14:solidFill>
          </w14:textFill>
        </w:rPr>
        <w:t>到货</w:t>
      </w:r>
      <w:r>
        <w:rPr>
          <w:rFonts w:hint="eastAsia" w:hAnsi="宋体" w:eastAsia="宋体"/>
          <w:b/>
          <w:bCs/>
          <w:color w:val="000000" w:themeColor="text1"/>
          <w:sz w:val="21"/>
          <w:szCs w:val="21"/>
          <w14:textFill>
            <w14:solidFill>
              <w14:schemeClr w14:val="tx1"/>
            </w14:solidFill>
          </w14:textFill>
        </w:rPr>
        <w:t>，则扣除200元的违约金，不按时</w:t>
      </w:r>
      <w:r>
        <w:rPr>
          <w:rFonts w:hint="eastAsia" w:hAnsi="宋体" w:eastAsia="宋体"/>
          <w:b/>
          <w:bCs/>
          <w:color w:val="000000" w:themeColor="text1"/>
          <w:sz w:val="21"/>
          <w:szCs w:val="21"/>
          <w:lang w:eastAsia="zh-CN"/>
          <w14:textFill>
            <w14:solidFill>
              <w14:schemeClr w14:val="tx1"/>
            </w14:solidFill>
          </w14:textFill>
        </w:rPr>
        <w:t>到货</w:t>
      </w:r>
      <w:r>
        <w:rPr>
          <w:rFonts w:hint="eastAsia" w:hAnsi="宋体" w:eastAsia="宋体"/>
          <w:b/>
          <w:bCs/>
          <w:color w:val="000000" w:themeColor="text1"/>
          <w:sz w:val="21"/>
          <w:szCs w:val="21"/>
          <w14:textFill>
            <w14:solidFill>
              <w14:schemeClr w14:val="tx1"/>
            </w14:solidFill>
          </w14:textFill>
        </w:rPr>
        <w:t>次数达5次以上，采购人有权取消合同并没收剩余的保证金，并列入采购人的采购黑名单。合同执行完毕后，成交人应通过书面方式通知采购人退还履约保证金，采购人收到通知后三个月内一次性无息退还履约保证金。</w:t>
      </w:r>
    </w:p>
    <w:p>
      <w:pPr>
        <w:adjustRightInd/>
        <w:snapToGrid/>
        <w:spacing w:after="0"/>
        <w:rPr>
          <w:rFonts w:ascii="Times New Roman" w:hAnsi="Times New Roman" w:eastAsia="宋体" w:cs="Times New Roman"/>
          <w:b/>
          <w:bCs/>
          <w:kern w:val="44"/>
          <w:sz w:val="32"/>
          <w:szCs w:val="32"/>
        </w:rPr>
      </w:pPr>
      <w:r>
        <w:rPr>
          <w:rFonts w:ascii="Times New Roman" w:hAnsi="Times New Roman" w:eastAsia="宋体" w:cs="Times New Roman"/>
          <w:b/>
          <w:bCs/>
          <w:kern w:val="44"/>
          <w:sz w:val="32"/>
          <w:szCs w:val="32"/>
        </w:rPr>
        <w:br w:type="page"/>
      </w:r>
    </w:p>
    <w:p>
      <w:pPr>
        <w:keepNext/>
        <w:keepLines/>
        <w:widowControl w:val="0"/>
        <w:adjustRightInd/>
        <w:snapToGrid/>
        <w:spacing w:before="340" w:after="0" w:line="579" w:lineRule="auto"/>
        <w:jc w:val="center"/>
        <w:outlineLvl w:val="0"/>
        <w:rPr>
          <w:rFonts w:ascii="Times New Roman" w:hAnsi="Times New Roman" w:eastAsia="宋体" w:cs="宋体"/>
          <w:b/>
          <w:bCs/>
          <w:sz w:val="32"/>
          <w:szCs w:val="32"/>
        </w:rPr>
      </w:pPr>
      <w:r>
        <w:rPr>
          <w:rFonts w:hint="eastAsia" w:ascii="Times New Roman" w:hAnsi="Times New Roman" w:eastAsia="宋体" w:cs="Times New Roman"/>
          <w:b/>
          <w:bCs/>
          <w:kern w:val="44"/>
          <w:sz w:val="32"/>
          <w:szCs w:val="32"/>
        </w:rPr>
        <w:t>第三章竞价附件</w:t>
      </w:r>
    </w:p>
    <w:p>
      <w:pPr>
        <w:keepNext/>
        <w:keepLines/>
        <w:widowControl w:val="0"/>
        <w:adjustRightInd/>
        <w:snapToGrid/>
        <w:spacing w:after="0" w:line="360" w:lineRule="auto"/>
        <w:jc w:val="center"/>
        <w:outlineLvl w:val="1"/>
        <w:rPr>
          <w:rFonts w:hint="eastAsia" w:ascii="Cambria" w:hAnsi="Cambria" w:eastAsia="宋体" w:cs="Times New Roman"/>
          <w:b/>
          <w:bCs/>
          <w:kern w:val="2"/>
          <w:sz w:val="32"/>
          <w:szCs w:val="32"/>
        </w:rPr>
      </w:pPr>
      <w:r>
        <w:rPr>
          <w:rFonts w:hint="eastAsia" w:ascii="Cambria" w:hAnsi="Cambria" w:eastAsia="宋体" w:cs="Times New Roman"/>
          <w:b/>
          <w:bCs/>
          <w:kern w:val="2"/>
          <w:sz w:val="32"/>
          <w:szCs w:val="32"/>
        </w:rPr>
        <w:t>报价表</w:t>
      </w:r>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6"/>
        <w:gridCol w:w="1844"/>
        <w:gridCol w:w="1548"/>
        <w:gridCol w:w="852"/>
        <w:gridCol w:w="1224"/>
        <w:gridCol w:w="1464"/>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含税单价（元）</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c>
          <w:tcPr>
            <w:tcW w:w="680"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含税单价报价（元）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00" w:type="pct"/>
            <w:gridSpan w:val="7"/>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文具类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打印纸（1*10包/箱）</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A4（80g）</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500张/包</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打印纸（1*5包/箱）</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A3(80g)</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500张/包</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电脑纸</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3联1/2</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1000页/盒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彩色复印纸</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A4（80g）</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500张/包</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彩色皮纹封面纸</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A4（210g）</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100张/包</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南国档案盒</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A800</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A4牛皮档案袋</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350g</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A4牛皮信封</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32*22.5cm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A4软塑料拉锁袋</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A4网格拉链袋</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A4纽扣文件袋</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手提帆布文件袋</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4格桌面文件架</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4格桌面文件架</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金属铁丝</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订书钉</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通用12#</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1000枚1盒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订书机</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适用12#钉</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重型订书机</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旗文3000</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装订机</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云广168</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起钉器</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适用12#钉</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剪刀</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大号美工刀</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18mm刀片宽</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小号美工刀</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9mm刀片宽</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A4切纸刀</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300mm*250mm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计算器小号</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147*120mm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计算器大号</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186*147mm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塑料直尺</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塑料直尺</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5米卷尺</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金属网纹圆形笔筒</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七格金属网纹笔架</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卷笔刀</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胶水</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固体胶</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21g</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固体胶</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36g</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小胶带</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12mm*30Y</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美纹胶布</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24厘</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双面胶布</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厚海绵胶布</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透明封箱胶</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42cm*200m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60个/盒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40个/盒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48个/盒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24个/盒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长尾夹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12个/盒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山形票据夹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山形票据夹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山形票据夹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加厚铁皮文件柜</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中二抽</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H1800*W850*D390mm</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双色铁皮文件柜</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H1800*W850*D390mm</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铁皮柜矮</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H900*W850*D390mm</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五层分体文件柜</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H360*W850*D390mm</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五层塑料文件柜</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H325*W295*D394mm</w:t>
            </w:r>
          </w:p>
        </w:tc>
        <w:tc>
          <w:tcPr>
            <w:tcW w:w="680" w:type="pct"/>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桌面文件柜</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9775</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H344*W277*D259mm</w:t>
            </w:r>
          </w:p>
        </w:tc>
        <w:tc>
          <w:tcPr>
            <w:tcW w:w="680" w:type="pct"/>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威伦司保险柜</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H500*W430*D370mm</w:t>
            </w:r>
          </w:p>
        </w:tc>
        <w:tc>
          <w:tcPr>
            <w:tcW w:w="680" w:type="pct"/>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金属双强力文件夹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资料册</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A4/40页</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A4塑料垫板夹</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A4抽杆夹</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回形针</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100枚/盒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封箱器</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挂式白板写字板</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挂式白板写字板</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60*90cm </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白板刷</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圆珠笔</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50支/盒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签字笔0.5mm</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12支/盒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按动签字笔0.5mm</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签字笔1.0mm</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12支/盒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中华铅笔</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12支/盒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橡皮擦</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记号笔大</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记号笔小</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白板笔</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白板擦</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荧光笔</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台笔</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笔芯0.5mm</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黑红蓝三种色</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20支/盒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笔记本30页</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A5（148*210mm）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笔记本40页</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A5（148*210mm）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笔记本60页</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A5（148*210mm）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18K会议记录本</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商务皮质</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18K笔记本</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商务皮质</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便利贴</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76*19mm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4色分条</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便利贴</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76*76mm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便利贴</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76*101mm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印台</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137*88mm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长方形</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印台</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φ82mm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圆形</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印油</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50ml</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橡胶圈</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100个/包</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荣誉证书</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12K</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荣誉证书</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8K</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荣誉证书</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6K</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人脸考勤机</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00" w:type="pct"/>
            <w:gridSpan w:val="7"/>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生活用品类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1.5L电热水壶</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1.5L</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弹压式玻璃茶壶</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1.2L</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LED平板灯</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76*76cm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LED灯管</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LED灯管</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灯泡</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应急灯</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灭蚊灯</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地胶垫(欢迎光临)</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180*120CM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地胶垫(欢迎光临)</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120*80CM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垃圾桶</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网状垃圾桶</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水桶</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17L</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12寸垃圾袋</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50*46cm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50个/扎</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大垃圾袋</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100*80cm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扎</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50个/扎</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毛巾小</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35*35cm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毛巾大</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35*75cm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洗手液</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500g/瓶</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卷纸</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10卷/提</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硬盒抽纸</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120抽/盒</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抽纸</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6包/提</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大盘纸</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10卷/箱</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餐巾纸</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90包/提</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一次性纸杯</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50个/包</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一次性塑料杯</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50个/包</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3孔排插</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1.0米线</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3孔排插</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3.0米线</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6孔排插</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1.0米线</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6孔排插</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3.0米线</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三五大号电池</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555</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5号电池</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7号电池</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金霸王电池</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电风扇</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台地两用</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垃圾铲</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冰丝扫把</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短竹扫把</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圆头拖把</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平板拖把</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平板拖把</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海绵拖把</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旋转拖把免手洗拖把套装</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免手洗平板拖把套装</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水刮</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水刮</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85cm</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圆头厕所刷</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洗衣粉</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900g</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袋</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洁厕精</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消鸡净</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空气清洗剂</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杀虫剂</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檀香蚊香</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一次性医用手套</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50个/盒</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乳胶手套</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胶粒棉手套</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59"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一次性筷子</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（筷子汤勺四合一）</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700对/件</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一次性饭盒</w:t>
            </w:r>
          </w:p>
        </w:tc>
        <w:tc>
          <w:tcPr>
            <w:tcW w:w="90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650ML</w:t>
            </w: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300个/件</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5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108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一次性汤盅</w:t>
            </w:r>
          </w:p>
        </w:tc>
        <w:tc>
          <w:tcPr>
            <w:tcW w:w="908" w:type="pct"/>
            <w:shd w:val="clear" w:color="auto" w:fill="auto"/>
            <w:vAlign w:val="center"/>
          </w:tcPr>
          <w:p>
            <w:pPr>
              <w:jc w:val="center"/>
              <w:rPr>
                <w:rFonts w:hint="eastAsia" w:ascii="宋体" w:hAnsi="宋体" w:eastAsia="宋体" w:cs="宋体"/>
                <w:i w:val="0"/>
                <w:iCs w:val="0"/>
                <w:color w:val="000000"/>
                <w:sz w:val="21"/>
                <w:szCs w:val="21"/>
                <w:u w:val="none"/>
              </w:rPr>
            </w:pPr>
          </w:p>
        </w:tc>
        <w:tc>
          <w:tcPr>
            <w:tcW w:w="500"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71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859"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600个/件</w:t>
            </w:r>
          </w:p>
        </w:tc>
        <w:tc>
          <w:tcPr>
            <w:tcW w:w="680" w:type="pct"/>
            <w:shd w:val="clear" w:color="auto" w:fill="auto"/>
            <w:noWrap/>
            <w:vAlign w:val="center"/>
          </w:tcPr>
          <w:p>
            <w:pPr>
              <w:rPr>
                <w:rFonts w:hint="eastAsia" w:ascii="宋体" w:hAnsi="宋体" w:eastAsia="宋体" w:cs="宋体"/>
                <w:i w:val="0"/>
                <w:iCs w:val="0"/>
                <w:color w:val="FF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000" w:type="pct"/>
            <w:gridSpan w:val="7"/>
            <w:shd w:val="clear" w:color="auto" w:fill="auto"/>
            <w:vAlign w:val="center"/>
          </w:tcPr>
          <w:p>
            <w:pPr>
              <w:adjustRightInd/>
              <w:snapToGrid/>
              <w:spacing w:after="0" w:line="360" w:lineRule="auto"/>
              <w:jc w:val="both"/>
              <w:rPr>
                <w:rFonts w:ascii="宋体" w:hAnsi="宋体" w:eastAsia="宋体" w:cs="宋体"/>
                <w:b/>
                <w:bCs/>
                <w:color w:val="000000"/>
                <w:sz w:val="21"/>
                <w:szCs w:val="21"/>
              </w:rPr>
            </w:pPr>
            <w:r>
              <w:rPr>
                <w:rFonts w:hint="eastAsia" w:ascii="宋体" w:hAnsi="宋体" w:eastAsia="宋体" w:cs="宋体"/>
                <w:b/>
                <w:bCs/>
                <w:color w:val="000000"/>
                <w:sz w:val="21"/>
                <w:szCs w:val="21"/>
              </w:rPr>
              <w:t>合计（每项含税单价之和）：人民币</w:t>
            </w:r>
            <w:r>
              <w:rPr>
                <w:rFonts w:hint="eastAsia" w:ascii="宋体" w:hAnsi="宋体" w:eastAsia="宋体" w:cs="宋体"/>
                <w:b/>
                <w:bCs/>
                <w:color w:val="000000"/>
                <w:sz w:val="21"/>
                <w:szCs w:val="21"/>
                <w:u w:val="single"/>
              </w:rPr>
              <w:t xml:space="preserve"> </w:t>
            </w:r>
            <w:r>
              <w:rPr>
                <w:rFonts w:ascii="宋体" w:hAnsi="宋体" w:eastAsia="宋体" w:cs="宋体"/>
                <w:b/>
                <w:bCs/>
                <w:color w:val="000000"/>
                <w:sz w:val="21"/>
                <w:szCs w:val="21"/>
                <w:u w:val="single"/>
              </w:rPr>
              <w:t xml:space="preserve">     </w:t>
            </w:r>
            <w:r>
              <w:rPr>
                <w:rFonts w:hint="eastAsia" w:ascii="宋体" w:hAnsi="宋体" w:eastAsia="宋体" w:cs="宋体"/>
                <w:b/>
                <w:bCs/>
                <w:color w:val="000000"/>
                <w:sz w:val="21"/>
                <w:szCs w:val="21"/>
              </w:rPr>
              <w:t>元</w:t>
            </w:r>
          </w:p>
          <w:p>
            <w:pPr>
              <w:rPr>
                <w:rFonts w:hint="eastAsia" w:ascii="宋体" w:hAnsi="宋体" w:eastAsia="宋体" w:cs="宋体"/>
                <w:i w:val="0"/>
                <w:iCs w:val="0"/>
                <w:color w:val="FF0000"/>
                <w:sz w:val="21"/>
                <w:szCs w:val="21"/>
                <w:u w:val="none"/>
              </w:rPr>
            </w:pPr>
            <w:r>
              <w:rPr>
                <w:rFonts w:hint="eastAsia" w:ascii="宋体" w:hAnsi="宋体" w:eastAsia="宋体" w:cs="宋体"/>
                <w:b/>
                <w:bCs/>
                <w:color w:val="000000"/>
                <w:sz w:val="21"/>
                <w:szCs w:val="21"/>
              </w:rPr>
              <w:t>发票类型：增值税专用发票，税率：</w:t>
            </w:r>
          </w:p>
        </w:tc>
      </w:tr>
    </w:tbl>
    <w:p>
      <w:pPr>
        <w:widowControl w:val="0"/>
        <w:adjustRightInd/>
        <w:snapToGrid/>
        <w:spacing w:after="0" w:line="360" w:lineRule="auto"/>
        <w:jc w:val="both"/>
        <w:rPr>
          <w:rFonts w:ascii="宋体" w:hAnsi="宋体" w:eastAsia="宋体" w:cs="Times New Roman"/>
          <w:b/>
          <w:spacing w:val="4"/>
          <w:kern w:val="2"/>
          <w:sz w:val="21"/>
          <w:szCs w:val="21"/>
        </w:rPr>
      </w:pPr>
    </w:p>
    <w:p>
      <w:pPr>
        <w:widowControl w:val="0"/>
        <w:autoSpaceDE w:val="0"/>
        <w:autoSpaceDN w:val="0"/>
        <w:adjustRightInd/>
        <w:snapToGrid/>
        <w:spacing w:after="0" w:line="340" w:lineRule="exact"/>
        <w:jc w:val="both"/>
        <w:rPr>
          <w:rFonts w:ascii="宋体" w:hAnsi="宋体" w:eastAsia="宋体" w:cs="宋体"/>
          <w:b/>
          <w:bCs/>
          <w:sz w:val="21"/>
          <w:szCs w:val="21"/>
        </w:rPr>
      </w:pPr>
      <w:r>
        <w:rPr>
          <w:rFonts w:hint="eastAsia" w:ascii="宋体" w:hAnsi="宋体" w:eastAsia="宋体" w:cs="宋体"/>
          <w:b/>
          <w:bCs/>
          <w:sz w:val="21"/>
          <w:szCs w:val="21"/>
        </w:rPr>
        <w:t>注：</w:t>
      </w:r>
    </w:p>
    <w:p>
      <w:pPr>
        <w:widowControl w:val="0"/>
        <w:numPr>
          <w:ilvl w:val="0"/>
          <w:numId w:val="20"/>
        </w:numPr>
        <w:autoSpaceDE w:val="0"/>
        <w:autoSpaceDN w:val="0"/>
        <w:adjustRightInd/>
        <w:snapToGrid/>
        <w:spacing w:after="0" w:line="340" w:lineRule="exact"/>
        <w:jc w:val="both"/>
        <w:rPr>
          <w:rFonts w:ascii="宋体" w:hAnsi="宋体" w:eastAsia="宋体" w:cs="宋体"/>
          <w:b/>
          <w:bCs/>
          <w:sz w:val="21"/>
          <w:szCs w:val="21"/>
          <w:u w:val="single"/>
        </w:rPr>
      </w:pPr>
      <w:r>
        <w:rPr>
          <w:rFonts w:hint="eastAsia" w:ascii="宋体" w:hAnsi="宋体" w:eastAsia="宋体" w:cs="宋体"/>
          <w:b/>
          <w:bCs/>
          <w:sz w:val="21"/>
          <w:szCs w:val="21"/>
          <w:u w:val="single"/>
        </w:rPr>
        <w:t>供应商必须按报价表的格式填写，不得增加或删除表格内容。除品牌型号、单价、金额或项目要求填写的内容外，不得擅自改动报价表内容，</w:t>
      </w:r>
      <w:r>
        <w:rPr>
          <w:rFonts w:hint="eastAsia" w:ascii="宋体" w:hAnsi="宋体" w:eastAsia="宋体" w:cs="宋体"/>
          <w:b/>
          <w:bCs/>
          <w:sz w:val="21"/>
          <w:szCs w:val="21"/>
        </w:rPr>
        <w:t>否则将有可能影响成交结果，不推荐为成交候选人；</w:t>
      </w:r>
    </w:p>
    <w:p>
      <w:pPr>
        <w:widowControl w:val="0"/>
        <w:numPr>
          <w:ilvl w:val="0"/>
          <w:numId w:val="20"/>
        </w:numPr>
        <w:autoSpaceDE w:val="0"/>
        <w:autoSpaceDN w:val="0"/>
        <w:adjustRightInd/>
        <w:snapToGrid/>
        <w:spacing w:after="0" w:line="340" w:lineRule="exact"/>
        <w:jc w:val="both"/>
      </w:pPr>
      <w:r>
        <w:rPr>
          <w:rFonts w:hint="eastAsia" w:ascii="宋体" w:hAnsi="宋体" w:eastAsia="宋体" w:cs="宋体"/>
          <w:b/>
          <w:sz w:val="21"/>
          <w:szCs w:val="21"/>
        </w:rPr>
        <w:t>平台上报价与上表合计不一致的，以报价表合计（经价格核准后的价格）为准。</w:t>
      </w:r>
    </w:p>
    <w:p>
      <w:pPr>
        <w:widowControl w:val="0"/>
        <w:numPr>
          <w:ilvl w:val="0"/>
          <w:numId w:val="20"/>
        </w:numPr>
        <w:autoSpaceDE w:val="0"/>
        <w:autoSpaceDN w:val="0"/>
        <w:adjustRightInd/>
        <w:snapToGrid/>
        <w:spacing w:after="0" w:line="340" w:lineRule="exact"/>
        <w:jc w:val="both"/>
        <w:rPr>
          <w:rFonts w:ascii="宋体" w:hAnsi="宋体" w:eastAsia="宋体" w:cs="宋体"/>
          <w:b/>
          <w:sz w:val="21"/>
          <w:szCs w:val="21"/>
        </w:rPr>
      </w:pPr>
      <w:r>
        <w:rPr>
          <w:rFonts w:hint="eastAsia" w:ascii="宋体" w:hAnsi="宋体" w:eastAsia="宋体" w:cs="宋体"/>
          <w:b/>
          <w:sz w:val="21"/>
          <w:szCs w:val="21"/>
        </w:rPr>
        <w:t>报价表必须加盖单位公章，否则视为无效报价。</w:t>
      </w:r>
    </w:p>
    <w:p>
      <w:pPr>
        <w:widowControl w:val="0"/>
        <w:adjustRightInd/>
        <w:snapToGrid/>
        <w:spacing w:after="0" w:line="500" w:lineRule="exact"/>
        <w:jc w:val="both"/>
        <w:rPr>
          <w:rFonts w:ascii="宋体" w:hAnsi="宋体" w:eastAsia="宋体" w:cs="Times New Roman"/>
          <w:spacing w:val="4"/>
          <w:kern w:val="2"/>
          <w:sz w:val="21"/>
          <w:szCs w:val="21"/>
        </w:rPr>
      </w:pPr>
    </w:p>
    <w:p>
      <w:pPr>
        <w:widowControl w:val="0"/>
        <w:adjustRightInd/>
        <w:snapToGrid/>
        <w:spacing w:after="0" w:line="500" w:lineRule="exact"/>
        <w:jc w:val="both"/>
        <w:rPr>
          <w:rFonts w:ascii="宋体" w:hAnsi="宋体" w:eastAsia="宋体" w:cs="Times New Roman"/>
          <w:kern w:val="2"/>
          <w:sz w:val="21"/>
          <w:szCs w:val="21"/>
          <w:u w:val="single"/>
        </w:rPr>
      </w:pPr>
      <w:r>
        <w:rPr>
          <w:rFonts w:hint="eastAsia" w:ascii="宋体" w:hAnsi="宋体" w:eastAsia="宋体" w:cs="Times New Roman"/>
          <w:spacing w:val="4"/>
          <w:kern w:val="2"/>
          <w:sz w:val="21"/>
          <w:szCs w:val="21"/>
        </w:rPr>
        <w:t>供应商名称（</w:t>
      </w:r>
      <w:r>
        <w:rPr>
          <w:rFonts w:hint="eastAsia" w:ascii="宋体" w:hAnsi="宋体" w:eastAsia="宋体" w:cs="Times New Roman"/>
          <w:kern w:val="2"/>
          <w:sz w:val="21"/>
          <w:szCs w:val="21"/>
        </w:rPr>
        <w:t>单位盖</w:t>
      </w:r>
      <w:r>
        <w:rPr>
          <w:rFonts w:hint="eastAsia" w:ascii="宋体" w:hAnsi="宋体" w:eastAsia="宋体" w:cs="Times New Roman"/>
          <w:spacing w:val="4"/>
          <w:kern w:val="2"/>
          <w:sz w:val="21"/>
          <w:szCs w:val="21"/>
        </w:rPr>
        <w:t>公章）：</w:t>
      </w:r>
    </w:p>
    <w:p>
      <w:pPr>
        <w:widowControl w:val="0"/>
        <w:adjustRightInd/>
        <w:snapToGrid/>
        <w:spacing w:after="0" w:line="520" w:lineRule="exact"/>
        <w:jc w:val="both"/>
        <w:rPr>
          <w:rFonts w:ascii="宋体" w:hAnsi="宋体" w:eastAsia="宋体" w:cs="Times New Roman"/>
          <w:spacing w:val="4"/>
          <w:kern w:val="2"/>
          <w:sz w:val="21"/>
          <w:szCs w:val="21"/>
          <w:u w:val="single"/>
        </w:rPr>
      </w:pPr>
      <w:r>
        <w:rPr>
          <w:rFonts w:hint="eastAsia" w:ascii="宋体" w:hAnsi="宋体" w:eastAsia="宋体" w:cs="Times New Roman"/>
          <w:spacing w:val="4"/>
          <w:kern w:val="2"/>
          <w:sz w:val="21"/>
          <w:szCs w:val="21"/>
        </w:rPr>
        <w:t>日期：</w:t>
      </w:r>
    </w:p>
    <w:p>
      <w:pPr>
        <w:adjustRightInd/>
        <w:outlineLvl w:val="0"/>
        <w:rPr>
          <w:rFonts w:ascii="宋体" w:hAnsi="宋体" w:eastAsia="宋体" w:cs="宋体"/>
          <w:color w:val="000000"/>
          <w:sz w:val="21"/>
          <w:szCs w:val="21"/>
        </w:rPr>
        <w:sectPr>
          <w:footerReference r:id="rId4" w:type="default"/>
          <w:footerReference r:id="rId5" w:type="even"/>
          <w:pgSz w:w="11906" w:h="16838"/>
          <w:pgMar w:top="1440" w:right="1800" w:bottom="1440" w:left="1800" w:header="851" w:footer="992" w:gutter="0"/>
          <w:cols w:space="720" w:num="1"/>
          <w:docGrid w:type="lines" w:linePitch="312" w:charSpace="0"/>
        </w:sectPr>
      </w:pPr>
    </w:p>
    <w:p>
      <w:pPr>
        <w:pStyle w:val="3"/>
        <w:pageBreakBefore/>
        <w:spacing w:before="0" w:after="0" w:line="360" w:lineRule="auto"/>
        <w:jc w:val="center"/>
        <w:rPr>
          <w:rFonts w:ascii="宋体" w:hAnsi="宋体" w:eastAsia="宋体"/>
          <w:bCs w:val="0"/>
        </w:rPr>
      </w:pPr>
      <w:bookmarkStart w:id="6" w:name="_Hlk57642354"/>
      <w:r>
        <w:rPr>
          <w:rFonts w:hint="eastAsia" w:ascii="宋体" w:hAnsi="宋体" w:eastAsia="宋体"/>
          <w:bCs w:val="0"/>
        </w:rPr>
        <w:t>法定代表人授权委托书</w:t>
      </w:r>
    </w:p>
    <w:p>
      <w:pPr>
        <w:pStyle w:val="7"/>
        <w:spacing w:line="360" w:lineRule="auto"/>
        <w:ind w:firstLine="420" w:firstLineChars="200"/>
        <w:rPr>
          <w:rFonts w:hAnsi="宋体" w:eastAsia="宋体"/>
          <w:sz w:val="21"/>
          <w:szCs w:val="21"/>
        </w:rPr>
      </w:pPr>
      <w:r>
        <w:rPr>
          <w:rFonts w:hint="eastAsia" w:hAnsi="宋体" w:eastAsia="宋体"/>
          <w:sz w:val="21"/>
          <w:szCs w:val="21"/>
        </w:rPr>
        <w:t>本授权委托书声明：注册于</w:t>
      </w:r>
      <w:r>
        <w:rPr>
          <w:rFonts w:hint="eastAsia" w:hAnsi="宋体" w:eastAsia="宋体"/>
          <w:sz w:val="21"/>
          <w:szCs w:val="21"/>
          <w:u w:val="single"/>
        </w:rPr>
        <w:t xml:space="preserve"> （供应商地址）  </w:t>
      </w:r>
      <w:r>
        <w:rPr>
          <w:rFonts w:hint="eastAsia" w:hAnsi="宋体" w:eastAsia="宋体"/>
          <w:sz w:val="21"/>
          <w:szCs w:val="21"/>
        </w:rPr>
        <w:t>的</w:t>
      </w:r>
      <w:r>
        <w:rPr>
          <w:rFonts w:hint="eastAsia" w:hAnsi="宋体" w:eastAsia="宋体"/>
          <w:sz w:val="21"/>
          <w:szCs w:val="21"/>
          <w:u w:val="single"/>
        </w:rPr>
        <w:t xml:space="preserve">  （供应商名称）    </w:t>
      </w:r>
      <w:r>
        <w:rPr>
          <w:rFonts w:hint="eastAsia" w:hAnsi="宋体" w:eastAsia="宋体"/>
          <w:sz w:val="21"/>
          <w:szCs w:val="21"/>
        </w:rPr>
        <w:t>在下面签名的</w:t>
      </w:r>
      <w:r>
        <w:rPr>
          <w:rFonts w:hint="eastAsia" w:hAnsi="宋体" w:eastAsia="宋体"/>
          <w:sz w:val="21"/>
          <w:szCs w:val="21"/>
          <w:u w:val="single"/>
        </w:rPr>
        <w:t>（法定代表人姓名、职务）</w:t>
      </w:r>
      <w:r>
        <w:rPr>
          <w:rFonts w:hint="eastAsia" w:hAnsi="宋体" w:eastAsia="宋体"/>
          <w:sz w:val="21"/>
          <w:szCs w:val="21"/>
        </w:rPr>
        <w:t>在此授权本公司</w:t>
      </w:r>
      <w:r>
        <w:rPr>
          <w:rFonts w:hint="eastAsia" w:hAnsi="宋体" w:eastAsia="宋体"/>
          <w:sz w:val="21"/>
          <w:szCs w:val="21"/>
          <w:u w:val="single"/>
        </w:rPr>
        <w:t>（被授权人姓名、职务）</w:t>
      </w:r>
      <w:r>
        <w:rPr>
          <w:rFonts w:hint="eastAsia" w:hAnsi="宋体" w:eastAsia="宋体"/>
          <w:sz w:val="21"/>
          <w:szCs w:val="21"/>
        </w:rPr>
        <w:t>作为我公司的合法代理人，就</w:t>
      </w:r>
      <w:r>
        <w:rPr>
          <w:rFonts w:hint="eastAsia" w:hAnsi="宋体" w:eastAsia="宋体"/>
          <w:sz w:val="21"/>
          <w:szCs w:val="21"/>
          <w:u w:val="single"/>
        </w:rPr>
        <w:t xml:space="preserve">  </w:t>
      </w:r>
      <w:r>
        <w:rPr>
          <w:rFonts w:hint="eastAsia" w:hAnsi="宋体" w:eastAsia="宋体"/>
          <w:b/>
          <w:sz w:val="21"/>
          <w:szCs w:val="21"/>
          <w:u w:val="single"/>
          <w:lang w:eastAsia="zh-CN"/>
        </w:rPr>
        <w:t>广东省广播电视网络股份有限公司茂名分公司2024年办公用品采购项目</w:t>
      </w:r>
      <w:r>
        <w:rPr>
          <w:rFonts w:hint="eastAsia" w:hAnsi="宋体" w:eastAsia="宋体"/>
          <w:sz w:val="21"/>
          <w:szCs w:val="21"/>
          <w:u w:val="single"/>
        </w:rPr>
        <w:t xml:space="preserve">  </w:t>
      </w:r>
      <w:r>
        <w:rPr>
          <w:rFonts w:hint="eastAsia" w:hAnsi="宋体" w:eastAsia="宋体"/>
          <w:sz w:val="21"/>
          <w:szCs w:val="21"/>
        </w:rPr>
        <w:t>的竞价采购活动，采购合同的签订、执行、完成和售后服务，作为供应商代表以我方的名义处理一切与之有关的事务。</w:t>
      </w:r>
    </w:p>
    <w:p>
      <w:pPr>
        <w:pStyle w:val="7"/>
        <w:spacing w:line="360" w:lineRule="auto"/>
        <w:ind w:firstLine="420" w:firstLineChars="200"/>
        <w:rPr>
          <w:rFonts w:hAnsi="宋体" w:eastAsia="宋体"/>
          <w:sz w:val="21"/>
          <w:szCs w:val="21"/>
        </w:rPr>
      </w:pPr>
      <w:r>
        <w:rPr>
          <w:rFonts w:hint="eastAsia" w:hAnsi="宋体" w:eastAsia="宋体"/>
          <w:sz w:val="21"/>
          <w:szCs w:val="21"/>
        </w:rPr>
        <w:t>被授权人（供应商授权代表）无转委托权限。</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本授权书自法定代表人签字之日起生效，特此声明。</w:t>
      </w:r>
    </w:p>
    <w:p>
      <w:pPr>
        <w:spacing w:line="360" w:lineRule="auto"/>
        <w:rPr>
          <w:rFonts w:ascii="宋体" w:hAnsi="宋体" w:eastAsia="宋体"/>
          <w:b/>
          <w:sz w:val="21"/>
          <w:szCs w:val="21"/>
        </w:rPr>
      </w:pPr>
      <w:r>
        <w:rPr>
          <w:rFonts w:hint="eastAsia" w:ascii="宋体" w:hAnsi="宋体" w:eastAsia="宋体"/>
          <w:b/>
          <w:sz w:val="21"/>
          <w:szCs w:val="21"/>
        </w:rPr>
        <w:t>随附1、《法定代表人证明书》；</w:t>
      </w: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hint="eastAsia" w:ascii="宋体" w:hAnsi="宋体" w:eastAsia="宋体"/>
          <w:sz w:val="21"/>
          <w:szCs w:val="21"/>
        </w:rPr>
        <w:t>供应商名称（盖公章）：</w:t>
      </w:r>
    </w:p>
    <w:p>
      <w:pPr>
        <w:spacing w:line="360" w:lineRule="auto"/>
        <w:rPr>
          <w:rFonts w:ascii="宋体" w:hAnsi="宋体" w:eastAsia="宋体"/>
          <w:sz w:val="21"/>
          <w:szCs w:val="21"/>
        </w:rPr>
      </w:pPr>
      <w:r>
        <w:rPr>
          <w:rFonts w:hint="eastAsia" w:ascii="宋体" w:hAnsi="宋体" w:eastAsia="宋体"/>
          <w:sz w:val="21"/>
          <w:szCs w:val="21"/>
        </w:rPr>
        <w:t>地      址：</w:t>
      </w:r>
    </w:p>
    <w:p>
      <w:pPr>
        <w:tabs>
          <w:tab w:val="left" w:pos="3780"/>
        </w:tabs>
        <w:spacing w:line="360" w:lineRule="auto"/>
        <w:rPr>
          <w:rFonts w:ascii="宋体" w:hAnsi="宋体" w:eastAsia="宋体"/>
          <w:sz w:val="21"/>
          <w:szCs w:val="21"/>
        </w:rPr>
      </w:pPr>
      <w:r>
        <w:rPr>
          <w:rFonts w:hint="eastAsia" w:ascii="宋体" w:hAnsi="宋体" w:eastAsia="宋体"/>
          <w:sz w:val="21"/>
          <w:szCs w:val="21"/>
        </w:rPr>
        <w:t>法定代表人（签字或盖章）：                         签字日期：</w:t>
      </w:r>
      <w:r>
        <w:rPr>
          <w:rFonts w:hint="eastAsia" w:ascii="宋体" w:hAnsi="宋体" w:eastAsia="宋体"/>
          <w:sz w:val="21"/>
          <w:szCs w:val="21"/>
          <w:u w:val="single"/>
        </w:rPr>
        <w:t xml:space="preserve">     </w:t>
      </w:r>
      <w:r>
        <w:rPr>
          <w:rFonts w:hint="eastAsia" w:ascii="宋体" w:hAnsi="宋体" w:eastAsia="宋体"/>
          <w:sz w:val="21"/>
          <w:szCs w:val="21"/>
        </w:rPr>
        <w:t>年</w:t>
      </w:r>
      <w:r>
        <w:rPr>
          <w:rFonts w:hint="eastAsia" w:ascii="宋体" w:hAnsi="宋体" w:eastAsia="宋体"/>
          <w:sz w:val="21"/>
          <w:szCs w:val="21"/>
          <w:u w:val="single"/>
        </w:rPr>
        <w:t xml:space="preserve">   </w:t>
      </w:r>
      <w:r>
        <w:rPr>
          <w:rFonts w:hint="eastAsia" w:ascii="宋体" w:hAnsi="宋体" w:eastAsia="宋体"/>
          <w:sz w:val="21"/>
          <w:szCs w:val="21"/>
        </w:rPr>
        <w:t>月</w:t>
      </w:r>
      <w:r>
        <w:rPr>
          <w:rFonts w:hint="eastAsia" w:ascii="宋体" w:hAnsi="宋体" w:eastAsia="宋体"/>
          <w:sz w:val="21"/>
          <w:szCs w:val="21"/>
          <w:u w:val="single"/>
        </w:rPr>
        <w:t xml:space="preserve">   </w:t>
      </w:r>
      <w:r>
        <w:rPr>
          <w:rFonts w:hint="eastAsia" w:ascii="宋体" w:hAnsi="宋体" w:eastAsia="宋体"/>
          <w:sz w:val="21"/>
          <w:szCs w:val="21"/>
        </w:rPr>
        <w:t>日</w:t>
      </w:r>
    </w:p>
    <w:p>
      <w:pPr>
        <w:spacing w:line="360" w:lineRule="auto"/>
        <w:rPr>
          <w:rFonts w:ascii="宋体" w:hAnsi="宋体" w:eastAsia="宋体"/>
          <w:sz w:val="21"/>
          <w:szCs w:val="21"/>
        </w:rPr>
      </w:pPr>
      <w:r>
        <w:rPr>
          <w:rFonts w:ascii="宋体" w:hAnsi="宋体" w:eastAsia="宋体"/>
          <w:sz w:val="21"/>
          <w:szCs w:val="21"/>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152400</wp:posOffset>
                </wp:positionV>
                <wp:extent cx="5651500" cy="1593215"/>
                <wp:effectExtent l="0" t="0" r="25400" b="26035"/>
                <wp:wrapNone/>
                <wp:docPr id="9" name="组合 9"/>
                <wp:cNvGraphicFramePr/>
                <a:graphic xmlns:a="http://schemas.openxmlformats.org/drawingml/2006/main">
                  <a:graphicData uri="http://schemas.microsoft.com/office/word/2010/wordprocessingGroup">
                    <wpg:wgp>
                      <wpg:cNvGrpSpPr/>
                      <wpg:grpSpPr>
                        <a:xfrm>
                          <a:off x="0" y="0"/>
                          <a:ext cx="5651500" cy="1593215"/>
                          <a:chOff x="1080" y="8670"/>
                          <a:chExt cx="8900" cy="2509"/>
                        </a:xfrm>
                      </wpg:grpSpPr>
                      <wps:wsp>
                        <wps:cNvPr id="10" name="矩形 10"/>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rPr>
                              </w:pPr>
                              <w:r>
                                <w:rPr>
                                  <w:rFonts w:hint="eastAsia" w:ascii="宋体" w:hAnsi="宋体" w:eastAsia="宋体"/>
                                </w:rPr>
                                <w:t>身份证（正面）</w:t>
                              </w:r>
                            </w:p>
                          </w:txbxContent>
                        </wps:txbx>
                        <wps:bodyPr upright="1"/>
                      </wps:wsp>
                      <wps:wsp>
                        <wps:cNvPr id="11" name="矩形 11"/>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rPr>
                              </w:pPr>
                              <w:r>
                                <w:rPr>
                                  <w:rFonts w:hint="eastAsia" w:ascii="宋体" w:hAnsi="宋体" w:eastAsia="宋体"/>
                                </w:rPr>
                                <w:t>身份证（反面）</w:t>
                              </w:r>
                            </w:p>
                            <w:p/>
                          </w:txbxContent>
                        </wps:txbx>
                        <wps:bodyPr upright="1"/>
                      </wps:wsp>
                    </wpg:wgp>
                  </a:graphicData>
                </a:graphic>
              </wp:anchor>
            </w:drawing>
          </mc:Choice>
          <mc:Fallback>
            <w:pict>
              <v:group id="_x0000_s1026" o:spid="_x0000_s1026" o:spt="203" style="position:absolute;left:0pt;margin-left:0pt;margin-top:12pt;height:125.45pt;width:445pt;z-index:251660288;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8w8d2dcAAAAHAQAADwAAAAAAAAABACAAAAAiAAAAZHJzL2Rvd25yZXYueG1sUEsBAhQAFAAA&#10;AAgAh07iQIsXZLKbAgAAqwcAAA4AAAAAAAAAAQAgAAAAJgEAAGRycy9lMm9Eb2MueG1sUEsFBgAA&#10;AAAGAAYAWQEAADMGAAAAAA==&#10;">
                <o:lock v:ext="edit" aspectratio="f"/>
                <v:rect id="_x0000_s1026" o:spid="_x0000_s1026" o:spt="1" style="position:absolute;left:1080;top:8670;height:2509;width:4218;"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宋体" w:hAnsi="宋体" w:eastAsia="宋体"/>
                          </w:rPr>
                        </w:pPr>
                        <w:r>
                          <w:rPr>
                            <w:rFonts w:hint="eastAsia" w:ascii="宋体" w:hAnsi="宋体" w:eastAsia="宋体"/>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宋体" w:hAnsi="宋体" w:eastAsia="宋体"/>
                          </w:rPr>
                        </w:pPr>
                        <w:r>
                          <w:rPr>
                            <w:rFonts w:hint="eastAsia" w:ascii="宋体" w:hAnsi="宋体" w:eastAsia="宋体"/>
                          </w:rPr>
                          <w:t>身份证（反面）</w:t>
                        </w:r>
                      </w:p>
                      <w:p/>
                    </w:txbxContent>
                  </v:textbox>
                </v:rect>
              </v:group>
            </w:pict>
          </mc:Fallback>
        </mc:AlternateContent>
      </w: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p>
    <w:p>
      <w:pPr>
        <w:spacing w:line="360" w:lineRule="auto"/>
        <w:rPr>
          <w:rFonts w:ascii="宋体" w:hAnsi="宋体" w:eastAsia="宋体"/>
          <w:sz w:val="21"/>
          <w:szCs w:val="21"/>
        </w:rPr>
      </w:pPr>
      <w:r>
        <w:rPr>
          <w:rFonts w:ascii="宋体" w:hAnsi="宋体" w:eastAsia="宋体"/>
          <w:sz w:val="21"/>
          <w:szCs w:val="21"/>
        </w:rPr>
        <w:br w:type="page"/>
      </w:r>
    </w:p>
    <w:p>
      <w:pPr>
        <w:pStyle w:val="3"/>
        <w:spacing w:before="0" w:after="0" w:line="360" w:lineRule="auto"/>
        <w:jc w:val="center"/>
        <w:rPr>
          <w:rFonts w:ascii="宋体" w:hAnsi="宋体" w:eastAsia="宋体"/>
          <w:bCs w:val="0"/>
        </w:rPr>
      </w:pPr>
      <w:r>
        <w:rPr>
          <w:rFonts w:hint="eastAsia" w:ascii="宋体" w:hAnsi="宋体" w:eastAsia="宋体"/>
          <w:bCs w:val="0"/>
        </w:rPr>
        <w:t>法定代表人证明书</w:t>
      </w:r>
    </w:p>
    <w:p>
      <w:pPr>
        <w:tabs>
          <w:tab w:val="left" w:pos="900"/>
        </w:tabs>
        <w:spacing w:line="480" w:lineRule="auto"/>
        <w:ind w:firstLine="945" w:firstLineChars="450"/>
        <w:rPr>
          <w:rFonts w:ascii="宋体" w:hAnsi="宋体" w:eastAsia="宋体"/>
          <w:sz w:val="21"/>
          <w:szCs w:val="21"/>
        </w:rPr>
      </w:pPr>
      <w:r>
        <w:rPr>
          <w:rFonts w:ascii="宋体" w:hAnsi="宋体" w:eastAsia="宋体"/>
          <w:sz w:val="21"/>
          <w:szCs w:val="21"/>
          <w:u w:val="single"/>
        </w:rPr>
        <w:t xml:space="preserve">     </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hint="eastAsia" w:ascii="宋体" w:hAnsi="宋体" w:eastAsia="宋体"/>
          <w:sz w:val="21"/>
          <w:szCs w:val="21"/>
        </w:rPr>
        <w:t>同志，现任我单位</w:t>
      </w:r>
      <w:r>
        <w:rPr>
          <w:rFonts w:ascii="宋体" w:hAnsi="宋体" w:eastAsia="宋体"/>
          <w:sz w:val="21"/>
          <w:szCs w:val="21"/>
          <w:u w:val="single"/>
        </w:rPr>
        <w:t xml:space="preserve">         </w:t>
      </w:r>
      <w:r>
        <w:rPr>
          <w:rFonts w:hint="eastAsia" w:ascii="宋体" w:hAnsi="宋体" w:eastAsia="宋体"/>
          <w:sz w:val="21"/>
          <w:szCs w:val="21"/>
        </w:rPr>
        <w:t>职务，为法定代表人，特此证明。</w:t>
      </w:r>
    </w:p>
    <w:p>
      <w:pPr>
        <w:spacing w:line="480" w:lineRule="auto"/>
        <w:ind w:firstLine="420" w:firstLineChars="200"/>
        <w:rPr>
          <w:rFonts w:ascii="宋体" w:hAnsi="宋体" w:eastAsia="宋体"/>
          <w:sz w:val="21"/>
          <w:szCs w:val="21"/>
        </w:rPr>
      </w:pPr>
      <w:r>
        <w:rPr>
          <w:rFonts w:hint="eastAsia" w:ascii="宋体" w:hAnsi="宋体" w:eastAsia="宋体"/>
          <w:sz w:val="21"/>
          <w:szCs w:val="21"/>
        </w:rPr>
        <w:t>本证明书自签发之日起生效，有效期与本公司参与竞价的文件中标注的有效期相同。</w:t>
      </w:r>
    </w:p>
    <w:p>
      <w:pPr>
        <w:spacing w:line="480" w:lineRule="auto"/>
        <w:ind w:firstLine="420" w:firstLineChars="200"/>
        <w:rPr>
          <w:rFonts w:ascii="宋体" w:hAnsi="宋体" w:eastAsia="宋体"/>
          <w:sz w:val="21"/>
          <w:szCs w:val="21"/>
        </w:rPr>
      </w:pPr>
      <w:r>
        <w:rPr>
          <w:rFonts w:hint="eastAsia" w:ascii="宋体" w:hAnsi="宋体" w:eastAsia="宋体"/>
          <w:sz w:val="21"/>
          <w:szCs w:val="21"/>
        </w:rPr>
        <w:t>附：</w:t>
      </w:r>
    </w:p>
    <w:p>
      <w:pPr>
        <w:spacing w:line="480" w:lineRule="auto"/>
        <w:ind w:firstLine="840" w:firstLineChars="400"/>
        <w:rPr>
          <w:rFonts w:ascii="宋体" w:hAnsi="宋体" w:eastAsia="宋体"/>
          <w:sz w:val="21"/>
          <w:szCs w:val="21"/>
        </w:rPr>
      </w:pPr>
      <w:r>
        <w:rPr>
          <w:rFonts w:hint="eastAsia" w:ascii="宋体" w:hAnsi="宋体" w:eastAsia="宋体"/>
          <w:sz w:val="21"/>
          <w:szCs w:val="21"/>
        </w:rPr>
        <w:t xml:space="preserve">营业执照（注册号）：                       </w:t>
      </w:r>
    </w:p>
    <w:p>
      <w:pPr>
        <w:spacing w:line="480" w:lineRule="auto"/>
        <w:ind w:firstLine="840" w:firstLineChars="400"/>
        <w:rPr>
          <w:rFonts w:ascii="宋体" w:hAnsi="宋体" w:eastAsia="宋体"/>
          <w:sz w:val="21"/>
          <w:szCs w:val="21"/>
        </w:rPr>
      </w:pPr>
      <w:r>
        <w:rPr>
          <w:rFonts w:hint="eastAsia" w:ascii="宋体" w:hAnsi="宋体" w:eastAsia="宋体"/>
          <w:sz w:val="21"/>
          <w:szCs w:val="21"/>
        </w:rPr>
        <w:t>经济性质：</w:t>
      </w:r>
    </w:p>
    <w:p>
      <w:pPr>
        <w:spacing w:line="480" w:lineRule="auto"/>
        <w:ind w:firstLine="840" w:firstLineChars="400"/>
        <w:rPr>
          <w:rFonts w:ascii="宋体" w:hAnsi="宋体" w:eastAsia="宋体"/>
          <w:sz w:val="21"/>
          <w:szCs w:val="21"/>
        </w:rPr>
      </w:pPr>
      <w:r>
        <w:rPr>
          <w:rFonts w:hint="eastAsia" w:ascii="宋体" w:hAnsi="宋体" w:eastAsia="宋体"/>
          <w:sz w:val="21"/>
          <w:szCs w:val="21"/>
        </w:rPr>
        <w:t>主营（产）：</w:t>
      </w:r>
    </w:p>
    <w:p>
      <w:pPr>
        <w:spacing w:line="480" w:lineRule="auto"/>
        <w:ind w:firstLine="840" w:firstLineChars="400"/>
        <w:rPr>
          <w:rFonts w:ascii="宋体" w:hAnsi="宋体" w:eastAsia="宋体"/>
          <w:sz w:val="21"/>
          <w:szCs w:val="21"/>
        </w:rPr>
      </w:pPr>
      <w:r>
        <w:rPr>
          <w:rFonts w:hint="eastAsia" w:ascii="宋体" w:hAnsi="宋体" w:eastAsia="宋体"/>
          <w:sz w:val="21"/>
          <w:szCs w:val="21"/>
        </w:rPr>
        <w:t>兼营（产）：</w:t>
      </w:r>
    </w:p>
    <w:p>
      <w:pPr>
        <w:spacing w:line="480" w:lineRule="auto"/>
        <w:ind w:firstLine="840" w:firstLineChars="400"/>
        <w:rPr>
          <w:rFonts w:ascii="宋体" w:hAnsi="宋体" w:eastAsia="宋体"/>
          <w:sz w:val="21"/>
          <w:szCs w:val="21"/>
        </w:rPr>
      </w:pPr>
      <w:r>
        <w:rPr>
          <w:rFonts w:ascii="宋体" w:hAnsi="宋体" w:eastAsia="宋体"/>
          <w:sz w:val="21"/>
          <w:szCs w:val="21"/>
        </w:rPr>
        <mc:AlternateContent>
          <mc:Choice Requires="wpg">
            <w:drawing>
              <wp:anchor distT="0" distB="0" distL="114300" distR="114300" simplePos="0" relativeHeight="251661312" behindDoc="0" locked="0" layoutInCell="1" allowOverlap="1">
                <wp:simplePos x="0" y="0"/>
                <wp:positionH relativeFrom="column">
                  <wp:posOffset>41910</wp:posOffset>
                </wp:positionH>
                <wp:positionV relativeFrom="paragraph">
                  <wp:posOffset>243840</wp:posOffset>
                </wp:positionV>
                <wp:extent cx="5535295" cy="1656715"/>
                <wp:effectExtent l="0" t="0" r="27305" b="19685"/>
                <wp:wrapNone/>
                <wp:docPr id="6" name="组合 6"/>
                <wp:cNvGraphicFramePr/>
                <a:graphic xmlns:a="http://schemas.openxmlformats.org/drawingml/2006/main">
                  <a:graphicData uri="http://schemas.microsoft.com/office/word/2010/wordprocessingGroup">
                    <wpg:wgp>
                      <wpg:cNvGrpSpPr/>
                      <wpg:grpSpPr>
                        <a:xfrm>
                          <a:off x="0" y="0"/>
                          <a:ext cx="5535295" cy="1656715"/>
                          <a:chOff x="1146" y="7566"/>
                          <a:chExt cx="8717" cy="2609"/>
                        </a:xfrm>
                      </wpg:grpSpPr>
                      <wps:wsp>
                        <wps:cNvPr id="4" name="矩形 4"/>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rPr>
                              </w:pPr>
                              <w:r>
                                <w:rPr>
                                  <w:rFonts w:hint="eastAsia" w:ascii="宋体" w:hAnsi="宋体" w:eastAsia="宋体"/>
                                </w:rPr>
                                <w:t>身份证（正面）</w:t>
                              </w:r>
                            </w:p>
                            <w:p>
                              <w:pPr>
                                <w:ind w:firstLine="1100" w:firstLineChars="500"/>
                              </w:pPr>
                            </w:p>
                          </w:txbxContent>
                        </wps:txbx>
                        <wps:bodyPr upright="1"/>
                      </wps:wsp>
                      <wps:wsp>
                        <wps:cNvPr id="5" name="矩形 5"/>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eastAsia="宋体"/>
                                </w:rPr>
                              </w:pPr>
                              <w:r>
                                <w:rPr>
                                  <w:rFonts w:hint="eastAsia" w:ascii="宋体" w:hAnsi="宋体" w:eastAsia="宋体"/>
                                </w:rPr>
                                <w:t>身份证（反面）</w:t>
                              </w:r>
                            </w:p>
                            <w:p>
                              <w:pPr>
                                <w:ind w:firstLine="1100" w:firstLineChars="500"/>
                              </w:pPr>
                            </w:p>
                          </w:txbxContent>
                        </wps:txbx>
                        <wps:bodyPr upright="1"/>
                      </wps:wsp>
                    </wpg:wgp>
                  </a:graphicData>
                </a:graphic>
              </wp:anchor>
            </w:drawing>
          </mc:Choice>
          <mc:Fallback>
            <w:pict>
              <v:group id="_x0000_s1026" o:spid="_x0000_s1026" o:spt="203" style="position:absolute;left:0pt;margin-left:3.3pt;margin-top:19.2pt;height:130.45pt;width:435.85pt;z-index:251661312;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YSSmk2QAAAAgBAAAPAAAAAAAAAAEAIAAAACIAAABkcnMvZG93bnJldi54bWxQSwEC&#10;FAAUAAAACACHTuJAKeu8m54CAACnBwAADgAAAAAAAAABACAAAAAoAQAAZHJzL2Uyb0RvYy54bWxQ&#10;SwUGAAAAAAYABgBZAQAAOAYAAAAA&#10;">
                <o:lock v:ext="edit" aspectratio="f"/>
                <v:rect id="_x0000_s1026" o:spid="_x0000_s1026" o:spt="1" style="position:absolute;left:1146;top:7566;height:2609;width:4166;"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eastAsia="宋体"/>
                          </w:rPr>
                        </w:pPr>
                        <w:r>
                          <w:rPr>
                            <w:rFonts w:hint="eastAsia" w:ascii="宋体" w:hAnsi="宋体" w:eastAsia="宋体"/>
                          </w:rPr>
                          <w:t>身份证（正面）</w:t>
                        </w:r>
                      </w:p>
                      <w:p>
                        <w:pPr>
                          <w:ind w:firstLine="110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宋体" w:hAnsi="宋体" w:eastAsia="宋体"/>
                          </w:rPr>
                        </w:pPr>
                        <w:r>
                          <w:rPr>
                            <w:rFonts w:hint="eastAsia" w:ascii="宋体" w:hAnsi="宋体" w:eastAsia="宋体"/>
                          </w:rPr>
                          <w:t>身份证（反面）</w:t>
                        </w:r>
                      </w:p>
                      <w:p>
                        <w:pPr>
                          <w:ind w:firstLine="1100" w:firstLineChars="500"/>
                        </w:pPr>
                      </w:p>
                    </w:txbxContent>
                  </v:textbox>
                </v:rect>
              </v:group>
            </w:pict>
          </mc:Fallback>
        </mc:AlternateContent>
      </w:r>
    </w:p>
    <w:p>
      <w:pPr>
        <w:spacing w:line="500" w:lineRule="exact"/>
        <w:rPr>
          <w:rFonts w:ascii="宋体" w:hAnsi="宋体" w:eastAsia="宋体"/>
          <w:b/>
          <w:bCs/>
          <w:sz w:val="21"/>
          <w:szCs w:val="21"/>
        </w:rPr>
      </w:pPr>
    </w:p>
    <w:p>
      <w:pPr>
        <w:spacing w:line="500" w:lineRule="exact"/>
        <w:rPr>
          <w:rFonts w:ascii="宋体" w:hAnsi="宋体" w:eastAsia="宋体"/>
          <w:b/>
          <w:bCs/>
          <w:sz w:val="21"/>
          <w:szCs w:val="21"/>
        </w:rPr>
      </w:pPr>
    </w:p>
    <w:p>
      <w:pPr>
        <w:spacing w:line="500" w:lineRule="exact"/>
        <w:rPr>
          <w:rFonts w:ascii="宋体" w:hAnsi="宋体" w:eastAsia="宋体"/>
          <w:b/>
          <w:bCs/>
          <w:sz w:val="21"/>
          <w:szCs w:val="21"/>
        </w:rPr>
      </w:pPr>
    </w:p>
    <w:p>
      <w:pPr>
        <w:spacing w:line="500" w:lineRule="exact"/>
        <w:rPr>
          <w:rFonts w:ascii="宋体" w:hAnsi="宋体" w:eastAsia="宋体"/>
          <w:b/>
          <w:bCs/>
          <w:sz w:val="21"/>
          <w:szCs w:val="21"/>
        </w:rPr>
      </w:pPr>
    </w:p>
    <w:p>
      <w:pPr>
        <w:spacing w:line="500" w:lineRule="exact"/>
        <w:rPr>
          <w:rFonts w:ascii="宋体" w:hAnsi="宋体" w:eastAsia="宋体"/>
          <w:b/>
          <w:bCs/>
          <w:sz w:val="21"/>
          <w:szCs w:val="21"/>
        </w:rPr>
      </w:pPr>
    </w:p>
    <w:p>
      <w:pPr>
        <w:spacing w:line="500" w:lineRule="exact"/>
        <w:rPr>
          <w:rFonts w:ascii="宋体" w:hAnsi="宋体" w:eastAsia="宋体"/>
          <w:b/>
          <w:bCs/>
          <w:sz w:val="21"/>
          <w:szCs w:val="21"/>
        </w:rPr>
      </w:pPr>
    </w:p>
    <w:p>
      <w:pPr>
        <w:spacing w:line="500" w:lineRule="exact"/>
        <w:rPr>
          <w:rFonts w:ascii="宋体" w:hAnsi="宋体" w:eastAsia="宋体"/>
          <w:b/>
          <w:bCs/>
          <w:sz w:val="21"/>
          <w:szCs w:val="21"/>
        </w:rPr>
      </w:pPr>
      <w:r>
        <w:rPr>
          <w:rFonts w:hint="eastAsia" w:ascii="宋体" w:hAnsi="宋体" w:eastAsia="宋体"/>
          <w:b/>
          <w:bCs/>
          <w:sz w:val="21"/>
          <w:szCs w:val="21"/>
        </w:rPr>
        <w:t xml:space="preserve">                         </w:t>
      </w:r>
    </w:p>
    <w:p>
      <w:pPr>
        <w:spacing w:line="500" w:lineRule="exact"/>
        <w:rPr>
          <w:rFonts w:ascii="宋体" w:hAnsi="宋体" w:eastAsia="宋体"/>
          <w:sz w:val="21"/>
          <w:szCs w:val="21"/>
        </w:rPr>
      </w:pPr>
      <w:r>
        <w:rPr>
          <w:rFonts w:hint="eastAsia" w:ascii="宋体" w:hAnsi="宋体" w:eastAsia="宋体"/>
          <w:b/>
          <w:bCs/>
          <w:sz w:val="21"/>
          <w:szCs w:val="21"/>
        </w:rPr>
        <w:t xml:space="preserve">                                            </w:t>
      </w:r>
      <w:r>
        <w:rPr>
          <w:rFonts w:hint="eastAsia" w:ascii="宋体" w:hAnsi="宋体" w:eastAsia="宋体"/>
          <w:sz w:val="21"/>
          <w:szCs w:val="21"/>
        </w:rPr>
        <w:t>供应商名称：（盖公章）：</w:t>
      </w:r>
    </w:p>
    <w:p>
      <w:pPr>
        <w:spacing w:line="500" w:lineRule="exact"/>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地址：</w:t>
      </w:r>
    </w:p>
    <w:p>
      <w:pPr>
        <w:spacing w:line="500" w:lineRule="exact"/>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日期：</w:t>
      </w:r>
    </w:p>
    <w:p>
      <w:pPr>
        <w:rPr>
          <w:rFonts w:asciiTheme="minorEastAsia" w:hAnsiTheme="minorEastAsia"/>
        </w:rPr>
      </w:pPr>
    </w:p>
    <w:p>
      <w:pPr>
        <w:pStyle w:val="3"/>
        <w:spacing w:before="0" w:after="0"/>
        <w:jc w:val="center"/>
        <w:rPr>
          <w:rFonts w:ascii="宋体" w:hAnsi="宋体" w:eastAsia="宋体"/>
        </w:rPr>
      </w:pPr>
      <w:r>
        <w:rPr>
          <w:rFonts w:hint="eastAsia" w:ascii="宋体" w:hAnsi="宋体" w:eastAsia="宋体"/>
        </w:rPr>
        <w:t>供应商资格声明函</w:t>
      </w:r>
    </w:p>
    <w:p>
      <w:pPr>
        <w:widowControl w:val="0"/>
        <w:adjustRightInd/>
        <w:snapToGrid/>
        <w:spacing w:after="0" w:line="600" w:lineRule="auto"/>
        <w:jc w:val="both"/>
        <w:rPr>
          <w:rFonts w:ascii="宋体" w:hAnsi="宋体" w:eastAsia="宋体" w:cs="宋体"/>
          <w:b/>
          <w:bCs/>
          <w:color w:val="000000"/>
          <w:kern w:val="2"/>
          <w:sz w:val="21"/>
          <w:szCs w:val="21"/>
        </w:rPr>
      </w:pPr>
      <w:r>
        <w:rPr>
          <w:rFonts w:hint="eastAsia" w:ascii="宋体" w:hAnsi="宋体" w:eastAsia="宋体" w:cs="宋体"/>
          <w:b/>
          <w:bCs/>
          <w:color w:val="000000"/>
          <w:kern w:val="2"/>
          <w:sz w:val="21"/>
          <w:szCs w:val="21"/>
        </w:rPr>
        <w:t>致：广东省广播电视网络股份有限公司茂名分公司、采联国际招标采购集团有限公司</w:t>
      </w:r>
    </w:p>
    <w:p>
      <w:pPr>
        <w:widowControl w:val="0"/>
        <w:adjustRightInd/>
        <w:snapToGrid/>
        <w:spacing w:after="0" w:line="600" w:lineRule="auto"/>
        <w:ind w:firstLine="411" w:firstLineChars="196"/>
        <w:jc w:val="both"/>
        <w:rPr>
          <w:rFonts w:ascii="宋体" w:hAnsi="Calibri" w:eastAsia="宋体" w:cs="Times New Roman"/>
          <w:color w:val="000000"/>
          <w:kern w:val="2"/>
          <w:sz w:val="21"/>
          <w:szCs w:val="21"/>
        </w:rPr>
      </w:pPr>
      <w:r>
        <w:rPr>
          <w:rFonts w:hint="eastAsia" w:ascii="宋体" w:hAnsi="宋体" w:eastAsia="宋体" w:cs="宋体"/>
          <w:color w:val="000000"/>
          <w:kern w:val="2"/>
          <w:sz w:val="21"/>
          <w:szCs w:val="21"/>
        </w:rPr>
        <w:t>关于贵单位、贵司发布</w:t>
      </w:r>
      <w:r>
        <w:rPr>
          <w:rFonts w:hint="eastAsia" w:ascii="宋体" w:hAnsi="宋体" w:eastAsia="宋体" w:cs="宋体"/>
          <w:b/>
          <w:sz w:val="21"/>
          <w:szCs w:val="21"/>
          <w:u w:val="single"/>
          <w:lang w:eastAsia="zh-CN"/>
        </w:rPr>
        <w:t>广东省广播电视网络股份有限公司茂名分公司2024年办公用品采购项目</w:t>
      </w:r>
      <w:r>
        <w:rPr>
          <w:rFonts w:hint="eastAsia" w:ascii="宋体" w:hAnsi="宋体" w:eastAsia="宋体" w:cs="宋体"/>
          <w:color w:val="000000"/>
          <w:kern w:val="2"/>
          <w:sz w:val="21"/>
          <w:szCs w:val="21"/>
        </w:rPr>
        <w:t>的竞价公告，本公司（企业）愿意参加采购活动，并作出如下声明：</w:t>
      </w:r>
    </w:p>
    <w:p>
      <w:pPr>
        <w:spacing w:line="360" w:lineRule="auto"/>
        <w:ind w:firstLine="420" w:firstLineChars="200"/>
        <w:rPr>
          <w:rFonts w:ascii="宋体" w:hAnsi="宋体" w:eastAsia="宋体"/>
          <w:bCs/>
          <w:sz w:val="21"/>
          <w:szCs w:val="21"/>
        </w:rPr>
      </w:pPr>
      <w:r>
        <w:rPr>
          <w:rFonts w:hint="eastAsia" w:ascii="宋体" w:hAnsi="宋体" w:eastAsia="宋体"/>
          <w:sz w:val="21"/>
          <w:szCs w:val="21"/>
        </w:rPr>
        <w:t>一、本公司（企业）</w:t>
      </w:r>
      <w:r>
        <w:rPr>
          <w:rFonts w:hint="eastAsia" w:ascii="宋体" w:hAnsi="宋体" w:eastAsia="宋体"/>
          <w:bCs/>
          <w:sz w:val="21"/>
          <w:szCs w:val="21"/>
        </w:rPr>
        <w:t>具备《中华人民共和国政府采购法》第二十二条规定的条件：</w:t>
      </w:r>
    </w:p>
    <w:p>
      <w:pPr>
        <w:spacing w:line="360" w:lineRule="auto"/>
        <w:ind w:firstLine="360"/>
        <w:rPr>
          <w:rFonts w:ascii="宋体" w:hAnsi="宋体" w:eastAsia="宋体" w:cs="宋体"/>
          <w:sz w:val="21"/>
          <w:szCs w:val="21"/>
        </w:rPr>
      </w:pPr>
      <w:r>
        <w:rPr>
          <w:rFonts w:hint="eastAsia" w:ascii="宋体" w:hAnsi="宋体" w:eastAsia="宋体" w:cs="宋体"/>
          <w:sz w:val="21"/>
          <w:szCs w:val="21"/>
        </w:rPr>
        <w:t>（一）具有独立承担民事责任的能力；</w:t>
      </w:r>
    </w:p>
    <w:p>
      <w:pPr>
        <w:spacing w:line="360" w:lineRule="auto"/>
        <w:ind w:firstLine="360"/>
        <w:rPr>
          <w:rFonts w:ascii="宋体" w:hAnsi="宋体" w:eastAsia="宋体" w:cs="宋体"/>
          <w:sz w:val="21"/>
          <w:szCs w:val="21"/>
        </w:rPr>
      </w:pPr>
      <w:r>
        <w:rPr>
          <w:rFonts w:hint="eastAsia" w:ascii="宋体" w:hAnsi="宋体" w:eastAsia="宋体" w:cs="宋体"/>
          <w:sz w:val="21"/>
          <w:szCs w:val="21"/>
        </w:rPr>
        <w:t>（二）具有良好的商业信誉和健全的财务会计制度；</w:t>
      </w:r>
      <w:r>
        <w:rPr>
          <w:rFonts w:ascii="宋体" w:hAnsi="宋体" w:eastAsia="宋体" w:cs="宋体"/>
          <w:sz w:val="21"/>
          <w:szCs w:val="21"/>
        </w:rPr>
        <w:t xml:space="preserve"> </w:t>
      </w:r>
    </w:p>
    <w:p>
      <w:pPr>
        <w:spacing w:line="360" w:lineRule="auto"/>
        <w:ind w:firstLine="360"/>
        <w:rPr>
          <w:rFonts w:ascii="宋体" w:hAnsi="宋体" w:eastAsia="宋体" w:cs="宋体"/>
          <w:sz w:val="21"/>
          <w:szCs w:val="21"/>
        </w:rPr>
      </w:pPr>
      <w:r>
        <w:rPr>
          <w:rFonts w:hint="eastAsia" w:ascii="宋体" w:hAnsi="宋体" w:eastAsia="宋体" w:cs="宋体"/>
          <w:sz w:val="21"/>
          <w:szCs w:val="21"/>
        </w:rPr>
        <w:t>（三）具有履行合同所必需的设备和专业技术能力；</w:t>
      </w:r>
    </w:p>
    <w:p>
      <w:pPr>
        <w:spacing w:line="360" w:lineRule="auto"/>
        <w:ind w:firstLine="360"/>
        <w:rPr>
          <w:rFonts w:ascii="宋体" w:hAnsi="宋体" w:eastAsia="宋体" w:cs="宋体"/>
          <w:sz w:val="21"/>
          <w:szCs w:val="21"/>
        </w:rPr>
      </w:pPr>
      <w:r>
        <w:rPr>
          <w:rFonts w:hint="eastAsia" w:ascii="宋体" w:hAnsi="宋体" w:eastAsia="宋体" w:cs="宋体"/>
          <w:sz w:val="21"/>
          <w:szCs w:val="21"/>
        </w:rPr>
        <w:t>（四）有依法缴纳税收和社会保障资金的良好记录；</w:t>
      </w:r>
    </w:p>
    <w:p>
      <w:pPr>
        <w:spacing w:line="360" w:lineRule="auto"/>
        <w:ind w:firstLine="360"/>
        <w:rPr>
          <w:rFonts w:ascii="宋体" w:hAnsi="宋体" w:eastAsia="宋体" w:cs="宋体"/>
          <w:sz w:val="21"/>
          <w:szCs w:val="21"/>
        </w:rPr>
      </w:pPr>
      <w:r>
        <w:rPr>
          <w:rFonts w:hint="eastAsia" w:ascii="宋体" w:hAnsi="宋体" w:eastAsia="宋体" w:cs="宋体"/>
          <w:sz w:val="21"/>
          <w:szCs w:val="21"/>
        </w:rPr>
        <w:t>（五）参加政府采购活动前三年内，在经营活动中没有重大违法记录；</w:t>
      </w:r>
    </w:p>
    <w:p>
      <w:pPr>
        <w:spacing w:line="360" w:lineRule="auto"/>
        <w:ind w:firstLine="360"/>
        <w:rPr>
          <w:rFonts w:ascii="宋体" w:hAnsi="宋体" w:eastAsia="宋体" w:cs="宋体"/>
          <w:sz w:val="21"/>
          <w:szCs w:val="21"/>
        </w:rPr>
      </w:pPr>
      <w:r>
        <w:rPr>
          <w:rFonts w:hint="eastAsia" w:ascii="宋体" w:hAnsi="宋体" w:eastAsia="宋体" w:cs="宋体"/>
          <w:sz w:val="21"/>
          <w:szCs w:val="21"/>
        </w:rPr>
        <w:t>（六）法律、行政法规规定的其他条件。</w:t>
      </w:r>
    </w:p>
    <w:p>
      <w:pPr>
        <w:spacing w:line="360" w:lineRule="auto"/>
        <w:ind w:firstLine="424" w:firstLineChars="202"/>
        <w:rPr>
          <w:rFonts w:ascii="宋体" w:hAnsi="宋体" w:eastAsia="宋体"/>
          <w:sz w:val="21"/>
          <w:szCs w:val="21"/>
        </w:rPr>
      </w:pPr>
      <w:r>
        <w:rPr>
          <w:rFonts w:hint="eastAsia" w:ascii="宋体" w:hAnsi="宋体" w:eastAsia="宋体"/>
          <w:sz w:val="21"/>
          <w:szCs w:val="21"/>
        </w:rPr>
        <w:t>二、本公司具有本次采购项目服务能力。</w:t>
      </w:r>
    </w:p>
    <w:p>
      <w:pPr>
        <w:spacing w:line="360" w:lineRule="auto"/>
        <w:ind w:firstLine="424" w:firstLineChars="202"/>
        <w:rPr>
          <w:rFonts w:ascii="宋体" w:hAnsi="宋体" w:eastAsia="宋体"/>
          <w:sz w:val="21"/>
          <w:szCs w:val="21"/>
        </w:rPr>
      </w:pPr>
      <w:r>
        <w:rPr>
          <w:rFonts w:hint="eastAsia" w:ascii="宋体" w:hAnsi="宋体" w:eastAsia="宋体"/>
          <w:sz w:val="21"/>
          <w:szCs w:val="21"/>
        </w:rPr>
        <w:t>三、本公司有固定的经营场所，信誉良好、售后维护服务好，并且在经营活动中无严重违法记录。</w:t>
      </w:r>
    </w:p>
    <w:p>
      <w:pPr>
        <w:spacing w:line="360" w:lineRule="auto"/>
        <w:ind w:firstLine="424" w:firstLineChars="202"/>
        <w:rPr>
          <w:rFonts w:ascii="宋体" w:hAnsi="宋体" w:eastAsia="宋体"/>
          <w:sz w:val="21"/>
          <w:szCs w:val="21"/>
        </w:rPr>
      </w:pPr>
      <w:r>
        <w:rPr>
          <w:rFonts w:hint="eastAsia" w:ascii="宋体" w:hAnsi="宋体" w:eastAsia="宋体"/>
          <w:sz w:val="21"/>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eastAsia="宋体"/>
          <w:sz w:val="21"/>
          <w:szCs w:val="21"/>
        </w:rPr>
      </w:pPr>
      <w:r>
        <w:rPr>
          <w:rFonts w:hint="eastAsia" w:ascii="宋体" w:hAnsi="宋体" w:eastAsia="宋体"/>
          <w:sz w:val="21"/>
          <w:szCs w:val="21"/>
        </w:rPr>
        <w:t>特此声明！</w:t>
      </w:r>
    </w:p>
    <w:p>
      <w:pPr>
        <w:autoSpaceDE w:val="0"/>
        <w:autoSpaceDN w:val="0"/>
        <w:spacing w:line="360" w:lineRule="auto"/>
        <w:ind w:firstLine="413" w:firstLineChars="196"/>
        <w:rPr>
          <w:rFonts w:ascii="宋体" w:hAnsi="宋体" w:eastAsia="宋体"/>
          <w:b/>
          <w:sz w:val="21"/>
          <w:szCs w:val="21"/>
        </w:rPr>
      </w:pPr>
      <w:r>
        <w:rPr>
          <w:rFonts w:hint="eastAsia" w:ascii="宋体" w:hAnsi="宋体" w:eastAsia="宋体"/>
          <w:b/>
          <w:sz w:val="21"/>
          <w:szCs w:val="21"/>
        </w:rPr>
        <w:t>备注：</w:t>
      </w:r>
    </w:p>
    <w:p>
      <w:pPr>
        <w:pStyle w:val="25"/>
        <w:widowControl w:val="0"/>
        <w:numPr>
          <w:ilvl w:val="0"/>
          <w:numId w:val="21"/>
        </w:numPr>
        <w:autoSpaceDE w:val="0"/>
        <w:autoSpaceDN w:val="0"/>
        <w:snapToGrid/>
        <w:spacing w:after="0" w:line="360" w:lineRule="auto"/>
        <w:ind w:firstLineChars="0"/>
        <w:jc w:val="both"/>
        <w:rPr>
          <w:rFonts w:ascii="宋体" w:hAnsi="宋体" w:eastAsia="宋体"/>
          <w:sz w:val="21"/>
          <w:szCs w:val="21"/>
        </w:rPr>
      </w:pPr>
      <w:r>
        <w:rPr>
          <w:rFonts w:hint="eastAsia" w:ascii="宋体" w:hAnsi="宋体" w:eastAsia="宋体"/>
          <w:sz w:val="21"/>
          <w:szCs w:val="21"/>
        </w:rPr>
        <w:t>本声明函必须提供且内容不得擅自删改，否则视为响应无效。</w:t>
      </w:r>
    </w:p>
    <w:p>
      <w:pPr>
        <w:pStyle w:val="25"/>
        <w:widowControl w:val="0"/>
        <w:numPr>
          <w:ilvl w:val="0"/>
          <w:numId w:val="21"/>
        </w:numPr>
        <w:adjustRightInd/>
        <w:spacing w:after="0" w:line="360" w:lineRule="auto"/>
        <w:ind w:firstLineChars="0"/>
        <w:jc w:val="both"/>
        <w:rPr>
          <w:rFonts w:ascii="宋体" w:hAnsi="宋体" w:eastAsia="宋体"/>
          <w:sz w:val="21"/>
          <w:szCs w:val="21"/>
        </w:rPr>
      </w:pPr>
      <w:r>
        <w:rPr>
          <w:rFonts w:hint="eastAsia" w:ascii="宋体" w:hAnsi="宋体" w:eastAsia="宋体"/>
          <w:sz w:val="21"/>
          <w:szCs w:val="21"/>
        </w:rPr>
        <w:t>本声明函如有虚假或与事实不符的，作无效报价处理。</w:t>
      </w:r>
    </w:p>
    <w:p>
      <w:pPr>
        <w:autoSpaceDE w:val="0"/>
        <w:autoSpaceDN w:val="0"/>
        <w:spacing w:line="360" w:lineRule="auto"/>
        <w:rPr>
          <w:rFonts w:ascii="宋体" w:hAnsi="宋体" w:eastAsia="宋体"/>
          <w:b/>
          <w:sz w:val="21"/>
          <w:szCs w:val="21"/>
        </w:rPr>
      </w:pPr>
    </w:p>
    <w:p>
      <w:pPr>
        <w:tabs>
          <w:tab w:val="left" w:pos="426"/>
        </w:tabs>
        <w:spacing w:line="360" w:lineRule="auto"/>
        <w:rPr>
          <w:rFonts w:ascii="宋体" w:hAnsi="宋体" w:eastAsia="宋体"/>
          <w:bCs/>
          <w:sz w:val="21"/>
          <w:szCs w:val="21"/>
        </w:rPr>
      </w:pPr>
    </w:p>
    <w:p>
      <w:pPr>
        <w:spacing w:line="360" w:lineRule="auto"/>
        <w:ind w:firstLine="420"/>
        <w:rPr>
          <w:rFonts w:ascii="宋体" w:hAnsi="宋体" w:eastAsia="宋体"/>
          <w:sz w:val="21"/>
          <w:szCs w:val="21"/>
          <w:u w:val="single"/>
        </w:rPr>
      </w:pPr>
      <w:r>
        <w:rPr>
          <w:rFonts w:hint="eastAsia" w:ascii="宋体" w:hAnsi="宋体" w:eastAsia="宋体"/>
          <w:sz w:val="21"/>
          <w:szCs w:val="21"/>
        </w:rPr>
        <w:t>供应商名称（单位盖</w:t>
      </w:r>
      <w:r>
        <w:rPr>
          <w:rFonts w:hint="eastAsia" w:ascii="宋体" w:hAnsi="宋体" w:eastAsia="宋体"/>
          <w:spacing w:val="4"/>
          <w:sz w:val="21"/>
          <w:szCs w:val="21"/>
        </w:rPr>
        <w:t>公章</w:t>
      </w:r>
      <w:r>
        <w:rPr>
          <w:rFonts w:hint="eastAsia" w:ascii="宋体" w:hAnsi="宋体" w:eastAsia="宋体"/>
          <w:sz w:val="21"/>
          <w:szCs w:val="21"/>
        </w:rPr>
        <w:t>）：</w:t>
      </w:r>
      <w:r>
        <w:rPr>
          <w:rFonts w:hint="eastAsia" w:ascii="宋体" w:hAnsi="宋体" w:eastAsia="宋体"/>
          <w:sz w:val="21"/>
          <w:szCs w:val="21"/>
          <w:u w:val="single"/>
        </w:rPr>
        <w:t xml:space="preserve">                          </w:t>
      </w:r>
    </w:p>
    <w:p>
      <w:pPr>
        <w:spacing w:line="360" w:lineRule="auto"/>
        <w:ind w:firstLine="420" w:firstLineChars="200"/>
        <w:rPr>
          <w:rFonts w:ascii="宋体" w:hAnsi="宋体" w:eastAsia="宋体"/>
          <w:sz w:val="21"/>
          <w:szCs w:val="21"/>
          <w:u w:val="single"/>
        </w:rPr>
      </w:pPr>
      <w:r>
        <w:rPr>
          <w:rFonts w:hint="eastAsia" w:ascii="宋体" w:hAnsi="宋体" w:eastAsia="宋体"/>
          <w:sz w:val="21"/>
          <w:szCs w:val="21"/>
        </w:rPr>
        <w:t>日期：</w:t>
      </w:r>
      <w:r>
        <w:rPr>
          <w:rFonts w:hint="eastAsia" w:ascii="宋体" w:hAnsi="宋体" w:eastAsia="宋体"/>
          <w:sz w:val="21"/>
          <w:szCs w:val="21"/>
          <w:u w:val="single"/>
        </w:rPr>
        <w:t xml:space="preserve">                       </w:t>
      </w:r>
    </w:p>
    <w:bookmarkEnd w:id="6"/>
    <w:p>
      <w:pPr>
        <w:keepNext/>
        <w:keepLines/>
        <w:widowControl w:val="0"/>
        <w:adjustRightInd/>
        <w:snapToGrid/>
        <w:spacing w:before="260" w:after="260" w:line="416" w:lineRule="auto"/>
        <w:jc w:val="center"/>
        <w:outlineLvl w:val="1"/>
        <w:rPr>
          <w:rFonts w:ascii="Cambria" w:hAnsi="Cambria" w:eastAsia="宋体" w:cs="Cambria"/>
          <w:b/>
          <w:bCs/>
          <w:color w:val="000000"/>
          <w:kern w:val="2"/>
          <w:sz w:val="32"/>
          <w:szCs w:val="32"/>
        </w:rPr>
      </w:pPr>
      <w:r>
        <w:rPr>
          <w:rFonts w:hint="eastAsia" w:ascii="Cambria" w:hAnsi="Cambria" w:eastAsia="宋体" w:cs="宋体"/>
          <w:b/>
          <w:bCs/>
          <w:color w:val="000000"/>
          <w:kern w:val="2"/>
          <w:sz w:val="32"/>
          <w:szCs w:val="32"/>
        </w:rPr>
        <w:t>用户需求书响应声明函</w:t>
      </w:r>
    </w:p>
    <w:p>
      <w:pPr>
        <w:widowControl w:val="0"/>
        <w:adjustRightInd/>
        <w:snapToGrid/>
        <w:spacing w:after="0" w:line="600" w:lineRule="auto"/>
        <w:jc w:val="both"/>
        <w:rPr>
          <w:rFonts w:ascii="宋体" w:hAnsi="宋体" w:eastAsia="宋体" w:cs="宋体"/>
          <w:b/>
          <w:bCs/>
          <w:color w:val="000000"/>
          <w:kern w:val="2"/>
          <w:sz w:val="21"/>
          <w:szCs w:val="21"/>
        </w:rPr>
      </w:pPr>
      <w:bookmarkStart w:id="7" w:name="_Hlk58404794"/>
      <w:r>
        <w:rPr>
          <w:rFonts w:hint="eastAsia" w:ascii="宋体" w:hAnsi="宋体" w:eastAsia="宋体" w:cs="宋体"/>
          <w:b/>
          <w:bCs/>
          <w:color w:val="000000"/>
          <w:kern w:val="2"/>
          <w:sz w:val="21"/>
          <w:szCs w:val="21"/>
        </w:rPr>
        <w:t>致：广东省广播电视网络股份有限公司茂名分公司、采联国际招标采购集团有限公司</w:t>
      </w:r>
    </w:p>
    <w:p>
      <w:pPr>
        <w:widowControl w:val="0"/>
        <w:adjustRightInd/>
        <w:snapToGrid/>
        <w:spacing w:after="0" w:line="600" w:lineRule="auto"/>
        <w:ind w:firstLine="411" w:firstLineChars="196"/>
        <w:jc w:val="both"/>
        <w:rPr>
          <w:rFonts w:ascii="宋体" w:hAnsi="Calibri" w:eastAsia="宋体" w:cs="Times New Roman"/>
          <w:color w:val="000000"/>
          <w:kern w:val="2"/>
          <w:sz w:val="21"/>
          <w:szCs w:val="21"/>
        </w:rPr>
      </w:pPr>
      <w:r>
        <w:rPr>
          <w:rFonts w:hint="eastAsia" w:ascii="宋体" w:hAnsi="宋体" w:eastAsia="宋体" w:cs="宋体"/>
          <w:color w:val="000000"/>
          <w:kern w:val="2"/>
          <w:sz w:val="21"/>
          <w:szCs w:val="21"/>
        </w:rPr>
        <w:t>关于贵单位、贵司发布</w:t>
      </w:r>
      <w:r>
        <w:rPr>
          <w:rFonts w:hint="eastAsia" w:ascii="宋体" w:hAnsi="宋体" w:eastAsia="宋体" w:cs="宋体"/>
          <w:b/>
          <w:sz w:val="21"/>
          <w:szCs w:val="21"/>
          <w:u w:val="single"/>
          <w:lang w:eastAsia="zh-CN"/>
        </w:rPr>
        <w:t>广东省广播电视网络股份有限公司茂名分公司2024年办公用品采购项目</w:t>
      </w:r>
      <w:r>
        <w:rPr>
          <w:rFonts w:hint="eastAsia" w:ascii="宋体" w:hAnsi="宋体" w:eastAsia="宋体" w:cs="宋体"/>
          <w:color w:val="000000"/>
          <w:kern w:val="2"/>
          <w:sz w:val="21"/>
          <w:szCs w:val="21"/>
        </w:rPr>
        <w:t>的竞价公告，本公司（企业）愿意参加采购活动，并作出如下声明：</w:t>
      </w:r>
    </w:p>
    <w:bookmarkEnd w:id="7"/>
    <w:p>
      <w:pPr>
        <w:widowControl w:val="0"/>
        <w:adjustRightInd/>
        <w:snapToGrid/>
        <w:spacing w:after="0" w:line="600" w:lineRule="auto"/>
        <w:ind w:firstLine="411" w:firstLineChars="196"/>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widowControl w:val="0"/>
        <w:adjustRightInd/>
        <w:snapToGrid/>
        <w:spacing w:after="0" w:line="600" w:lineRule="auto"/>
        <w:ind w:firstLine="411" w:firstLineChars="196"/>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本公司（企业）承诺在本次采购活动中，如有违法、违规、弄虚作假行为，所造成的损失、不良后果及法律责任，一律由我公司（企业）承担。</w:t>
      </w:r>
    </w:p>
    <w:p>
      <w:pPr>
        <w:adjustRightInd/>
        <w:snapToGrid/>
        <w:spacing w:after="0"/>
        <w:rPr>
          <w:rFonts w:ascii="宋体" w:hAnsi="Calibri" w:eastAsia="宋体" w:cs="Times New Roman"/>
          <w:b/>
          <w:bCs/>
          <w:color w:val="000000"/>
          <w:sz w:val="32"/>
          <w:szCs w:val="32"/>
        </w:rPr>
      </w:pPr>
    </w:p>
    <w:p>
      <w:pPr>
        <w:widowControl w:val="0"/>
        <w:wordWrap w:val="0"/>
        <w:adjustRightInd/>
        <w:snapToGrid/>
        <w:spacing w:after="0" w:line="500" w:lineRule="exact"/>
        <w:jc w:val="right"/>
        <w:rPr>
          <w:rFonts w:ascii="宋体" w:hAnsi="Calibri" w:eastAsia="宋体" w:cs="Times New Roman"/>
          <w:color w:val="000000"/>
          <w:kern w:val="2"/>
          <w:sz w:val="21"/>
          <w:szCs w:val="21"/>
          <w:u w:val="single"/>
        </w:rPr>
      </w:pPr>
      <w:r>
        <w:rPr>
          <w:rFonts w:hint="eastAsia" w:ascii="宋体" w:hAnsi="宋体" w:eastAsia="宋体" w:cs="宋体"/>
          <w:color w:val="000000"/>
          <w:spacing w:val="4"/>
          <w:kern w:val="2"/>
          <w:sz w:val="21"/>
          <w:szCs w:val="21"/>
        </w:rPr>
        <w:t>供应商名称（</w:t>
      </w:r>
      <w:r>
        <w:rPr>
          <w:rFonts w:hint="eastAsia" w:ascii="宋体" w:hAnsi="宋体" w:eastAsia="宋体" w:cs="宋体"/>
          <w:color w:val="000000"/>
          <w:kern w:val="2"/>
          <w:sz w:val="21"/>
          <w:szCs w:val="21"/>
        </w:rPr>
        <w:t>单位盖</w:t>
      </w:r>
      <w:r>
        <w:rPr>
          <w:rFonts w:hint="eastAsia" w:ascii="宋体" w:hAnsi="宋体" w:eastAsia="宋体" w:cs="宋体"/>
          <w:color w:val="000000"/>
          <w:spacing w:val="4"/>
          <w:kern w:val="2"/>
          <w:sz w:val="21"/>
          <w:szCs w:val="21"/>
        </w:rPr>
        <w:t>公章）：</w:t>
      </w:r>
    </w:p>
    <w:p>
      <w:pPr>
        <w:widowControl w:val="0"/>
        <w:adjustRightInd/>
        <w:snapToGrid/>
        <w:spacing w:after="0" w:line="500" w:lineRule="exact"/>
        <w:ind w:firstLine="105" w:firstLineChars="50"/>
        <w:jc w:val="right"/>
        <w:rPr>
          <w:rFonts w:ascii="宋体" w:hAnsi="Calibri" w:eastAsia="宋体" w:cs="Times New Roman"/>
          <w:color w:val="000000"/>
          <w:kern w:val="2"/>
          <w:sz w:val="21"/>
          <w:szCs w:val="21"/>
          <w:u w:val="single"/>
        </w:rPr>
      </w:pPr>
    </w:p>
    <w:p>
      <w:pPr>
        <w:widowControl w:val="0"/>
        <w:wordWrap w:val="0"/>
        <w:adjustRightInd/>
        <w:snapToGrid/>
        <w:spacing w:after="0"/>
        <w:jc w:val="right"/>
        <w:rPr>
          <w:rFonts w:ascii="宋体" w:hAnsi="Calibri" w:eastAsia="宋体" w:cs="Times New Roman"/>
          <w:kern w:val="2"/>
          <w:sz w:val="21"/>
          <w:szCs w:val="21"/>
        </w:rPr>
      </w:pPr>
      <w:r>
        <w:rPr>
          <w:rFonts w:hint="eastAsia" w:ascii="宋体" w:hAnsi="宋体" w:eastAsia="宋体" w:cs="宋体"/>
          <w:color w:val="000000"/>
          <w:spacing w:val="4"/>
          <w:kern w:val="2"/>
          <w:sz w:val="21"/>
          <w:szCs w:val="21"/>
        </w:rPr>
        <w:t>日期：</w:t>
      </w:r>
    </w:p>
    <w:p>
      <w:pPr>
        <w:adjustRightInd/>
        <w:snapToGrid/>
        <w:spacing w:before="120" w:beforeLines="50" w:after="120" w:afterLines="50" w:line="360" w:lineRule="auto"/>
        <w:ind w:firstLine="420" w:firstLineChars="200"/>
        <w:rPr>
          <w:rFonts w:ascii="宋体" w:hAnsi="宋体" w:eastAsia="宋体" w:cs="Times New Roman"/>
          <w:sz w:val="21"/>
          <w:szCs w:val="21"/>
          <w:lang w:bidi="en-US"/>
        </w:rPr>
      </w:pPr>
    </w:p>
    <w:p>
      <w:pPr>
        <w:adjustRightInd/>
        <w:snapToGrid/>
        <w:spacing w:after="0"/>
        <w:rPr>
          <w:rFonts w:ascii="宋体" w:hAnsi="宋体" w:eastAsia="宋体" w:cs="Times New Roman"/>
          <w:b/>
          <w:color w:val="FF0000"/>
          <w:kern w:val="2"/>
          <w:sz w:val="21"/>
          <w:szCs w:val="21"/>
        </w:rPr>
      </w:pPr>
    </w:p>
    <w:p>
      <w:pPr>
        <w:adjustRightInd/>
        <w:spacing w:after="120"/>
        <w:jc w:val="both"/>
        <w:rPr>
          <w:rFonts w:cs="Times New Roman"/>
          <w:kern w:val="2"/>
          <w:szCs w:val="24"/>
        </w:rPr>
      </w:pPr>
    </w:p>
    <w:p>
      <w:pPr>
        <w:rPr>
          <w:rFonts w:ascii="宋体" w:hAnsi="宋体" w:eastAsia="宋体" w:cs="Times New Roman"/>
          <w:sz w:val="21"/>
          <w:szCs w:val="21"/>
        </w:rPr>
      </w:pPr>
    </w:p>
    <w:p>
      <w:pPr>
        <w:rPr>
          <w:rFonts w:ascii="宋体" w:hAnsi="宋体" w:eastAsia="宋体" w:cs="Times New Roman"/>
          <w:sz w:val="21"/>
          <w:szCs w:val="21"/>
        </w:rPr>
      </w:pPr>
    </w:p>
    <w:p>
      <w:pPr>
        <w:rPr>
          <w:rFonts w:ascii="宋体" w:hAnsi="宋体" w:eastAsia="宋体" w:cs="Times New Roman"/>
          <w:sz w:val="21"/>
          <w:szCs w:val="21"/>
        </w:rPr>
      </w:pPr>
    </w:p>
    <w:p>
      <w:pPr>
        <w:rPr>
          <w:rFonts w:ascii="宋体" w:hAnsi="宋体" w:eastAsia="宋体" w:cs="Times New Roman"/>
          <w:sz w:val="21"/>
          <w:szCs w:val="21"/>
        </w:rPr>
      </w:pPr>
    </w:p>
    <w:p>
      <w:pPr>
        <w:jc w:val="center"/>
        <w:rPr>
          <w:rFonts w:ascii="宋体" w:hAnsi="宋体" w:eastAsia="宋体" w:cs="Times New Roman"/>
          <w:sz w:val="21"/>
          <w:szCs w:val="21"/>
        </w:rPr>
      </w:pPr>
    </w:p>
    <w:p>
      <w:pPr>
        <w:rPr>
          <w:rFonts w:ascii="宋体" w:hAnsi="宋体" w:eastAsia="宋体" w:cs="Times New Roman"/>
          <w:sz w:val="21"/>
          <w:szCs w:val="21"/>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imSun-ExtB">
    <w:panose1 w:val="02010609060101010101"/>
    <w:charset w:val="86"/>
    <w:family w:val="modern"/>
    <w:pitch w:val="default"/>
    <w:sig w:usb0="00000001" w:usb1="02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6985" b="14605"/>
              <wp:wrapNone/>
              <wp:docPr id="1" name="文本框 1"/>
              <wp:cNvGraphicFramePr/>
              <a:graphic xmlns:a="http://schemas.openxmlformats.org/drawingml/2006/main">
                <a:graphicData uri="http://schemas.microsoft.com/office/word/2010/wordprocessingShape">
                  <wps:wsp>
                    <wps:cNvSpPr txBox="1"/>
                    <wps:spPr>
                      <a:xfrm>
                        <a:off x="0" y="0"/>
                        <a:ext cx="62865" cy="264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hVNgJ0QAAAAIBAAAPAAAAAAAAAAEAIAAAACIAAABkcnMvZG93bnJldi54bWxQSwECFAAUAAAA&#10;CACHTuJAL9c9Zi4CAABSBAAADgAAAAAAAAABACAAAAAgAQAAZHJzL2Uyb0RvYy54bWxQSwUGAAAA&#10;AAYABgBZAQAAwAUAAAAA&#10;">
              <v:fill on="f" focussize="0,0"/>
              <v:stroke on="f" weight="0.5pt"/>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9"/>
      <w:ind w:right="360"/>
    </w:pPr>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A3326"/>
    <w:multiLevelType w:val="multilevel"/>
    <w:tmpl w:val="111A3326"/>
    <w:lvl w:ilvl="0" w:tentative="0">
      <w:start w:val="1"/>
      <w:numFmt w:val="chineseCountingThousand"/>
      <w:suff w:val="nothing"/>
      <w:lvlText w:val="%1、"/>
      <w:lvlJc w:val="left"/>
      <w:pPr>
        <w:ind w:left="420" w:hanging="420"/>
      </w:pPr>
      <w:rPr>
        <w:rFonts w:hint="eastAsia"/>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25214F2"/>
    <w:multiLevelType w:val="multilevel"/>
    <w:tmpl w:val="125214F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
    <w:nsid w:val="140A6B21"/>
    <w:multiLevelType w:val="multilevel"/>
    <w:tmpl w:val="140A6B2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4433F59"/>
    <w:multiLevelType w:val="multilevel"/>
    <w:tmpl w:val="34433F5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393378BE"/>
    <w:multiLevelType w:val="singleLevel"/>
    <w:tmpl w:val="393378BE"/>
    <w:lvl w:ilvl="0" w:tentative="0">
      <w:start w:val="1"/>
      <w:numFmt w:val="decimal"/>
      <w:suff w:val="nothing"/>
      <w:lvlText w:val="%1．"/>
      <w:lvlJc w:val="left"/>
      <w:pPr>
        <w:ind w:left="0" w:firstLine="400"/>
      </w:pPr>
      <w:rPr>
        <w:rFonts w:hint="default"/>
      </w:rPr>
    </w:lvl>
  </w:abstractNum>
  <w:abstractNum w:abstractNumId="8">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3F5862CA"/>
    <w:multiLevelType w:val="multilevel"/>
    <w:tmpl w:val="3F5862CA"/>
    <w:lvl w:ilvl="0" w:tentative="0">
      <w:start w:val="1"/>
      <w:numFmt w:val="decimal"/>
      <w:lvlText w:val="%1."/>
      <w:lvlJc w:val="left"/>
      <w:pPr>
        <w:tabs>
          <w:tab w:val="left" w:pos="360"/>
        </w:tabs>
        <w:ind w:left="360" w:hanging="36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85817B9"/>
    <w:multiLevelType w:val="multilevel"/>
    <w:tmpl w:val="485817B9"/>
    <w:lvl w:ilvl="0" w:tentative="0">
      <w:start w:val="1"/>
      <w:numFmt w:val="decimal"/>
      <w:lvlText w:val="%1."/>
      <w:lvlJc w:val="left"/>
      <w:pPr>
        <w:tabs>
          <w:tab w:val="left" w:pos="425"/>
        </w:tabs>
        <w:ind w:left="425" w:hanging="425"/>
      </w:pPr>
      <w:rPr>
        <w:rFonts w:ascii="宋体" w:hAnsi="宋体" w:eastAsia="宋体"/>
        <w:sz w:val="21"/>
        <w:szCs w:val="21"/>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3">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4">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5">
    <w:nsid w:val="683E6D1D"/>
    <w:multiLevelType w:val="multilevel"/>
    <w:tmpl w:val="683E6D1D"/>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6">
    <w:nsid w:val="6E19083E"/>
    <w:multiLevelType w:val="multilevel"/>
    <w:tmpl w:val="6E19083E"/>
    <w:lvl w:ilvl="0" w:tentative="0">
      <w:start w:val="1"/>
      <w:numFmt w:val="decimal"/>
      <w:lvlText w:val="%1."/>
      <w:lvlJc w:val="left"/>
      <w:pPr>
        <w:ind w:left="420" w:hanging="420"/>
      </w:pPr>
      <w:rPr>
        <w:rFonts w:hint="default" w:ascii="宋体" w:hAnsi="宋体" w:eastAsia="宋体"/>
        <w:b/>
        <w:bCs/>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2AE5F84"/>
    <w:multiLevelType w:val="multilevel"/>
    <w:tmpl w:val="72AE5F84"/>
    <w:lvl w:ilvl="0" w:tentative="0">
      <w:start w:val="1"/>
      <w:numFmt w:val="chineseCountingThousand"/>
      <w:lvlText w:val="(%1)"/>
      <w:lvlJc w:val="left"/>
      <w:pPr>
        <w:ind w:left="286" w:hanging="420"/>
      </w:pPr>
    </w:lvl>
    <w:lvl w:ilvl="1" w:tentative="0">
      <w:start w:val="1"/>
      <w:numFmt w:val="lowerLetter"/>
      <w:lvlText w:val="%2)"/>
      <w:lvlJc w:val="left"/>
      <w:pPr>
        <w:ind w:left="706" w:hanging="420"/>
      </w:pPr>
    </w:lvl>
    <w:lvl w:ilvl="2" w:tentative="0">
      <w:start w:val="1"/>
      <w:numFmt w:val="lowerRoman"/>
      <w:lvlText w:val="%3."/>
      <w:lvlJc w:val="right"/>
      <w:pPr>
        <w:ind w:left="1126" w:hanging="420"/>
      </w:pPr>
    </w:lvl>
    <w:lvl w:ilvl="3" w:tentative="0">
      <w:start w:val="1"/>
      <w:numFmt w:val="decimal"/>
      <w:lvlText w:val="%4."/>
      <w:lvlJc w:val="left"/>
      <w:pPr>
        <w:ind w:left="1546" w:hanging="420"/>
      </w:pPr>
    </w:lvl>
    <w:lvl w:ilvl="4" w:tentative="0">
      <w:start w:val="1"/>
      <w:numFmt w:val="lowerLetter"/>
      <w:lvlText w:val="%5)"/>
      <w:lvlJc w:val="left"/>
      <w:pPr>
        <w:ind w:left="1966" w:hanging="420"/>
      </w:pPr>
    </w:lvl>
    <w:lvl w:ilvl="5" w:tentative="0">
      <w:start w:val="1"/>
      <w:numFmt w:val="lowerRoman"/>
      <w:lvlText w:val="%6."/>
      <w:lvlJc w:val="right"/>
      <w:pPr>
        <w:ind w:left="2386" w:hanging="420"/>
      </w:pPr>
    </w:lvl>
    <w:lvl w:ilvl="6" w:tentative="0">
      <w:start w:val="1"/>
      <w:numFmt w:val="decimal"/>
      <w:lvlText w:val="%7."/>
      <w:lvlJc w:val="left"/>
      <w:pPr>
        <w:ind w:left="2806" w:hanging="420"/>
      </w:pPr>
    </w:lvl>
    <w:lvl w:ilvl="7" w:tentative="0">
      <w:start w:val="1"/>
      <w:numFmt w:val="lowerLetter"/>
      <w:lvlText w:val="%8)"/>
      <w:lvlJc w:val="left"/>
      <w:pPr>
        <w:ind w:left="3226" w:hanging="420"/>
      </w:pPr>
    </w:lvl>
    <w:lvl w:ilvl="8" w:tentative="0">
      <w:start w:val="1"/>
      <w:numFmt w:val="lowerRoman"/>
      <w:lvlText w:val="%9."/>
      <w:lvlJc w:val="right"/>
      <w:pPr>
        <w:ind w:left="3646" w:hanging="420"/>
      </w:pPr>
    </w:lvl>
  </w:abstractNum>
  <w:abstractNum w:abstractNumId="18">
    <w:nsid w:val="769D2E43"/>
    <w:multiLevelType w:val="multilevel"/>
    <w:tmpl w:val="769D2E4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9">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0">
    <w:nsid w:val="7C44183C"/>
    <w:multiLevelType w:val="multilevel"/>
    <w:tmpl w:val="7C44183C"/>
    <w:lvl w:ilvl="0" w:tentative="0">
      <w:start w:val="1"/>
      <w:numFmt w:val="decimal"/>
      <w:lvlText w:val="%1. "/>
      <w:lvlJc w:val="left"/>
      <w:pPr>
        <w:ind w:left="360" w:hanging="36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6"/>
  </w:num>
  <w:num w:numId="3">
    <w:abstractNumId w:val="8"/>
  </w:num>
  <w:num w:numId="4">
    <w:abstractNumId w:val="3"/>
  </w:num>
  <w:num w:numId="5">
    <w:abstractNumId w:val="19"/>
  </w:num>
  <w:num w:numId="6">
    <w:abstractNumId w:val="14"/>
  </w:num>
  <w:num w:numId="7">
    <w:abstractNumId w:val="18"/>
  </w:num>
  <w:num w:numId="8">
    <w:abstractNumId w:val="1"/>
  </w:num>
  <w:num w:numId="9">
    <w:abstractNumId w:val="9"/>
  </w:num>
  <w:num w:numId="10">
    <w:abstractNumId w:val="2"/>
  </w:num>
  <w:num w:numId="11">
    <w:abstractNumId w:val="4"/>
  </w:num>
  <w:num w:numId="12">
    <w:abstractNumId w:val="11"/>
  </w:num>
  <w:num w:numId="13">
    <w:abstractNumId w:val="5"/>
  </w:num>
  <w:num w:numId="14">
    <w:abstractNumId w:val="7"/>
  </w:num>
  <w:num w:numId="15">
    <w:abstractNumId w:val="17"/>
  </w:num>
  <w:num w:numId="16">
    <w:abstractNumId w:val="15"/>
  </w:num>
  <w:num w:numId="17">
    <w:abstractNumId w:val="10"/>
  </w:num>
  <w:num w:numId="18">
    <w:abstractNumId w:val="12"/>
  </w:num>
  <w:num w:numId="19">
    <w:abstractNumId w:val="2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xZTlhZWY5YzcxZDcyMjNlNTA2YTA3MGU5NWIyMDYifQ=="/>
  </w:docVars>
  <w:rsids>
    <w:rsidRoot w:val="00D31D50"/>
    <w:rsid w:val="0002658D"/>
    <w:rsid w:val="0005407F"/>
    <w:rsid w:val="000540D8"/>
    <w:rsid w:val="00055694"/>
    <w:rsid w:val="00076649"/>
    <w:rsid w:val="000A7572"/>
    <w:rsid w:val="000D7292"/>
    <w:rsid w:val="000E11C0"/>
    <w:rsid w:val="000E6CAB"/>
    <w:rsid w:val="000F1AE1"/>
    <w:rsid w:val="000F78AF"/>
    <w:rsid w:val="000F7ED8"/>
    <w:rsid w:val="00102B8C"/>
    <w:rsid w:val="00103364"/>
    <w:rsid w:val="00103EDB"/>
    <w:rsid w:val="00111FC7"/>
    <w:rsid w:val="001166E4"/>
    <w:rsid w:val="00127E7C"/>
    <w:rsid w:val="0013288F"/>
    <w:rsid w:val="00133CE6"/>
    <w:rsid w:val="00145D36"/>
    <w:rsid w:val="00152DC7"/>
    <w:rsid w:val="00161A72"/>
    <w:rsid w:val="001635BE"/>
    <w:rsid w:val="00173D1F"/>
    <w:rsid w:val="0017771F"/>
    <w:rsid w:val="00177D84"/>
    <w:rsid w:val="00185A29"/>
    <w:rsid w:val="001B29B4"/>
    <w:rsid w:val="001B4C4B"/>
    <w:rsid w:val="001C3A99"/>
    <w:rsid w:val="001D0C4D"/>
    <w:rsid w:val="001D7C30"/>
    <w:rsid w:val="001E3171"/>
    <w:rsid w:val="001E474F"/>
    <w:rsid w:val="00202953"/>
    <w:rsid w:val="00210441"/>
    <w:rsid w:val="002213C2"/>
    <w:rsid w:val="00233348"/>
    <w:rsid w:val="00237F13"/>
    <w:rsid w:val="00247674"/>
    <w:rsid w:val="002545DF"/>
    <w:rsid w:val="00263DEC"/>
    <w:rsid w:val="00273F32"/>
    <w:rsid w:val="002742F6"/>
    <w:rsid w:val="00290C85"/>
    <w:rsid w:val="002A5124"/>
    <w:rsid w:val="002B74FD"/>
    <w:rsid w:val="002C044D"/>
    <w:rsid w:val="002E4057"/>
    <w:rsid w:val="002F6B9D"/>
    <w:rsid w:val="00307474"/>
    <w:rsid w:val="0032293B"/>
    <w:rsid w:val="00323B43"/>
    <w:rsid w:val="00326D79"/>
    <w:rsid w:val="00327D6E"/>
    <w:rsid w:val="0039129D"/>
    <w:rsid w:val="00396FE8"/>
    <w:rsid w:val="003A028E"/>
    <w:rsid w:val="003D37D8"/>
    <w:rsid w:val="003E3ED1"/>
    <w:rsid w:val="003E59DE"/>
    <w:rsid w:val="00402B52"/>
    <w:rsid w:val="00413D31"/>
    <w:rsid w:val="00426133"/>
    <w:rsid w:val="00432F8D"/>
    <w:rsid w:val="004358AB"/>
    <w:rsid w:val="00435BB5"/>
    <w:rsid w:val="00454741"/>
    <w:rsid w:val="004673C5"/>
    <w:rsid w:val="0047043C"/>
    <w:rsid w:val="0047048A"/>
    <w:rsid w:val="0047769C"/>
    <w:rsid w:val="00477792"/>
    <w:rsid w:val="004858AA"/>
    <w:rsid w:val="00486563"/>
    <w:rsid w:val="004948F2"/>
    <w:rsid w:val="004B76F0"/>
    <w:rsid w:val="004D3C7D"/>
    <w:rsid w:val="004E241E"/>
    <w:rsid w:val="004F226B"/>
    <w:rsid w:val="00514FB6"/>
    <w:rsid w:val="0052130A"/>
    <w:rsid w:val="00523C10"/>
    <w:rsid w:val="00532C52"/>
    <w:rsid w:val="00560014"/>
    <w:rsid w:val="0057331C"/>
    <w:rsid w:val="00584CC0"/>
    <w:rsid w:val="00590DBE"/>
    <w:rsid w:val="00593352"/>
    <w:rsid w:val="005A2836"/>
    <w:rsid w:val="005E58DF"/>
    <w:rsid w:val="005F1A5E"/>
    <w:rsid w:val="00603C48"/>
    <w:rsid w:val="00603CDB"/>
    <w:rsid w:val="006107BC"/>
    <w:rsid w:val="00614657"/>
    <w:rsid w:val="00621A59"/>
    <w:rsid w:val="006345D0"/>
    <w:rsid w:val="00641B80"/>
    <w:rsid w:val="006521F8"/>
    <w:rsid w:val="00662FFF"/>
    <w:rsid w:val="006C2E97"/>
    <w:rsid w:val="006C4420"/>
    <w:rsid w:val="006C6FE4"/>
    <w:rsid w:val="006D62F3"/>
    <w:rsid w:val="006D6F23"/>
    <w:rsid w:val="006D7D2A"/>
    <w:rsid w:val="007047BF"/>
    <w:rsid w:val="007166B8"/>
    <w:rsid w:val="00724D4A"/>
    <w:rsid w:val="00742784"/>
    <w:rsid w:val="00751E40"/>
    <w:rsid w:val="00752645"/>
    <w:rsid w:val="00752A1F"/>
    <w:rsid w:val="007604D9"/>
    <w:rsid w:val="00763BD9"/>
    <w:rsid w:val="0077071F"/>
    <w:rsid w:val="007711DC"/>
    <w:rsid w:val="0078306F"/>
    <w:rsid w:val="007A4AD8"/>
    <w:rsid w:val="007A7F79"/>
    <w:rsid w:val="007B1505"/>
    <w:rsid w:val="007C7D1E"/>
    <w:rsid w:val="007D50EC"/>
    <w:rsid w:val="007F2C9D"/>
    <w:rsid w:val="00804A7A"/>
    <w:rsid w:val="00826523"/>
    <w:rsid w:val="0083470E"/>
    <w:rsid w:val="00843BE8"/>
    <w:rsid w:val="0084687C"/>
    <w:rsid w:val="00853000"/>
    <w:rsid w:val="00881A70"/>
    <w:rsid w:val="00886366"/>
    <w:rsid w:val="00892450"/>
    <w:rsid w:val="008B4790"/>
    <w:rsid w:val="008B7726"/>
    <w:rsid w:val="0090078D"/>
    <w:rsid w:val="009166EB"/>
    <w:rsid w:val="0092158E"/>
    <w:rsid w:val="009276CB"/>
    <w:rsid w:val="0094568B"/>
    <w:rsid w:val="00963266"/>
    <w:rsid w:val="00986F46"/>
    <w:rsid w:val="00987CAE"/>
    <w:rsid w:val="009917F7"/>
    <w:rsid w:val="009B4D76"/>
    <w:rsid w:val="009C30A0"/>
    <w:rsid w:val="009C4C79"/>
    <w:rsid w:val="009D6BAE"/>
    <w:rsid w:val="009D755E"/>
    <w:rsid w:val="009E5C93"/>
    <w:rsid w:val="009E7FE9"/>
    <w:rsid w:val="009F52B2"/>
    <w:rsid w:val="00A77A08"/>
    <w:rsid w:val="00A91172"/>
    <w:rsid w:val="00AD18F3"/>
    <w:rsid w:val="00AE58F0"/>
    <w:rsid w:val="00AF38AC"/>
    <w:rsid w:val="00AF6283"/>
    <w:rsid w:val="00AF6E0D"/>
    <w:rsid w:val="00B0248B"/>
    <w:rsid w:val="00B10EF0"/>
    <w:rsid w:val="00B255D6"/>
    <w:rsid w:val="00B36C89"/>
    <w:rsid w:val="00B5452F"/>
    <w:rsid w:val="00B640EA"/>
    <w:rsid w:val="00B67D73"/>
    <w:rsid w:val="00B7418B"/>
    <w:rsid w:val="00B8670A"/>
    <w:rsid w:val="00B90BEE"/>
    <w:rsid w:val="00BE1557"/>
    <w:rsid w:val="00BE3E72"/>
    <w:rsid w:val="00BF4964"/>
    <w:rsid w:val="00C06CDD"/>
    <w:rsid w:val="00C07E23"/>
    <w:rsid w:val="00C21C79"/>
    <w:rsid w:val="00C64BB6"/>
    <w:rsid w:val="00C6759C"/>
    <w:rsid w:val="00CB538E"/>
    <w:rsid w:val="00CB7A95"/>
    <w:rsid w:val="00CD03A5"/>
    <w:rsid w:val="00CD0E6F"/>
    <w:rsid w:val="00CD2381"/>
    <w:rsid w:val="00CF1CDC"/>
    <w:rsid w:val="00CF3F45"/>
    <w:rsid w:val="00D04512"/>
    <w:rsid w:val="00D055EF"/>
    <w:rsid w:val="00D1687F"/>
    <w:rsid w:val="00D31D50"/>
    <w:rsid w:val="00D3350A"/>
    <w:rsid w:val="00D3420A"/>
    <w:rsid w:val="00D425ED"/>
    <w:rsid w:val="00D43BEC"/>
    <w:rsid w:val="00D449C7"/>
    <w:rsid w:val="00D50EDA"/>
    <w:rsid w:val="00D65B5A"/>
    <w:rsid w:val="00D74179"/>
    <w:rsid w:val="00D761F9"/>
    <w:rsid w:val="00D764B4"/>
    <w:rsid w:val="00DA4883"/>
    <w:rsid w:val="00DB062D"/>
    <w:rsid w:val="00DB2336"/>
    <w:rsid w:val="00DB2FE9"/>
    <w:rsid w:val="00DB499C"/>
    <w:rsid w:val="00DB7BCB"/>
    <w:rsid w:val="00DC19D0"/>
    <w:rsid w:val="00DE0409"/>
    <w:rsid w:val="00E04866"/>
    <w:rsid w:val="00E055C5"/>
    <w:rsid w:val="00E0643F"/>
    <w:rsid w:val="00E3031A"/>
    <w:rsid w:val="00E330A3"/>
    <w:rsid w:val="00E40E10"/>
    <w:rsid w:val="00E61059"/>
    <w:rsid w:val="00E62003"/>
    <w:rsid w:val="00E7049D"/>
    <w:rsid w:val="00E758FD"/>
    <w:rsid w:val="00E93C69"/>
    <w:rsid w:val="00EB0C9C"/>
    <w:rsid w:val="00EC7BA1"/>
    <w:rsid w:val="00ED4521"/>
    <w:rsid w:val="00EF4148"/>
    <w:rsid w:val="00F007E5"/>
    <w:rsid w:val="00F01EFF"/>
    <w:rsid w:val="00F03A5A"/>
    <w:rsid w:val="00F117A0"/>
    <w:rsid w:val="00F50551"/>
    <w:rsid w:val="00F83C72"/>
    <w:rsid w:val="00F97BC1"/>
    <w:rsid w:val="00FA6F6D"/>
    <w:rsid w:val="00FC051A"/>
    <w:rsid w:val="00FC3784"/>
    <w:rsid w:val="00FC38D3"/>
    <w:rsid w:val="00FC49AF"/>
    <w:rsid w:val="00FC4C06"/>
    <w:rsid w:val="00FD02B8"/>
    <w:rsid w:val="00FD29CE"/>
    <w:rsid w:val="00FD53E5"/>
    <w:rsid w:val="00FD5F6D"/>
    <w:rsid w:val="00FE7A0D"/>
    <w:rsid w:val="00FF03EE"/>
    <w:rsid w:val="00FF2B6A"/>
    <w:rsid w:val="01700D7E"/>
    <w:rsid w:val="01B72113"/>
    <w:rsid w:val="03C05801"/>
    <w:rsid w:val="05131191"/>
    <w:rsid w:val="0A5A236C"/>
    <w:rsid w:val="0AED373F"/>
    <w:rsid w:val="0D94692F"/>
    <w:rsid w:val="0DE900E6"/>
    <w:rsid w:val="0E6F0770"/>
    <w:rsid w:val="1A486C80"/>
    <w:rsid w:val="1A5F7779"/>
    <w:rsid w:val="1EBD6675"/>
    <w:rsid w:val="1FF46C75"/>
    <w:rsid w:val="23706EEF"/>
    <w:rsid w:val="24076E04"/>
    <w:rsid w:val="247752C6"/>
    <w:rsid w:val="293E7844"/>
    <w:rsid w:val="2C3C2691"/>
    <w:rsid w:val="2CEC3BFC"/>
    <w:rsid w:val="2EDD4F0D"/>
    <w:rsid w:val="2FB34C6B"/>
    <w:rsid w:val="37985F97"/>
    <w:rsid w:val="3DCD12A5"/>
    <w:rsid w:val="3E6D046E"/>
    <w:rsid w:val="3E85438D"/>
    <w:rsid w:val="3FB10F8C"/>
    <w:rsid w:val="42041057"/>
    <w:rsid w:val="497C4D78"/>
    <w:rsid w:val="4EF02E37"/>
    <w:rsid w:val="518536BE"/>
    <w:rsid w:val="53E97136"/>
    <w:rsid w:val="559F091B"/>
    <w:rsid w:val="55BC24FB"/>
    <w:rsid w:val="57E858CB"/>
    <w:rsid w:val="59946690"/>
    <w:rsid w:val="5B0C22E6"/>
    <w:rsid w:val="5DAE1F0C"/>
    <w:rsid w:val="5E7C702D"/>
    <w:rsid w:val="5FDB0357"/>
    <w:rsid w:val="60B42BD8"/>
    <w:rsid w:val="61D32018"/>
    <w:rsid w:val="61F23865"/>
    <w:rsid w:val="632B74DB"/>
    <w:rsid w:val="64D2088C"/>
    <w:rsid w:val="65497924"/>
    <w:rsid w:val="682E4014"/>
    <w:rsid w:val="695F489F"/>
    <w:rsid w:val="6BEE54D6"/>
    <w:rsid w:val="6D1A5354"/>
    <w:rsid w:val="6FBB2485"/>
    <w:rsid w:val="6FDF18E2"/>
    <w:rsid w:val="75EA05A7"/>
    <w:rsid w:val="79716142"/>
    <w:rsid w:val="7BE538A7"/>
    <w:rsid w:val="7C424C35"/>
    <w:rsid w:val="7EE309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Arial" w:hAnsi="Arial" w:eastAsia="黑体" w:cs="Arial"/>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99"/>
    <w:pPr>
      <w:adjustRightInd/>
      <w:ind w:firstLine="420"/>
      <w:jc w:val="both"/>
    </w:pPr>
    <w:rPr>
      <w:rFonts w:ascii="Calibri" w:hAnsi="Calibri"/>
    </w:rPr>
  </w:style>
  <w:style w:type="paragraph" w:styleId="4">
    <w:name w:val="Document Map"/>
    <w:basedOn w:val="1"/>
    <w:link w:val="23"/>
    <w:semiHidden/>
    <w:unhideWhenUsed/>
    <w:qFormat/>
    <w:uiPriority w:val="99"/>
    <w:rPr>
      <w:rFonts w:ascii="宋体" w:eastAsia="宋体"/>
      <w:sz w:val="18"/>
      <w:szCs w:val="18"/>
    </w:rPr>
  </w:style>
  <w:style w:type="paragraph" w:styleId="5">
    <w:name w:val="annotation text"/>
    <w:basedOn w:val="1"/>
    <w:link w:val="22"/>
    <w:unhideWhenUsed/>
    <w:qFormat/>
    <w:uiPriority w:val="0"/>
  </w:style>
  <w:style w:type="paragraph" w:styleId="6">
    <w:name w:val="Body Text"/>
    <w:basedOn w:val="1"/>
    <w:autoRedefine/>
    <w:qFormat/>
    <w:uiPriority w:val="0"/>
    <w:pPr>
      <w:spacing w:after="120"/>
    </w:pPr>
    <w:rPr>
      <w:szCs w:val="24"/>
    </w:rPr>
  </w:style>
  <w:style w:type="paragraph" w:styleId="7">
    <w:name w:val="Plain Text"/>
    <w:basedOn w:val="1"/>
    <w:link w:val="36"/>
    <w:qFormat/>
    <w:uiPriority w:val="0"/>
    <w:rPr>
      <w:rFonts w:ascii="宋体" w:hAnsi="Courier New" w:cs="宋体"/>
    </w:rPr>
  </w:style>
  <w:style w:type="paragraph" w:styleId="8">
    <w:name w:val="Balloon Text"/>
    <w:basedOn w:val="1"/>
    <w:link w:val="24"/>
    <w:semiHidden/>
    <w:unhideWhenUsed/>
    <w:qFormat/>
    <w:uiPriority w:val="99"/>
    <w:pPr>
      <w:spacing w:after="0"/>
    </w:pPr>
    <w:rPr>
      <w:sz w:val="18"/>
      <w:szCs w:val="18"/>
    </w:rPr>
  </w:style>
  <w:style w:type="paragraph" w:styleId="9">
    <w:name w:val="footer"/>
    <w:basedOn w:val="1"/>
    <w:link w:val="21"/>
    <w:unhideWhenUsed/>
    <w:qFormat/>
    <w:uiPriority w:val="99"/>
    <w:pPr>
      <w:tabs>
        <w:tab w:val="center" w:pos="4153"/>
        <w:tab w:val="right" w:pos="8306"/>
      </w:tabs>
    </w:pPr>
    <w:rPr>
      <w:sz w:val="18"/>
      <w:szCs w:val="18"/>
    </w:rPr>
  </w:style>
  <w:style w:type="paragraph" w:styleId="10">
    <w:name w:val="header"/>
    <w:basedOn w:val="1"/>
    <w:link w:val="20"/>
    <w:autoRedefine/>
    <w:unhideWhenUsed/>
    <w:qFormat/>
    <w:uiPriority w:val="99"/>
    <w:pPr>
      <w:pBdr>
        <w:bottom w:val="single" w:color="auto" w:sz="6" w:space="1"/>
      </w:pBdr>
      <w:tabs>
        <w:tab w:val="center" w:pos="4153"/>
        <w:tab w:val="right" w:pos="8306"/>
      </w:tabs>
      <w:jc w:val="center"/>
    </w:pPr>
    <w:rPr>
      <w:sz w:val="18"/>
      <w:szCs w:val="18"/>
    </w:rPr>
  </w:style>
  <w:style w:type="paragraph" w:styleId="11">
    <w:name w:val="Message Header"/>
    <w:basedOn w:val="1"/>
    <w:next w:val="6"/>
    <w:unhideWhenUsed/>
    <w:qFormat/>
    <w:uiPriority w:val="99"/>
    <w:pPr>
      <w:pBdr>
        <w:top w:val="none" w:color="auto" w:sz="0" w:space="1"/>
        <w:left w:val="none" w:color="auto" w:sz="0" w:space="1"/>
        <w:bottom w:val="none" w:color="auto" w:sz="0" w:space="1"/>
        <w:right w:val="none" w:color="auto" w:sz="0" w:space="1"/>
      </w:pBdr>
      <w:shd w:val="pct20" w:color="auto" w:fill="auto"/>
      <w:kinsoku w:val="0"/>
      <w:overflowPunct w:val="0"/>
      <w:spacing w:line="360" w:lineRule="auto"/>
    </w:pPr>
    <w:rPr>
      <w:rFonts w:ascii="Arial" w:hAnsi="Arial"/>
      <w:color w:val="000000"/>
      <w:sz w:val="28"/>
      <w:szCs w:val="24"/>
    </w:rPr>
  </w:style>
  <w:style w:type="paragraph" w:styleId="1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3">
    <w:name w:val="annotation subject"/>
    <w:basedOn w:val="5"/>
    <w:next w:val="5"/>
    <w:link w:val="29"/>
    <w:semiHidden/>
    <w:unhideWhenUsed/>
    <w:qFormat/>
    <w:uiPriority w:val="99"/>
    <w:rPr>
      <w:b/>
      <w:bCs/>
    </w:rPr>
  </w:style>
  <w:style w:type="character" w:styleId="16">
    <w:name w:val="page number"/>
    <w:basedOn w:val="15"/>
    <w:qFormat/>
    <w:uiPriority w:val="0"/>
  </w:style>
  <w:style w:type="character" w:styleId="17">
    <w:name w:val="FollowedHyperlink"/>
    <w:basedOn w:val="15"/>
    <w:semiHidden/>
    <w:unhideWhenUsed/>
    <w:qFormat/>
    <w:uiPriority w:val="99"/>
    <w:rPr>
      <w:color w:val="800080"/>
      <w:u w:val="single"/>
    </w:rPr>
  </w:style>
  <w:style w:type="character" w:styleId="18">
    <w:name w:val="Hyperlink"/>
    <w:basedOn w:val="15"/>
    <w:semiHidden/>
    <w:unhideWhenUsed/>
    <w:qFormat/>
    <w:uiPriority w:val="99"/>
    <w:rPr>
      <w:color w:val="0000FF"/>
      <w:u w:val="single"/>
    </w:rPr>
  </w:style>
  <w:style w:type="character" w:styleId="19">
    <w:name w:val="annotation reference"/>
    <w:qFormat/>
    <w:uiPriority w:val="0"/>
    <w:rPr>
      <w:sz w:val="21"/>
      <w:szCs w:val="21"/>
    </w:rPr>
  </w:style>
  <w:style w:type="character" w:customStyle="1" w:styleId="20">
    <w:name w:val="页眉 字符"/>
    <w:basedOn w:val="15"/>
    <w:link w:val="10"/>
    <w:qFormat/>
    <w:uiPriority w:val="99"/>
    <w:rPr>
      <w:rFonts w:ascii="Tahoma" w:hAnsi="Tahoma"/>
      <w:sz w:val="18"/>
      <w:szCs w:val="18"/>
    </w:rPr>
  </w:style>
  <w:style w:type="character" w:customStyle="1" w:styleId="21">
    <w:name w:val="页脚 字符"/>
    <w:basedOn w:val="15"/>
    <w:link w:val="9"/>
    <w:qFormat/>
    <w:uiPriority w:val="99"/>
    <w:rPr>
      <w:rFonts w:ascii="Tahoma" w:hAnsi="Tahoma"/>
      <w:sz w:val="18"/>
      <w:szCs w:val="18"/>
    </w:rPr>
  </w:style>
  <w:style w:type="character" w:customStyle="1" w:styleId="22">
    <w:name w:val="批注文字 字符"/>
    <w:basedOn w:val="15"/>
    <w:link w:val="5"/>
    <w:qFormat/>
    <w:uiPriority w:val="0"/>
    <w:rPr>
      <w:rFonts w:ascii="Tahoma" w:hAnsi="Tahoma"/>
    </w:rPr>
  </w:style>
  <w:style w:type="character" w:customStyle="1" w:styleId="23">
    <w:name w:val="文档结构图 字符"/>
    <w:basedOn w:val="15"/>
    <w:link w:val="4"/>
    <w:semiHidden/>
    <w:qFormat/>
    <w:uiPriority w:val="99"/>
    <w:rPr>
      <w:rFonts w:ascii="宋体" w:hAnsi="Tahoma" w:eastAsia="宋体"/>
      <w:sz w:val="18"/>
      <w:szCs w:val="18"/>
    </w:rPr>
  </w:style>
  <w:style w:type="character" w:customStyle="1" w:styleId="24">
    <w:name w:val="批注框文本 字符"/>
    <w:basedOn w:val="15"/>
    <w:link w:val="8"/>
    <w:semiHidden/>
    <w:qFormat/>
    <w:uiPriority w:val="99"/>
    <w:rPr>
      <w:rFonts w:ascii="Tahoma" w:hAnsi="Tahoma"/>
      <w:sz w:val="18"/>
      <w:szCs w:val="18"/>
    </w:rPr>
  </w:style>
  <w:style w:type="paragraph" w:styleId="25">
    <w:name w:val="List Paragraph"/>
    <w:basedOn w:val="1"/>
    <w:link w:val="37"/>
    <w:qFormat/>
    <w:uiPriority w:val="34"/>
    <w:pPr>
      <w:ind w:firstLine="420" w:firstLineChars="200"/>
    </w:pPr>
  </w:style>
  <w:style w:type="character" w:customStyle="1" w:styleId="26">
    <w:name w:val="font21"/>
    <w:basedOn w:val="15"/>
    <w:qFormat/>
    <w:uiPriority w:val="0"/>
    <w:rPr>
      <w:rFonts w:hint="eastAsia" w:ascii="宋体" w:hAnsi="宋体" w:eastAsia="宋体" w:cs="宋体"/>
      <w:color w:val="000000"/>
      <w:sz w:val="24"/>
      <w:szCs w:val="24"/>
      <w:u w:val="none"/>
    </w:rPr>
  </w:style>
  <w:style w:type="character" w:customStyle="1" w:styleId="27">
    <w:name w:val="font11"/>
    <w:basedOn w:val="15"/>
    <w:qFormat/>
    <w:uiPriority w:val="0"/>
    <w:rPr>
      <w:rFonts w:ascii="宋体" w:hAnsi="宋体" w:eastAsia="宋体" w:cs="宋体"/>
      <w:color w:val="000000"/>
      <w:sz w:val="24"/>
      <w:szCs w:val="24"/>
      <w:u w:val="none"/>
      <w:vertAlign w:val="superscript"/>
    </w:rPr>
  </w:style>
  <w:style w:type="character" w:customStyle="1" w:styleId="28">
    <w:name w:val="font01"/>
    <w:basedOn w:val="15"/>
    <w:qFormat/>
    <w:uiPriority w:val="0"/>
    <w:rPr>
      <w:rFonts w:hint="eastAsia" w:ascii="宋体" w:hAnsi="宋体" w:eastAsia="宋体" w:cs="宋体"/>
      <w:color w:val="000000"/>
      <w:sz w:val="24"/>
      <w:szCs w:val="24"/>
      <w:u w:val="none"/>
      <w:vertAlign w:val="superscript"/>
    </w:rPr>
  </w:style>
  <w:style w:type="character" w:customStyle="1" w:styleId="29">
    <w:name w:val="批注主题 字符"/>
    <w:basedOn w:val="22"/>
    <w:link w:val="13"/>
    <w:semiHidden/>
    <w:qFormat/>
    <w:uiPriority w:val="99"/>
    <w:rPr>
      <w:rFonts w:ascii="Tahoma" w:hAnsi="Tahoma" w:eastAsia="微软雅黑" w:cstheme="minorBidi"/>
      <w:b/>
      <w:bCs/>
      <w:sz w:val="22"/>
      <w:szCs w:val="22"/>
    </w:rPr>
  </w:style>
  <w:style w:type="character" w:customStyle="1" w:styleId="30">
    <w:name w:val="font81"/>
    <w:basedOn w:val="15"/>
    <w:qFormat/>
    <w:uiPriority w:val="0"/>
    <w:rPr>
      <w:rFonts w:hint="eastAsia" w:ascii="宋体" w:hAnsi="宋体" w:eastAsia="宋体" w:cs="宋体"/>
      <w:color w:val="000000"/>
      <w:sz w:val="22"/>
      <w:szCs w:val="22"/>
      <w:u w:val="none"/>
    </w:rPr>
  </w:style>
  <w:style w:type="character" w:customStyle="1" w:styleId="31">
    <w:name w:val="font71"/>
    <w:basedOn w:val="15"/>
    <w:qFormat/>
    <w:uiPriority w:val="0"/>
    <w:rPr>
      <w:rFonts w:hint="eastAsia" w:ascii="宋体" w:hAnsi="宋体" w:eastAsia="宋体" w:cs="宋体"/>
      <w:color w:val="000000"/>
      <w:sz w:val="22"/>
      <w:szCs w:val="22"/>
      <w:u w:val="none"/>
    </w:rPr>
  </w:style>
  <w:style w:type="character" w:customStyle="1" w:styleId="32">
    <w:name w:val="font91"/>
    <w:basedOn w:val="15"/>
    <w:qFormat/>
    <w:uiPriority w:val="0"/>
    <w:rPr>
      <w:rFonts w:hint="default" w:ascii="Arial" w:hAnsi="Arial" w:cs="Arial"/>
      <w:color w:val="000000"/>
      <w:sz w:val="20"/>
      <w:szCs w:val="20"/>
      <w:u w:val="none"/>
    </w:rPr>
  </w:style>
  <w:style w:type="character" w:customStyle="1" w:styleId="33">
    <w:name w:val="font101"/>
    <w:basedOn w:val="15"/>
    <w:qFormat/>
    <w:uiPriority w:val="0"/>
    <w:rPr>
      <w:rFonts w:hint="eastAsia" w:ascii="宋体" w:hAnsi="宋体" w:eastAsia="宋体" w:cs="宋体"/>
      <w:color w:val="000000"/>
      <w:sz w:val="20"/>
      <w:szCs w:val="20"/>
      <w:u w:val="none"/>
    </w:rPr>
  </w:style>
  <w:style w:type="character" w:customStyle="1" w:styleId="34">
    <w:name w:val="font51"/>
    <w:basedOn w:val="15"/>
    <w:qFormat/>
    <w:uiPriority w:val="0"/>
    <w:rPr>
      <w:rFonts w:hint="eastAsia" w:ascii="SimSun-ExtB" w:hAnsi="SimSun-ExtB" w:eastAsia="SimSun-ExtB" w:cs="SimSun-ExtB"/>
      <w:color w:val="000000"/>
      <w:sz w:val="24"/>
      <w:szCs w:val="24"/>
      <w:u w:val="none"/>
    </w:rPr>
  </w:style>
  <w:style w:type="character" w:customStyle="1" w:styleId="35">
    <w:name w:val="font41"/>
    <w:basedOn w:val="15"/>
    <w:qFormat/>
    <w:uiPriority w:val="0"/>
    <w:rPr>
      <w:rFonts w:hint="eastAsia" w:ascii="宋体" w:hAnsi="宋体" w:eastAsia="宋体" w:cs="宋体"/>
      <w:color w:val="000000"/>
      <w:sz w:val="24"/>
      <w:szCs w:val="24"/>
      <w:u w:val="none"/>
    </w:rPr>
  </w:style>
  <w:style w:type="character" w:customStyle="1" w:styleId="36">
    <w:name w:val="纯文本 字符"/>
    <w:link w:val="7"/>
    <w:qFormat/>
    <w:uiPriority w:val="0"/>
    <w:rPr>
      <w:rFonts w:ascii="宋体" w:hAnsi="Courier New" w:eastAsia="微软雅黑" w:cs="宋体"/>
      <w:sz w:val="22"/>
      <w:szCs w:val="22"/>
    </w:rPr>
  </w:style>
  <w:style w:type="character" w:customStyle="1" w:styleId="37">
    <w:name w:val="列表段落 字符"/>
    <w:link w:val="25"/>
    <w:qFormat/>
    <w:uiPriority w:val="34"/>
    <w:rPr>
      <w:rFonts w:ascii="Tahoma" w:hAnsi="Tahoma" w:eastAsia="微软雅黑" w:cstheme="minorBidi"/>
      <w:sz w:val="22"/>
      <w:szCs w:val="22"/>
    </w:rPr>
  </w:style>
  <w:style w:type="character" w:customStyle="1" w:styleId="38">
    <w:name w:val="cf01"/>
    <w:basedOn w:val="15"/>
    <w:qFormat/>
    <w:uiPriority w:val="0"/>
    <w:rPr>
      <w:rFonts w:hint="eastAsia" w:ascii="Microsoft YaHei UI" w:hAnsi="Microsoft YaHei UI" w:eastAsia="Microsoft YaHei UI"/>
      <w:sz w:val="18"/>
      <w:szCs w:val="18"/>
    </w:rPr>
  </w:style>
  <w:style w:type="character" w:customStyle="1" w:styleId="39">
    <w:name w:val="cf11"/>
    <w:basedOn w:val="15"/>
    <w:qFormat/>
    <w:uiPriority w:val="0"/>
    <w:rPr>
      <w:rFonts w:hint="eastAsia" w:ascii="Microsoft YaHei UI" w:hAnsi="Microsoft YaHei UI" w:eastAsia="Microsoft YaHei UI"/>
      <w:sz w:val="18"/>
      <w:szCs w:val="18"/>
    </w:rPr>
  </w:style>
  <w:style w:type="paragraph" w:customStyle="1" w:styleId="40">
    <w:name w:val="_Style 3"/>
    <w:basedOn w:val="1"/>
    <w:qFormat/>
    <w:uiPriority w:val="34"/>
    <w:pPr>
      <w:ind w:firstLine="420" w:firstLineChars="200"/>
    </w:pPr>
  </w:style>
  <w:style w:type="paragraph" w:customStyle="1" w:styleId="41">
    <w:name w:val="msonormal"/>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42">
    <w:name w:val="font5"/>
    <w:basedOn w:val="1"/>
    <w:autoRedefine/>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43">
    <w:name w:val="xl65"/>
    <w:basedOn w:val="1"/>
    <w:qFormat/>
    <w:uiPriority w:val="0"/>
    <w:pPr>
      <w:pBdr>
        <w:top w:val="single" w:color="auto" w:sz="8" w:space="0"/>
        <w:left w:val="single" w:color="auto" w:sz="8" w:space="0"/>
        <w:bottom w:val="single" w:color="auto" w:sz="8" w:space="0"/>
        <w:right w:val="single" w:color="auto" w:sz="8" w:space="0"/>
      </w:pBdr>
      <w:adjustRightInd/>
      <w:snapToGrid/>
      <w:spacing w:before="100" w:beforeAutospacing="1" w:after="100" w:afterAutospacing="1"/>
      <w:jc w:val="center"/>
    </w:pPr>
    <w:rPr>
      <w:rFonts w:ascii="宋体" w:hAnsi="宋体" w:eastAsia="宋体" w:cs="宋体"/>
      <w:b/>
      <w:bCs/>
      <w:color w:val="000000"/>
      <w:sz w:val="24"/>
      <w:szCs w:val="24"/>
    </w:rPr>
  </w:style>
  <w:style w:type="paragraph" w:customStyle="1" w:styleId="44">
    <w:name w:val="xl66"/>
    <w:basedOn w:val="1"/>
    <w:qFormat/>
    <w:uiPriority w:val="0"/>
    <w:pPr>
      <w:pBdr>
        <w:top w:val="single" w:color="auto" w:sz="8" w:space="0"/>
        <w:bottom w:val="single" w:color="auto" w:sz="8" w:space="0"/>
        <w:right w:val="single" w:color="auto" w:sz="8" w:space="0"/>
      </w:pBdr>
      <w:adjustRightInd/>
      <w:snapToGrid/>
      <w:spacing w:before="100" w:beforeAutospacing="1" w:after="100" w:afterAutospacing="1"/>
      <w:jc w:val="center"/>
    </w:pPr>
    <w:rPr>
      <w:rFonts w:ascii="宋体" w:hAnsi="宋体" w:eastAsia="宋体" w:cs="宋体"/>
      <w:b/>
      <w:bCs/>
      <w:color w:val="000000"/>
      <w:sz w:val="24"/>
      <w:szCs w:val="24"/>
    </w:rPr>
  </w:style>
  <w:style w:type="paragraph" w:customStyle="1" w:styleId="45">
    <w:name w:val="xl67"/>
    <w:basedOn w:val="1"/>
    <w:uiPriority w:val="0"/>
    <w:pPr>
      <w:pBdr>
        <w:bottom w:val="single" w:color="auto" w:sz="8" w:space="0"/>
        <w:right w:val="single" w:color="auto" w:sz="8" w:space="0"/>
      </w:pBdr>
      <w:adjustRightInd/>
      <w:snapToGrid/>
      <w:spacing w:before="100" w:beforeAutospacing="1" w:after="100" w:afterAutospacing="1"/>
      <w:jc w:val="center"/>
    </w:pPr>
    <w:rPr>
      <w:rFonts w:ascii="仿宋_GB2312" w:hAnsi="宋体" w:eastAsia="仿宋_GB2312" w:cs="宋体"/>
      <w:sz w:val="24"/>
      <w:szCs w:val="24"/>
    </w:rPr>
  </w:style>
  <w:style w:type="paragraph" w:customStyle="1" w:styleId="46">
    <w:name w:val="xl68"/>
    <w:basedOn w:val="1"/>
    <w:qFormat/>
    <w:uiPriority w:val="0"/>
    <w:pPr>
      <w:pBdr>
        <w:bottom w:val="single" w:color="auto" w:sz="8" w:space="0"/>
        <w:right w:val="single" w:color="auto" w:sz="8" w:space="0"/>
      </w:pBdr>
      <w:adjustRightInd/>
      <w:snapToGrid/>
      <w:spacing w:before="100" w:beforeAutospacing="1" w:after="100" w:afterAutospacing="1"/>
      <w:jc w:val="center"/>
    </w:pPr>
    <w:rPr>
      <w:rFonts w:ascii="仿宋_GB2312" w:hAnsi="宋体" w:eastAsia="仿宋_GB2312" w:cs="宋体"/>
      <w:sz w:val="20"/>
      <w:szCs w:val="20"/>
    </w:rPr>
  </w:style>
  <w:style w:type="paragraph" w:customStyle="1" w:styleId="47">
    <w:name w:val="xl69"/>
    <w:basedOn w:val="1"/>
    <w:qFormat/>
    <w:uiPriority w:val="0"/>
    <w:pPr>
      <w:pBdr>
        <w:top w:val="single" w:color="auto" w:sz="8" w:space="0"/>
        <w:left w:val="single" w:color="auto" w:sz="8" w:space="0"/>
        <w:bottom w:val="single" w:color="auto" w:sz="8" w:space="0"/>
      </w:pBdr>
      <w:adjustRightInd/>
      <w:snapToGrid/>
      <w:spacing w:before="100" w:beforeAutospacing="1" w:after="100" w:afterAutospacing="1"/>
      <w:jc w:val="center"/>
    </w:pPr>
    <w:rPr>
      <w:rFonts w:ascii="宋体" w:hAnsi="宋体" w:eastAsia="宋体" w:cs="宋体"/>
      <w:b/>
      <w:bCs/>
      <w:color w:val="000000"/>
      <w:sz w:val="24"/>
      <w:szCs w:val="24"/>
    </w:rPr>
  </w:style>
  <w:style w:type="paragraph" w:customStyle="1" w:styleId="48">
    <w:name w:val="xl70"/>
    <w:basedOn w:val="1"/>
    <w:qFormat/>
    <w:uiPriority w:val="0"/>
    <w:pPr>
      <w:pBdr>
        <w:top w:val="single" w:color="auto" w:sz="8" w:space="0"/>
        <w:bottom w:val="single" w:color="auto" w:sz="8" w:space="0"/>
      </w:pBdr>
      <w:adjustRightInd/>
      <w:snapToGrid/>
      <w:spacing w:before="100" w:beforeAutospacing="1" w:after="100" w:afterAutospacing="1"/>
      <w:jc w:val="center"/>
    </w:pPr>
    <w:rPr>
      <w:rFonts w:ascii="宋体" w:hAnsi="宋体" w:eastAsia="宋体" w:cs="宋体"/>
      <w:b/>
      <w:bCs/>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66144C-8AC9-4DC8-B7C6-30A4B17E39E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1913</Words>
  <Characters>10909</Characters>
  <Lines>90</Lines>
  <Paragraphs>25</Paragraphs>
  <TotalTime>20</TotalTime>
  <ScaleCrop>false</ScaleCrop>
  <LinksUpToDate>false</LinksUpToDate>
  <CharactersWithSpaces>12797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2023-04-04T07:24:00Z</dcterms:created>
  <dc:creator>Administrator</dc:creator>
  <cp:lastModifiedBy>代理机构</cp:lastModifiedBy>
  <cp:lastPrinted>2020-08-19T09:08:00Z</cp:lastPrinted>
  <dcterms:modified xsi:type="dcterms:W3CDTF">2024-04-24T09:04:56Z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387037B53B804DAAA71997DEC8DFB1AD</vt:lpwstr>
  </property>
</Properties>
</file>