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cs="宋体"/>
          <w:b/>
          <w:sz w:val="84"/>
          <w:szCs w:val="84"/>
        </w:rPr>
      </w:pPr>
    </w:p>
    <w:p>
      <w:pPr>
        <w:snapToGrid w:val="0"/>
        <w:spacing w:before="156" w:beforeLines="50"/>
        <w:jc w:val="center"/>
        <w:rPr>
          <w:rFonts w:ascii="宋体" w:hAnsi="宋体" w:cs="宋体"/>
          <w:b/>
          <w:bCs/>
          <w:sz w:val="84"/>
          <w:szCs w:val="84"/>
        </w:rPr>
      </w:pPr>
      <w:r>
        <w:rPr>
          <w:rFonts w:hint="eastAsia" w:ascii="宋体" w:hAnsi="宋体" w:cs="宋体"/>
          <w:b/>
          <w:sz w:val="84"/>
          <w:szCs w:val="84"/>
        </w:rPr>
        <w:t>综合评审文件</w:t>
      </w:r>
    </w:p>
    <w:p>
      <w:pPr>
        <w:spacing w:line="360" w:lineRule="auto"/>
        <w:jc w:val="center"/>
        <w:rPr>
          <w:rFonts w:ascii="宋体" w:hAnsi="宋体" w:cs="宋体"/>
          <w:b/>
          <w:bCs/>
          <w:sz w:val="24"/>
          <w:szCs w:val="24"/>
        </w:rPr>
      </w:pPr>
    </w:p>
    <w:p>
      <w:pPr>
        <w:spacing w:line="360" w:lineRule="auto"/>
        <w:rPr>
          <w:rFonts w:ascii="宋体" w:hAnsi="宋体" w:cs="宋体"/>
          <w:sz w:val="30"/>
          <w:szCs w:val="30"/>
        </w:rPr>
      </w:pPr>
    </w:p>
    <w:p>
      <w:pPr>
        <w:spacing w:line="360" w:lineRule="auto"/>
        <w:rPr>
          <w:rFonts w:ascii="宋体" w:hAnsi="宋体" w:cs="宋体"/>
          <w:sz w:val="30"/>
          <w:szCs w:val="30"/>
        </w:rPr>
      </w:pPr>
    </w:p>
    <w:p>
      <w:pPr>
        <w:spacing w:line="360" w:lineRule="auto"/>
        <w:rPr>
          <w:rFonts w:ascii="宋体" w:hAnsi="宋体" w:cs="宋体"/>
          <w:sz w:val="30"/>
          <w:szCs w:val="30"/>
        </w:rPr>
      </w:pPr>
    </w:p>
    <w:p>
      <w:pPr>
        <w:spacing w:line="360" w:lineRule="auto"/>
        <w:rPr>
          <w:rFonts w:ascii="宋体" w:hAnsi="宋体" w:cs="宋体"/>
          <w:sz w:val="30"/>
          <w:szCs w:val="30"/>
        </w:rPr>
      </w:pPr>
    </w:p>
    <w:p>
      <w:pPr>
        <w:spacing w:line="360" w:lineRule="auto"/>
        <w:jc w:val="left"/>
        <w:rPr>
          <w:rFonts w:ascii="宋体" w:hAnsi="宋体" w:cs="宋体"/>
          <w:b/>
          <w:bCs/>
          <w:sz w:val="28"/>
          <w:szCs w:val="32"/>
        </w:rPr>
      </w:pPr>
    </w:p>
    <w:p>
      <w:pPr>
        <w:spacing w:line="360" w:lineRule="auto"/>
        <w:jc w:val="left"/>
        <w:rPr>
          <w:rFonts w:ascii="宋体" w:hAnsi="宋体" w:cs="宋体"/>
          <w:b/>
          <w:bCs/>
          <w:sz w:val="28"/>
          <w:szCs w:val="32"/>
        </w:rPr>
      </w:pPr>
    </w:p>
    <w:p>
      <w:pPr>
        <w:spacing w:line="360" w:lineRule="auto"/>
        <w:jc w:val="left"/>
        <w:rPr>
          <w:rFonts w:ascii="宋体" w:hAnsi="宋体" w:cs="宋体"/>
          <w:b/>
          <w:bCs/>
          <w:sz w:val="28"/>
          <w:szCs w:val="32"/>
        </w:rPr>
      </w:pPr>
    </w:p>
    <w:p>
      <w:pPr>
        <w:spacing w:line="360" w:lineRule="auto"/>
        <w:jc w:val="left"/>
        <w:rPr>
          <w:rFonts w:ascii="宋体" w:hAnsi="宋体" w:cs="宋体"/>
          <w:b/>
          <w:bCs/>
          <w:sz w:val="28"/>
          <w:szCs w:val="32"/>
        </w:rPr>
      </w:pPr>
      <w:r>
        <w:rPr>
          <w:rFonts w:hint="eastAsia" w:ascii="宋体" w:hAnsi="宋体" w:cs="宋体"/>
          <w:b/>
          <w:bCs/>
          <w:sz w:val="28"/>
          <w:szCs w:val="32"/>
        </w:rPr>
        <w:t>采购方式：综合评审</w:t>
      </w:r>
    </w:p>
    <w:p>
      <w:pPr>
        <w:spacing w:line="360" w:lineRule="auto"/>
        <w:ind w:left="1405" w:hanging="1405" w:hangingChars="500"/>
        <w:jc w:val="left"/>
        <w:rPr>
          <w:rFonts w:ascii="宋体" w:hAnsi="宋体" w:cs="宋体"/>
          <w:b/>
          <w:bCs/>
          <w:sz w:val="28"/>
          <w:szCs w:val="32"/>
        </w:rPr>
      </w:pPr>
      <w:r>
        <w:rPr>
          <w:rFonts w:hint="eastAsia" w:ascii="宋体" w:hAnsi="宋体" w:cs="宋体"/>
          <w:b/>
          <w:bCs/>
          <w:sz w:val="28"/>
          <w:szCs w:val="32"/>
        </w:rPr>
        <w:t>项目名称：二氧化硫分析仪和耐腐蚀型氮吹仪小设备采购项目</w:t>
      </w:r>
    </w:p>
    <w:p>
      <w:pPr>
        <w:autoSpaceDE w:val="0"/>
        <w:autoSpaceDN w:val="0"/>
        <w:adjustRightInd w:val="0"/>
        <w:snapToGrid w:val="0"/>
        <w:spacing w:before="156" w:beforeLines="50" w:after="156" w:afterLines="50" w:line="360" w:lineRule="auto"/>
        <w:jc w:val="left"/>
        <w:rPr>
          <w:rFonts w:ascii="宋体" w:hAnsi="宋体" w:cs="宋体"/>
          <w:kern w:val="0"/>
          <w:sz w:val="30"/>
          <w:szCs w:val="30"/>
        </w:rPr>
      </w:pPr>
    </w:p>
    <w:p>
      <w:pPr>
        <w:autoSpaceDE w:val="0"/>
        <w:autoSpaceDN w:val="0"/>
        <w:adjustRightInd w:val="0"/>
        <w:snapToGrid w:val="0"/>
        <w:spacing w:before="156" w:beforeLines="50" w:after="156" w:afterLines="50" w:line="360" w:lineRule="auto"/>
        <w:jc w:val="left"/>
        <w:rPr>
          <w:rFonts w:ascii="宋体" w:hAnsi="宋体" w:cs="宋体"/>
          <w:kern w:val="0"/>
          <w:sz w:val="30"/>
          <w:szCs w:val="30"/>
        </w:rPr>
      </w:pPr>
    </w:p>
    <w:p>
      <w:pPr>
        <w:autoSpaceDE w:val="0"/>
        <w:autoSpaceDN w:val="0"/>
        <w:adjustRightInd w:val="0"/>
        <w:snapToGrid w:val="0"/>
        <w:spacing w:before="156" w:beforeLines="50" w:after="156" w:afterLines="50" w:line="360" w:lineRule="auto"/>
        <w:jc w:val="left"/>
        <w:rPr>
          <w:rFonts w:ascii="宋体" w:hAnsi="宋体" w:cs="宋体"/>
          <w:kern w:val="0"/>
          <w:sz w:val="30"/>
          <w:szCs w:val="30"/>
        </w:rPr>
      </w:pPr>
    </w:p>
    <w:p>
      <w:pPr>
        <w:autoSpaceDE w:val="0"/>
        <w:autoSpaceDN w:val="0"/>
        <w:adjustRightInd w:val="0"/>
        <w:snapToGrid w:val="0"/>
        <w:spacing w:before="156" w:beforeLines="50" w:after="156" w:afterLines="50" w:line="360" w:lineRule="auto"/>
        <w:jc w:val="left"/>
        <w:rPr>
          <w:rFonts w:ascii="宋体" w:hAnsi="宋体" w:cs="宋体"/>
          <w:kern w:val="0"/>
          <w:sz w:val="30"/>
          <w:szCs w:val="30"/>
        </w:rPr>
      </w:pPr>
    </w:p>
    <w:p>
      <w:pPr>
        <w:autoSpaceDE w:val="0"/>
        <w:autoSpaceDN w:val="0"/>
        <w:adjustRightInd w:val="0"/>
        <w:snapToGrid w:val="0"/>
        <w:spacing w:line="360" w:lineRule="auto"/>
        <w:ind w:left="420" w:firstLine="420"/>
        <w:jc w:val="center"/>
        <w:rPr>
          <w:rFonts w:ascii="宋体" w:hAnsi="宋体" w:cs="宋体"/>
          <w:b/>
          <w:sz w:val="28"/>
        </w:rPr>
      </w:pPr>
      <w:r>
        <w:rPr>
          <w:rFonts w:hint="eastAsia" w:ascii="宋体" w:hAnsi="宋体" w:cs="宋体"/>
          <w:b/>
          <w:sz w:val="28"/>
        </w:rPr>
        <w:t>深圳市疾病预防控制中心</w:t>
      </w:r>
    </w:p>
    <w:p>
      <w:pPr>
        <w:autoSpaceDE w:val="0"/>
        <w:autoSpaceDN w:val="0"/>
        <w:adjustRightInd w:val="0"/>
        <w:snapToGrid w:val="0"/>
        <w:spacing w:line="360" w:lineRule="auto"/>
        <w:ind w:left="420" w:firstLine="420"/>
        <w:jc w:val="center"/>
        <w:rPr>
          <w:rFonts w:ascii="宋体" w:hAnsi="宋体" w:cs="宋体"/>
          <w:b/>
          <w:sz w:val="28"/>
        </w:rPr>
      </w:pPr>
      <w:r>
        <w:rPr>
          <w:rFonts w:hint="eastAsia" w:ascii="宋体" w:hAnsi="宋体" w:cs="宋体"/>
          <w:b/>
          <w:sz w:val="28"/>
        </w:rPr>
        <w:t>采联国际招标采购集团有限公司</w:t>
      </w:r>
    </w:p>
    <w:p>
      <w:pPr>
        <w:autoSpaceDE w:val="0"/>
        <w:autoSpaceDN w:val="0"/>
        <w:adjustRightInd w:val="0"/>
        <w:snapToGrid w:val="0"/>
        <w:spacing w:line="360" w:lineRule="auto"/>
        <w:ind w:left="420" w:firstLine="420"/>
        <w:jc w:val="center"/>
        <w:rPr>
          <w:rFonts w:ascii="宋体" w:hAnsi="宋体" w:cs="宋体"/>
          <w:sz w:val="28"/>
        </w:rPr>
      </w:pPr>
      <w:r>
        <w:rPr>
          <w:rFonts w:hint="eastAsia" w:ascii="宋体" w:hAnsi="宋体" w:cs="宋体"/>
          <w:b/>
          <w:sz w:val="28"/>
        </w:rPr>
        <w:t>二〇二四年四月</w:t>
      </w:r>
    </w:p>
    <w:p>
      <w:pPr>
        <w:autoSpaceDE w:val="0"/>
        <w:autoSpaceDN w:val="0"/>
        <w:adjustRightInd w:val="0"/>
        <w:snapToGrid w:val="0"/>
        <w:spacing w:line="360" w:lineRule="auto"/>
        <w:ind w:left="420" w:firstLine="420"/>
        <w:jc w:val="center"/>
        <w:rPr>
          <w:rFonts w:ascii="宋体" w:hAnsi="宋体" w:cs="宋体"/>
          <w:b/>
          <w:bCs/>
          <w:sz w:val="28"/>
          <w:szCs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19"/>
        <w:spacing w:before="0" w:after="0"/>
        <w:rPr>
          <w:rFonts w:ascii="宋体" w:hAnsi="宋体" w:cs="宋体"/>
        </w:rPr>
      </w:pPr>
      <w:r>
        <w:rPr>
          <w:rFonts w:hint="eastAsia" w:ascii="宋体" w:hAnsi="宋体" w:cs="宋体"/>
        </w:rPr>
        <w:t>第一章 线上评审须知</w:t>
      </w:r>
    </w:p>
    <w:p>
      <w:pPr>
        <w:pStyle w:val="50"/>
        <w:numPr>
          <w:ilvl w:val="0"/>
          <w:numId w:val="2"/>
        </w:numPr>
        <w:spacing w:line="360" w:lineRule="auto"/>
        <w:ind w:firstLineChars="0"/>
        <w:rPr>
          <w:rFonts w:ascii="宋体" w:hAnsi="宋体" w:cs="宋体"/>
        </w:rPr>
      </w:pPr>
      <w:r>
        <w:rPr>
          <w:rFonts w:hint="eastAsia" w:ascii="宋体" w:hAnsi="宋体" w:cs="宋体"/>
          <w:szCs w:val="21"/>
        </w:rPr>
        <w:t>本项目通过云采链线上采购一体化平台发布综合评审，响应供应商必须登录平台进行注册，注册成功后方可参与项目。</w:t>
      </w:r>
    </w:p>
    <w:p>
      <w:pPr>
        <w:pStyle w:val="50"/>
        <w:numPr>
          <w:ilvl w:val="0"/>
          <w:numId w:val="2"/>
        </w:numPr>
        <w:spacing w:line="360" w:lineRule="auto"/>
        <w:ind w:firstLineChars="0"/>
        <w:rPr>
          <w:rFonts w:ascii="宋体" w:hAnsi="宋体" w:cs="宋体"/>
        </w:rPr>
      </w:pPr>
      <w:r>
        <w:rPr>
          <w:rFonts w:hint="eastAsia" w:ascii="宋体" w:hAnsi="宋体" w:cs="宋体"/>
        </w:rPr>
        <w:t>语言要求</w:t>
      </w:r>
    </w:p>
    <w:p>
      <w:pPr>
        <w:spacing w:line="360" w:lineRule="auto"/>
        <w:ind w:left="420" w:leftChars="200"/>
        <w:rPr>
          <w:rFonts w:ascii="宋体" w:hAnsi="宋体" w:cs="宋体"/>
        </w:rPr>
      </w:pPr>
      <w:r>
        <w:rPr>
          <w:rFonts w:hint="eastAsia" w:ascii="宋体" w:hAnsi="宋体" w:cs="宋体"/>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50"/>
        <w:numPr>
          <w:ilvl w:val="0"/>
          <w:numId w:val="2"/>
        </w:numPr>
        <w:spacing w:line="360" w:lineRule="auto"/>
        <w:ind w:firstLineChars="0"/>
        <w:rPr>
          <w:rFonts w:ascii="宋体" w:hAnsi="宋体" w:cs="宋体"/>
          <w:b/>
          <w:bCs/>
        </w:rPr>
      </w:pPr>
      <w:r>
        <w:rPr>
          <w:rFonts w:hint="eastAsia" w:ascii="宋体" w:hAnsi="宋体" w:cs="宋体"/>
          <w:b/>
          <w:bCs/>
          <w:szCs w:val="21"/>
        </w:rPr>
        <w:t>在云采链平台参与项目响应后放弃成交资格超过三次（含三次）的供应商连同该供应商同一法人名下所有公司将被列入平台黑名单，永久不得参与平台的项目。</w:t>
      </w:r>
    </w:p>
    <w:p>
      <w:pPr>
        <w:pStyle w:val="50"/>
        <w:numPr>
          <w:ilvl w:val="0"/>
          <w:numId w:val="2"/>
        </w:numPr>
        <w:spacing w:line="360" w:lineRule="auto"/>
        <w:ind w:firstLineChars="0"/>
        <w:rPr>
          <w:rFonts w:ascii="宋体" w:hAnsi="宋体" w:cs="宋体"/>
          <w:b/>
          <w:bCs/>
          <w:u w:val="double"/>
        </w:rPr>
      </w:pPr>
      <w:r>
        <w:rPr>
          <w:rFonts w:hint="eastAsia" w:ascii="宋体" w:hAnsi="宋体" w:cs="宋体"/>
          <w:b/>
          <w:bCs/>
          <w:u w:val="double"/>
        </w:rPr>
        <w:t>如本项目竞价失败重新启动竞价，则不允许已经成功报名参与本项目却未报价的供应商再次报名参与竞价。为避免恶性竞争，参与采购人竞价项目的供应商连续或累计3次成功报名未报价的将列入采购人黑名单，3年内不得参与采购人的所有竞价项目。</w:t>
      </w:r>
    </w:p>
    <w:p>
      <w:pPr>
        <w:pStyle w:val="50"/>
        <w:numPr>
          <w:ilvl w:val="0"/>
          <w:numId w:val="2"/>
        </w:numPr>
        <w:spacing w:line="360" w:lineRule="auto"/>
        <w:ind w:firstLineChars="0"/>
        <w:rPr>
          <w:rFonts w:ascii="宋体" w:hAnsi="宋体" w:cs="宋体"/>
        </w:rPr>
      </w:pPr>
      <w:r>
        <w:rPr>
          <w:rFonts w:hint="eastAsia" w:ascii="宋体" w:hAnsi="宋体" w:cs="宋体"/>
        </w:rPr>
        <w:t>综合评审须知</w:t>
      </w:r>
    </w:p>
    <w:p>
      <w:pPr>
        <w:pStyle w:val="50"/>
        <w:numPr>
          <w:ilvl w:val="0"/>
          <w:numId w:val="3"/>
        </w:numPr>
        <w:spacing w:line="360" w:lineRule="auto"/>
        <w:ind w:firstLineChars="0"/>
        <w:rPr>
          <w:rFonts w:ascii="宋体" w:hAnsi="宋体" w:cs="宋体"/>
          <w:b/>
        </w:rPr>
      </w:pPr>
      <w:r>
        <w:rPr>
          <w:rStyle w:val="25"/>
          <w:rFonts w:hint="eastAsia" w:ascii="宋体" w:hAnsi="宋体" w:cs="宋体"/>
        </w:rPr>
        <w:t>综合评审说明</w:t>
      </w:r>
    </w:p>
    <w:p>
      <w:pPr>
        <w:pStyle w:val="50"/>
        <w:numPr>
          <w:ilvl w:val="0"/>
          <w:numId w:val="4"/>
        </w:numPr>
        <w:tabs>
          <w:tab w:val="left" w:pos="851"/>
        </w:tabs>
        <w:spacing w:line="360" w:lineRule="auto"/>
        <w:ind w:firstLineChars="0"/>
        <w:rPr>
          <w:rFonts w:ascii="宋体" w:hAnsi="宋体" w:cs="宋体"/>
        </w:rPr>
      </w:pPr>
      <w:r>
        <w:rPr>
          <w:rFonts w:hint="eastAsia" w:ascii="宋体" w:hAnsi="宋体" w:cs="宋体"/>
          <w:szCs w:val="21"/>
        </w:rPr>
        <w:t>参与综合评审的供应商应承担所有与准备和参加项目有关的费用，不</w:t>
      </w:r>
      <w:r>
        <w:rPr>
          <w:rFonts w:hint="eastAsia" w:ascii="宋体" w:hAnsi="宋体" w:cs="宋体"/>
          <w:szCs w:val="21"/>
          <w:lang w:eastAsia="zh-TW"/>
        </w:rPr>
        <w:t>论</w:t>
      </w:r>
      <w:r>
        <w:rPr>
          <w:rFonts w:hint="eastAsia" w:ascii="宋体" w:hAnsi="宋体" w:cs="宋体"/>
          <w:szCs w:val="21"/>
        </w:rPr>
        <w:t>综合评审</w:t>
      </w:r>
      <w:r>
        <w:rPr>
          <w:rFonts w:hint="eastAsia" w:ascii="宋体" w:hAnsi="宋体" w:cs="宋体"/>
          <w:szCs w:val="21"/>
          <w:lang w:eastAsia="zh-TW"/>
        </w:rPr>
        <w:t>的结果如何</w:t>
      </w:r>
      <w:r>
        <w:rPr>
          <w:rFonts w:hint="eastAsia" w:ascii="宋体" w:hAnsi="宋体" w:cs="宋体"/>
          <w:szCs w:val="21"/>
        </w:rPr>
        <w:t>，采购</w:t>
      </w:r>
      <w:r>
        <w:rPr>
          <w:rFonts w:hint="eastAsia" w:ascii="宋体" w:hAnsi="宋体" w:cs="宋体"/>
          <w:szCs w:val="21"/>
          <w:lang w:eastAsia="zh-TW"/>
        </w:rPr>
        <w:t>人</w:t>
      </w:r>
      <w:r>
        <w:rPr>
          <w:rFonts w:hint="eastAsia" w:ascii="宋体" w:hAnsi="宋体" w:cs="宋体"/>
          <w:szCs w:val="21"/>
        </w:rPr>
        <w:t>和</w:t>
      </w:r>
      <w:r>
        <w:rPr>
          <w:rFonts w:hint="eastAsia" w:ascii="宋体" w:hAnsi="宋体" w:cs="宋体"/>
          <w:szCs w:val="21"/>
          <w:lang w:eastAsia="zh-TW"/>
        </w:rPr>
        <w:t>代理机构均无义务和责任承担这些费用</w:t>
      </w:r>
      <w:r>
        <w:rPr>
          <w:rFonts w:hint="eastAsia" w:ascii="宋体" w:hAnsi="宋体" w:cs="宋体"/>
          <w:szCs w:val="21"/>
        </w:rPr>
        <w:t>。</w:t>
      </w:r>
    </w:p>
    <w:p>
      <w:pPr>
        <w:pStyle w:val="50"/>
        <w:numPr>
          <w:ilvl w:val="0"/>
          <w:numId w:val="4"/>
        </w:numPr>
        <w:spacing w:line="360" w:lineRule="auto"/>
        <w:ind w:firstLineChars="0"/>
        <w:rPr>
          <w:rFonts w:ascii="宋体" w:hAnsi="宋体" w:cs="宋体"/>
        </w:rPr>
      </w:pPr>
      <w:r>
        <w:rPr>
          <w:rFonts w:hint="eastAsia" w:ascii="宋体" w:hAnsi="宋体" w:cs="宋体"/>
          <w:szCs w:val="21"/>
        </w:rPr>
        <w:t>参与综合评审的</w:t>
      </w:r>
      <w:r>
        <w:rPr>
          <w:rFonts w:hint="eastAsia" w:ascii="宋体" w:hAnsi="宋体" w:cs="宋体"/>
          <w:bCs/>
          <w:szCs w:val="21"/>
        </w:rPr>
        <w:t>供应商必须按</w:t>
      </w:r>
      <w:r>
        <w:rPr>
          <w:rFonts w:hint="eastAsia" w:ascii="宋体" w:hAnsi="宋体" w:cs="宋体"/>
          <w:szCs w:val="21"/>
        </w:rPr>
        <w:t>综合评审</w:t>
      </w:r>
      <w:r>
        <w:rPr>
          <w:rFonts w:hint="eastAsia" w:ascii="宋体" w:hAnsi="宋体" w:cs="宋体"/>
          <w:bCs/>
          <w:szCs w:val="21"/>
        </w:rPr>
        <w:t>附件的格式填写，不得随意增加或删除表格内容。除单价、金额或项目要求填写的内容外，不得擅自改动</w:t>
      </w:r>
      <w:r>
        <w:rPr>
          <w:rFonts w:hint="eastAsia" w:ascii="宋体" w:hAnsi="宋体" w:cs="宋体"/>
          <w:szCs w:val="21"/>
        </w:rPr>
        <w:t>综合评审</w:t>
      </w:r>
      <w:r>
        <w:rPr>
          <w:rFonts w:hint="eastAsia" w:ascii="宋体" w:hAnsi="宋体" w:cs="宋体"/>
          <w:bCs/>
          <w:szCs w:val="21"/>
        </w:rPr>
        <w:t>附件内容，否则将有可能影响成交结果，不推荐为成交候选人。</w:t>
      </w:r>
    </w:p>
    <w:p>
      <w:pPr>
        <w:pStyle w:val="50"/>
        <w:numPr>
          <w:ilvl w:val="0"/>
          <w:numId w:val="4"/>
        </w:numPr>
        <w:spacing w:line="360" w:lineRule="auto"/>
        <w:ind w:firstLineChars="0"/>
        <w:rPr>
          <w:rFonts w:ascii="宋体" w:hAnsi="宋体" w:cs="宋体"/>
        </w:rPr>
      </w:pPr>
      <w:r>
        <w:rPr>
          <w:rFonts w:hint="eastAsia" w:ascii="宋体" w:hAnsi="宋体" w:cs="宋体"/>
          <w:szCs w:val="21"/>
        </w:rPr>
        <w:t>若成交供应商自身原因无法完成本项目，则采购人有权利保留追究责任。</w:t>
      </w:r>
    </w:p>
    <w:p>
      <w:pPr>
        <w:pStyle w:val="50"/>
        <w:numPr>
          <w:ilvl w:val="0"/>
          <w:numId w:val="4"/>
        </w:numPr>
        <w:spacing w:line="360" w:lineRule="auto"/>
        <w:ind w:firstLineChars="0"/>
        <w:rPr>
          <w:rFonts w:ascii="宋体" w:hAnsi="宋体" w:cs="宋体"/>
        </w:rPr>
      </w:pPr>
      <w:r>
        <w:rPr>
          <w:rFonts w:hint="eastAsia" w:ascii="宋体" w:hAnsi="宋体" w:cs="宋体"/>
        </w:rPr>
        <w:t>成交供应商因自身原因被取消成交资格，采购人可重新启动采购或按</w:t>
      </w:r>
      <w:r>
        <w:rPr>
          <w:rFonts w:hint="eastAsia" w:ascii="宋体" w:hAnsi="宋体" w:cs="宋体"/>
          <w:szCs w:val="21"/>
        </w:rPr>
        <w:t>综合评审</w:t>
      </w:r>
      <w:r>
        <w:rPr>
          <w:rFonts w:hint="eastAsia" w:ascii="宋体" w:hAnsi="宋体" w:cs="宋体"/>
        </w:rPr>
        <w:t>公告规定顺延推选符合要求的供应商作为成交人。</w:t>
      </w:r>
    </w:p>
    <w:p>
      <w:pPr>
        <w:pStyle w:val="50"/>
        <w:numPr>
          <w:ilvl w:val="0"/>
          <w:numId w:val="4"/>
        </w:numPr>
        <w:spacing w:line="360" w:lineRule="auto"/>
        <w:ind w:firstLineChars="0"/>
        <w:rPr>
          <w:rFonts w:ascii="宋体" w:hAnsi="宋体" w:cs="宋体"/>
        </w:rPr>
      </w:pPr>
      <w:r>
        <w:rPr>
          <w:rFonts w:hint="eastAsia" w:ascii="宋体" w:hAnsi="宋体" w:cs="宋体"/>
        </w:rPr>
        <w:t>若本项目</w:t>
      </w:r>
      <w:r>
        <w:rPr>
          <w:rFonts w:hint="eastAsia" w:ascii="宋体" w:hAnsi="宋体" w:cs="宋体"/>
          <w:szCs w:val="21"/>
        </w:rPr>
        <w:t>综合评审</w:t>
      </w:r>
      <w:r>
        <w:rPr>
          <w:rFonts w:hint="eastAsia" w:ascii="宋体" w:hAnsi="宋体" w:cs="宋体"/>
        </w:rPr>
        <w:t>采购失败，采购人将重新采购，届时采购人有权根据项目具体情况，决定重新采购项目的采购方式。</w:t>
      </w:r>
    </w:p>
    <w:p>
      <w:pPr>
        <w:pStyle w:val="50"/>
        <w:numPr>
          <w:ilvl w:val="0"/>
          <w:numId w:val="4"/>
        </w:numPr>
        <w:spacing w:line="360" w:lineRule="auto"/>
        <w:ind w:firstLineChars="0"/>
        <w:rPr>
          <w:rFonts w:ascii="宋体" w:hAnsi="宋体" w:cs="宋体"/>
        </w:rPr>
      </w:pPr>
      <w:r>
        <w:rPr>
          <w:rFonts w:hint="eastAsia" w:ascii="宋体" w:hAnsi="宋体" w:cs="宋体"/>
        </w:rPr>
        <w:t>成交供应商若无正当理由恶意放弃成交资格，采购人有权将拒绝其参加本项目重新组织的</w:t>
      </w:r>
      <w:r>
        <w:rPr>
          <w:rFonts w:hint="eastAsia" w:ascii="宋体" w:hAnsi="宋体" w:cs="宋体"/>
          <w:szCs w:val="21"/>
        </w:rPr>
        <w:t>综合评审</w:t>
      </w:r>
      <w:r>
        <w:rPr>
          <w:rFonts w:hint="eastAsia" w:ascii="宋体" w:hAnsi="宋体" w:cs="宋体"/>
        </w:rPr>
        <w:t>采购活动。</w:t>
      </w:r>
    </w:p>
    <w:p>
      <w:pPr>
        <w:pStyle w:val="50"/>
        <w:numPr>
          <w:ilvl w:val="0"/>
          <w:numId w:val="4"/>
        </w:numPr>
        <w:spacing w:line="360" w:lineRule="auto"/>
        <w:ind w:firstLineChars="0"/>
        <w:rPr>
          <w:rFonts w:ascii="宋体" w:hAnsi="宋体" w:cs="宋体"/>
        </w:rPr>
      </w:pPr>
      <w:r>
        <w:rPr>
          <w:rFonts w:hint="eastAsia" w:ascii="宋体" w:hAnsi="宋体" w:cs="宋体"/>
        </w:rPr>
        <w:t>如采购人或代理机构在审核或复核</w:t>
      </w:r>
      <w:r>
        <w:rPr>
          <w:rFonts w:hint="eastAsia" w:ascii="宋体" w:hAnsi="宋体" w:cs="宋体"/>
          <w:szCs w:val="21"/>
        </w:rPr>
        <w:t>参与综合评审的</w:t>
      </w:r>
      <w:r>
        <w:rPr>
          <w:rFonts w:hint="eastAsia" w:ascii="宋体" w:hAnsi="宋体" w:cs="宋体"/>
        </w:rPr>
        <w:t>供应商所提交的</w:t>
      </w:r>
      <w:r>
        <w:rPr>
          <w:rFonts w:hint="eastAsia" w:ascii="宋体" w:hAnsi="宋体" w:cs="宋体"/>
          <w:szCs w:val="21"/>
        </w:rPr>
        <w:t>综合评审</w:t>
      </w:r>
      <w:r>
        <w:rPr>
          <w:rFonts w:hint="eastAsia" w:ascii="宋体" w:hAnsi="宋体" w:cs="宋体"/>
        </w:rPr>
        <w:t>资料时，供应商须无条件配合；期间若发现存在弄虚作假或相关的失信记录或违反国家法律法规等相关的不良情形，采购人可取消其成交资格并保留追究责任的权力。</w:t>
      </w:r>
    </w:p>
    <w:p>
      <w:pPr>
        <w:pStyle w:val="50"/>
        <w:numPr>
          <w:ilvl w:val="0"/>
          <w:numId w:val="4"/>
        </w:numPr>
        <w:spacing w:line="360" w:lineRule="auto"/>
        <w:ind w:firstLineChars="0"/>
        <w:rPr>
          <w:rFonts w:ascii="宋体" w:hAnsi="宋体" w:cs="宋体"/>
        </w:rPr>
      </w:pPr>
      <w:r>
        <w:rPr>
          <w:rFonts w:hint="eastAsia" w:ascii="宋体" w:hAnsi="宋体" w:cs="宋体"/>
          <w:szCs w:val="21"/>
        </w:rPr>
        <w:t>参与综合评审的</w:t>
      </w:r>
      <w:r>
        <w:rPr>
          <w:rFonts w:hint="eastAsia" w:ascii="宋体" w:hAnsi="宋体" w:cs="宋体"/>
          <w:szCs w:val="21"/>
          <w:lang w:eastAsia="zh-TW"/>
        </w:rPr>
        <w:t>供应商向我司咨询的有关项目事项，一切以综合评审</w:t>
      </w:r>
      <w:r>
        <w:rPr>
          <w:rFonts w:hint="eastAsia" w:ascii="宋体" w:hAnsi="宋体" w:cs="宋体"/>
          <w:szCs w:val="21"/>
        </w:rPr>
        <w:t>文件</w:t>
      </w:r>
      <w:r>
        <w:rPr>
          <w:rFonts w:hint="eastAsia" w:ascii="宋体" w:hAnsi="宋体" w:cs="宋体"/>
          <w:szCs w:val="21"/>
          <w:lang w:eastAsia="zh-TW"/>
        </w:rPr>
        <w:t>规定</w:t>
      </w:r>
      <w:r>
        <w:rPr>
          <w:rFonts w:hint="eastAsia" w:ascii="宋体" w:hAnsi="宋体" w:cs="宋体"/>
          <w:szCs w:val="21"/>
        </w:rPr>
        <w:t>和综合评审公告规定以及</w:t>
      </w:r>
      <w:r>
        <w:rPr>
          <w:rFonts w:hint="eastAsia" w:ascii="宋体" w:hAnsi="宋体" w:cs="宋体"/>
          <w:szCs w:val="21"/>
          <w:lang w:eastAsia="zh-TW"/>
        </w:rPr>
        <w:t>本公司</w:t>
      </w:r>
      <w:r>
        <w:rPr>
          <w:rFonts w:hint="eastAsia" w:ascii="宋体" w:hAnsi="宋体" w:cs="宋体"/>
          <w:szCs w:val="21"/>
        </w:rPr>
        <w:t>的</w:t>
      </w:r>
      <w:r>
        <w:rPr>
          <w:rFonts w:hint="eastAsia" w:ascii="宋体" w:hAnsi="宋体" w:cs="宋体"/>
          <w:szCs w:val="21"/>
          <w:lang w:eastAsia="zh-TW"/>
        </w:rPr>
        <w:t>书面答复为准，其他一切形式均为个人意见，不代表本公司的意见</w:t>
      </w:r>
      <w:r>
        <w:rPr>
          <w:rFonts w:hint="eastAsia" w:ascii="宋体" w:hAnsi="宋体" w:cs="宋体"/>
          <w:szCs w:val="21"/>
        </w:rPr>
        <w:t>。</w:t>
      </w:r>
    </w:p>
    <w:p>
      <w:pPr>
        <w:pStyle w:val="50"/>
        <w:numPr>
          <w:ilvl w:val="0"/>
          <w:numId w:val="4"/>
        </w:numPr>
        <w:spacing w:line="360" w:lineRule="auto"/>
        <w:ind w:firstLineChars="0"/>
        <w:rPr>
          <w:rFonts w:ascii="宋体" w:hAnsi="宋体" w:cs="宋体"/>
        </w:rPr>
      </w:pPr>
      <w:r>
        <w:rPr>
          <w:rFonts w:hint="eastAsia" w:ascii="宋体" w:hAnsi="宋体" w:cs="宋体"/>
          <w:szCs w:val="21"/>
        </w:rPr>
        <w:t>参与本次综合评审的供应商应认真阅读</w:t>
      </w:r>
      <w:r>
        <w:rPr>
          <w:rFonts w:hint="eastAsia" w:ascii="宋体" w:hAnsi="宋体" w:cs="宋体"/>
          <w:szCs w:val="21"/>
          <w:lang w:eastAsia="zh-TW"/>
        </w:rPr>
        <w:t>、并充分理解</w:t>
      </w:r>
      <w:r>
        <w:rPr>
          <w:rFonts w:hint="eastAsia" w:ascii="宋体" w:hAnsi="宋体" w:cs="宋体"/>
          <w:szCs w:val="21"/>
        </w:rPr>
        <w:t>综合评审</w:t>
      </w:r>
      <w:r>
        <w:rPr>
          <w:rFonts w:hint="eastAsia" w:ascii="宋体" w:hAnsi="宋体" w:cs="宋体"/>
          <w:szCs w:val="21"/>
          <w:lang w:eastAsia="zh-TW"/>
        </w:rPr>
        <w:t>文件的全部内容（包括所有的补充、修改内容重要事项、格式、条款</w:t>
      </w:r>
      <w:r>
        <w:rPr>
          <w:rFonts w:hint="eastAsia" w:ascii="宋体" w:hAnsi="宋体" w:cs="宋体"/>
          <w:szCs w:val="21"/>
        </w:rPr>
        <w:t>、服务要求</w:t>
      </w:r>
      <w:r>
        <w:rPr>
          <w:rFonts w:hint="eastAsia" w:ascii="宋体" w:hAnsi="宋体" w:cs="宋体"/>
          <w:szCs w:val="21"/>
          <w:lang w:eastAsia="zh-TW"/>
        </w:rPr>
        <w:t>和技术规范、参数及要求等）。</w:t>
      </w:r>
      <w:r>
        <w:rPr>
          <w:rFonts w:hint="eastAsia" w:ascii="宋体" w:hAnsi="宋体" w:cs="宋体"/>
          <w:szCs w:val="21"/>
        </w:rPr>
        <w:t>供应商</w:t>
      </w:r>
      <w:r>
        <w:rPr>
          <w:rFonts w:hint="eastAsia" w:ascii="宋体" w:hAnsi="宋体" w:cs="宋体"/>
          <w:szCs w:val="21"/>
          <w:lang w:eastAsia="zh-TW"/>
        </w:rPr>
        <w:t>没有按照综合评审文件要求提交全部资料，或者</w:t>
      </w:r>
      <w:r>
        <w:rPr>
          <w:rFonts w:hint="eastAsia" w:ascii="宋体" w:hAnsi="宋体" w:cs="宋体"/>
          <w:szCs w:val="21"/>
        </w:rPr>
        <w:t>参与项目所上传的</w:t>
      </w:r>
      <w:r>
        <w:rPr>
          <w:rFonts w:hint="eastAsia" w:ascii="宋体" w:hAnsi="宋体" w:cs="宋体"/>
          <w:szCs w:val="21"/>
          <w:lang w:eastAsia="zh-TW"/>
        </w:rPr>
        <w:t>文件没有对综合评审文件在各方面都作出实质性响应是</w:t>
      </w:r>
      <w:r>
        <w:rPr>
          <w:rFonts w:hint="eastAsia" w:ascii="宋体" w:hAnsi="宋体" w:cs="宋体"/>
          <w:szCs w:val="21"/>
        </w:rPr>
        <w:t>供应商</w:t>
      </w:r>
      <w:r>
        <w:rPr>
          <w:rFonts w:hint="eastAsia" w:ascii="宋体" w:hAnsi="宋体" w:cs="宋体"/>
          <w:szCs w:val="21"/>
          <w:lang w:eastAsia="zh-TW"/>
        </w:rPr>
        <w:t>的风险，有可能导致其参与评审项目被拒绝，</w:t>
      </w:r>
      <w:r>
        <w:rPr>
          <w:rFonts w:hint="eastAsia" w:ascii="宋体" w:hAnsi="宋体" w:cs="宋体"/>
          <w:szCs w:val="21"/>
        </w:rPr>
        <w:t>或被认定为无效响应。</w:t>
      </w:r>
    </w:p>
    <w:p>
      <w:pPr>
        <w:pStyle w:val="50"/>
        <w:numPr>
          <w:ilvl w:val="0"/>
          <w:numId w:val="4"/>
        </w:numPr>
        <w:spacing w:line="360" w:lineRule="auto"/>
        <w:ind w:firstLineChars="0"/>
        <w:rPr>
          <w:rFonts w:ascii="宋体" w:hAnsi="宋体" w:cs="宋体"/>
        </w:rPr>
      </w:pPr>
      <w:r>
        <w:rPr>
          <w:rFonts w:hint="eastAsia" w:ascii="宋体" w:hAnsi="宋体" w:cs="宋体"/>
          <w:kern w:val="0"/>
          <w:szCs w:val="21"/>
        </w:rPr>
        <w:t>采购人有权拒绝接受任何不合格的货物或服务，由此产生的费用及相关后果均由成交供应商自行承担。</w:t>
      </w:r>
    </w:p>
    <w:p>
      <w:pPr>
        <w:pStyle w:val="50"/>
        <w:numPr>
          <w:ilvl w:val="0"/>
          <w:numId w:val="4"/>
        </w:numPr>
        <w:spacing w:line="360" w:lineRule="auto"/>
        <w:ind w:firstLineChars="0"/>
        <w:rPr>
          <w:rFonts w:ascii="宋体" w:hAnsi="宋体" w:cs="宋体"/>
        </w:rPr>
      </w:pPr>
      <w:r>
        <w:rPr>
          <w:rFonts w:hint="eastAsia" w:ascii="宋体" w:hAnsi="宋体" w:cs="宋体"/>
        </w:rPr>
        <w:t>供应商认为评审结果损害其权益的，应按照云采链平台相关指引在规定的时间内向采购人或代理机构提交书面质疑，不提交的视为无异议，逾期提交将不予受理。</w:t>
      </w:r>
    </w:p>
    <w:p>
      <w:pPr>
        <w:pStyle w:val="50"/>
        <w:numPr>
          <w:ilvl w:val="0"/>
          <w:numId w:val="4"/>
        </w:numPr>
        <w:spacing w:line="360" w:lineRule="auto"/>
        <w:ind w:firstLineChars="0"/>
        <w:rPr>
          <w:rFonts w:ascii="宋体" w:hAnsi="宋体" w:cs="宋体"/>
        </w:rPr>
      </w:pPr>
      <w:r>
        <w:rPr>
          <w:rFonts w:hint="eastAsia" w:ascii="宋体" w:hAnsi="宋体" w:cs="宋体"/>
          <w:szCs w:val="21"/>
        </w:rPr>
        <w:t>本综合评审公告和综合评审文件的解释权归</w:t>
      </w:r>
      <w:r>
        <w:rPr>
          <w:rFonts w:hint="eastAsia" w:ascii="宋体" w:hAnsi="宋体" w:cs="宋体"/>
          <w:szCs w:val="21"/>
          <w:lang w:eastAsia="zh-TW"/>
        </w:rPr>
        <w:t>“</w:t>
      </w:r>
      <w:r>
        <w:rPr>
          <w:rFonts w:hint="eastAsia" w:ascii="宋体" w:hAnsi="宋体" w:cs="宋体"/>
        </w:rPr>
        <w:t>云采链线上采购一体化平台</w:t>
      </w:r>
      <w:r>
        <w:rPr>
          <w:rFonts w:hint="eastAsia" w:ascii="宋体" w:hAnsi="宋体" w:cs="宋体"/>
          <w:szCs w:val="21"/>
          <w:lang w:eastAsia="zh-TW"/>
        </w:rPr>
        <w:t>”所有。</w:t>
      </w:r>
    </w:p>
    <w:p>
      <w:pPr>
        <w:pStyle w:val="50"/>
        <w:numPr>
          <w:ilvl w:val="0"/>
          <w:numId w:val="3"/>
        </w:numPr>
        <w:spacing w:line="360" w:lineRule="auto"/>
        <w:ind w:firstLineChars="0"/>
        <w:rPr>
          <w:rFonts w:ascii="宋体" w:hAnsi="宋体" w:cs="宋体"/>
        </w:rPr>
      </w:pPr>
      <w:r>
        <w:rPr>
          <w:rFonts w:hint="eastAsia" w:ascii="宋体" w:hAnsi="宋体" w:cs="宋体"/>
          <w:b/>
        </w:rPr>
        <w:t>综合评审文件的澄清或修改</w:t>
      </w:r>
    </w:p>
    <w:p>
      <w:pPr>
        <w:pStyle w:val="50"/>
        <w:numPr>
          <w:ilvl w:val="0"/>
          <w:numId w:val="5"/>
        </w:numPr>
        <w:spacing w:line="360" w:lineRule="auto"/>
        <w:ind w:firstLineChars="0"/>
        <w:rPr>
          <w:rFonts w:ascii="宋体" w:hAnsi="宋体" w:cs="宋体"/>
        </w:rPr>
      </w:pPr>
      <w:r>
        <w:rPr>
          <w:rFonts w:hint="eastAsia" w:ascii="宋体" w:hAnsi="宋体" w:cs="宋体"/>
        </w:rPr>
        <w:t>采购人或者采购代理机构可以对已发出的</w:t>
      </w:r>
      <w:r>
        <w:rPr>
          <w:rFonts w:hint="eastAsia" w:ascii="宋体" w:hAnsi="宋体" w:cs="宋体"/>
          <w:szCs w:val="21"/>
        </w:rPr>
        <w:t>综合评审</w:t>
      </w:r>
      <w:r>
        <w:rPr>
          <w:rFonts w:hint="eastAsia" w:ascii="宋体" w:hAnsi="宋体" w:cs="宋体"/>
        </w:rPr>
        <w:t>文件进行必要的澄清或者修改。澄清或者修改的内容将在云采链平台上发布澄清（更正/变更）公告。</w:t>
      </w:r>
    </w:p>
    <w:p>
      <w:pPr>
        <w:pStyle w:val="50"/>
        <w:numPr>
          <w:ilvl w:val="0"/>
          <w:numId w:val="5"/>
        </w:numPr>
        <w:spacing w:line="360" w:lineRule="auto"/>
        <w:ind w:firstLineChars="0"/>
        <w:rPr>
          <w:rFonts w:ascii="宋体" w:hAnsi="宋体" w:cs="宋体"/>
        </w:rPr>
      </w:pPr>
      <w:r>
        <w:rPr>
          <w:rFonts w:hint="eastAsia" w:ascii="宋体" w:hAnsi="宋体" w:cs="宋体"/>
        </w:rPr>
        <w:t>无论澄清或者修改的内容是否影响</w:t>
      </w:r>
      <w:r>
        <w:rPr>
          <w:rFonts w:hint="eastAsia" w:ascii="宋体" w:hAnsi="宋体" w:cs="宋体"/>
          <w:szCs w:val="21"/>
        </w:rPr>
        <w:t>综合评审</w:t>
      </w:r>
      <w:r>
        <w:rPr>
          <w:rFonts w:hint="eastAsia" w:ascii="宋体" w:hAnsi="宋体" w:cs="宋体"/>
        </w:rPr>
        <w:t>，平台将以短信形式通知所有的报名供应商；报名供应商应按要求履行相应的义务；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宋体" w:hAnsi="宋体" w:cs="宋体"/>
        </w:rPr>
        <w:t>采购人或者采购代理机构应当相应顺延报名的截止时间。</w:t>
      </w:r>
    </w:p>
    <w:p>
      <w:pPr>
        <w:pStyle w:val="50"/>
        <w:numPr>
          <w:ilvl w:val="0"/>
          <w:numId w:val="5"/>
        </w:numPr>
        <w:spacing w:line="360" w:lineRule="auto"/>
        <w:ind w:firstLineChars="0"/>
        <w:rPr>
          <w:rFonts w:ascii="宋体" w:hAnsi="宋体" w:cs="宋体"/>
        </w:rPr>
      </w:pPr>
      <w:r>
        <w:rPr>
          <w:rFonts w:hint="eastAsia" w:ascii="宋体" w:hAnsi="宋体" w:cs="宋体"/>
        </w:rPr>
        <w:t>采购人或者采购代理机构发出的澄清或修改（更正/变更）的内容为</w:t>
      </w:r>
      <w:r>
        <w:rPr>
          <w:rFonts w:hint="eastAsia" w:ascii="宋体" w:hAnsi="宋体" w:cs="宋体"/>
          <w:szCs w:val="21"/>
        </w:rPr>
        <w:t>综合评审</w:t>
      </w:r>
      <w:r>
        <w:rPr>
          <w:rFonts w:hint="eastAsia" w:ascii="宋体" w:hAnsi="宋体" w:cs="宋体"/>
        </w:rPr>
        <w:t>文件的组成部分，并对供应商具有约束力。</w:t>
      </w:r>
    </w:p>
    <w:p>
      <w:pPr>
        <w:pStyle w:val="50"/>
        <w:numPr>
          <w:ilvl w:val="0"/>
          <w:numId w:val="3"/>
        </w:numPr>
        <w:spacing w:line="360" w:lineRule="auto"/>
        <w:ind w:firstLineChars="0"/>
        <w:rPr>
          <w:rStyle w:val="25"/>
          <w:rFonts w:ascii="宋体" w:hAnsi="宋体" w:cs="宋体"/>
          <w:bCs w:val="0"/>
        </w:rPr>
      </w:pPr>
      <w:r>
        <w:rPr>
          <w:rStyle w:val="25"/>
          <w:rFonts w:hint="eastAsia" w:ascii="宋体" w:hAnsi="宋体" w:cs="宋体"/>
          <w:bCs w:val="0"/>
        </w:rPr>
        <w:t>报名要求（</w:t>
      </w:r>
      <w:r>
        <w:rPr>
          <w:rFonts w:hint="eastAsia" w:ascii="宋体" w:hAnsi="宋体" w:cs="宋体"/>
          <w:szCs w:val="21"/>
        </w:rPr>
        <w:t>参与综合评审的</w:t>
      </w:r>
      <w:r>
        <w:rPr>
          <w:rStyle w:val="25"/>
          <w:rFonts w:hint="eastAsia" w:ascii="宋体" w:hAnsi="宋体" w:cs="宋体"/>
          <w:bCs w:val="0"/>
        </w:rPr>
        <w:t>供应商资质要求:</w:t>
      </w:r>
      <w:r>
        <w:rPr>
          <w:rStyle w:val="25"/>
          <w:rFonts w:hint="eastAsia" w:ascii="宋体" w:hAnsi="宋体" w:cs="宋体"/>
          <w:b w:val="0"/>
          <w:szCs w:val="21"/>
        </w:rPr>
        <w:t xml:space="preserve"> 报名时需要提供以下</w:t>
      </w:r>
      <w:r>
        <w:rPr>
          <w:rStyle w:val="25"/>
          <w:rFonts w:hint="eastAsia" w:ascii="宋体" w:hAnsi="宋体" w:cs="宋体"/>
          <w:szCs w:val="21"/>
          <w:u w:val="double"/>
        </w:rPr>
        <w:t>盖章</w:t>
      </w:r>
      <w:r>
        <w:rPr>
          <w:rStyle w:val="25"/>
          <w:rFonts w:hint="eastAsia" w:ascii="宋体" w:hAnsi="宋体" w:cs="宋体"/>
          <w:b w:val="0"/>
          <w:szCs w:val="21"/>
        </w:rPr>
        <w:t>资料，</w:t>
      </w:r>
      <w:r>
        <w:rPr>
          <w:rFonts w:hint="eastAsia" w:ascii="宋体" w:hAnsi="宋体" w:cs="宋体"/>
          <w:szCs w:val="21"/>
        </w:rPr>
        <w:t>并对上传的报名文件资料承担责任</w:t>
      </w:r>
      <w:r>
        <w:rPr>
          <w:rStyle w:val="25"/>
          <w:rFonts w:hint="eastAsia" w:ascii="宋体" w:hAnsi="宋体" w:cs="宋体"/>
          <w:bCs w:val="0"/>
        </w:rPr>
        <w:t>）</w:t>
      </w:r>
    </w:p>
    <w:p>
      <w:pPr>
        <w:pStyle w:val="50"/>
        <w:widowControl/>
        <w:numPr>
          <w:ilvl w:val="0"/>
          <w:numId w:val="6"/>
        </w:numPr>
        <w:spacing w:line="360" w:lineRule="auto"/>
        <w:ind w:left="420" w:leftChars="200" w:firstLineChars="0"/>
        <w:jc w:val="left"/>
        <w:rPr>
          <w:rFonts w:ascii="宋体" w:hAnsi="宋体" w:cs="宋体"/>
          <w:bCs/>
          <w:kern w:val="0"/>
          <w:szCs w:val="21"/>
        </w:rPr>
      </w:pPr>
      <w:r>
        <w:rPr>
          <w:rFonts w:hint="eastAsia" w:ascii="宋体" w:hAnsi="宋体" w:cs="宋体"/>
          <w:bCs/>
          <w:kern w:val="0"/>
          <w:szCs w:val="21"/>
        </w:rPr>
        <w:t>提供在中华人民共和国境内注册的法人或其他组织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50"/>
        <w:widowControl/>
        <w:numPr>
          <w:ilvl w:val="0"/>
          <w:numId w:val="6"/>
        </w:numPr>
        <w:spacing w:line="360" w:lineRule="auto"/>
        <w:ind w:left="420" w:leftChars="200" w:firstLineChars="0"/>
        <w:jc w:val="left"/>
        <w:rPr>
          <w:rFonts w:ascii="宋体" w:hAnsi="宋体" w:cs="宋体"/>
          <w:bCs/>
          <w:kern w:val="0"/>
          <w:szCs w:val="21"/>
        </w:rPr>
      </w:pPr>
      <w:r>
        <w:rPr>
          <w:rFonts w:hint="eastAsia" w:ascii="宋体" w:hAnsi="宋体" w:cs="宋体"/>
          <w:bCs/>
          <w:kern w:val="0"/>
          <w:szCs w:val="21"/>
        </w:rPr>
        <w:t>经办人如是法定代表人，需提供法定代表人证明书及法定代表人身份证复印件，</w:t>
      </w:r>
      <w:r>
        <w:rPr>
          <w:rFonts w:hint="eastAsia" w:ascii="宋体" w:hAnsi="宋体" w:cs="宋体"/>
          <w:b/>
          <w:kern w:val="0"/>
          <w:szCs w:val="21"/>
        </w:rPr>
        <w:t>格式详见附件，</w:t>
      </w:r>
      <w:r>
        <w:rPr>
          <w:rFonts w:hint="eastAsia" w:ascii="宋体" w:hAnsi="宋体" w:cs="宋体"/>
          <w:b/>
          <w:szCs w:val="21"/>
          <w:lang w:bidi="ar"/>
        </w:rPr>
        <w:t>格式详见附件，且须提供法定代表人近三个月（</w:t>
      </w:r>
      <w:r>
        <w:rPr>
          <w:rStyle w:val="78"/>
          <w:sz w:val="21"/>
          <w:szCs w:val="21"/>
          <w:lang w:bidi="ar"/>
        </w:rPr>
        <w:t>2024年01月至2024年03月</w:t>
      </w:r>
      <w:r>
        <w:rPr>
          <w:rFonts w:hint="eastAsia" w:ascii="宋体" w:hAnsi="宋体" w:cs="宋体"/>
          <w:b/>
          <w:szCs w:val="21"/>
          <w:lang w:bidi="ar"/>
        </w:rPr>
        <w:t>）任意一月的缴纳社保材料证明</w:t>
      </w:r>
      <w:r>
        <w:rPr>
          <w:rFonts w:hint="eastAsia" w:ascii="宋体" w:hAnsi="宋体" w:cs="宋体"/>
          <w:b/>
          <w:kern w:val="0"/>
          <w:szCs w:val="21"/>
        </w:rPr>
        <w:t>；</w:t>
      </w:r>
      <w:r>
        <w:rPr>
          <w:rFonts w:hint="eastAsia" w:ascii="宋体" w:hAnsi="宋体" w:cs="宋体"/>
          <w:bCs/>
          <w:kern w:val="0"/>
          <w:szCs w:val="21"/>
        </w:rPr>
        <w:t>经办人如是供应商授权代表，需提供法定代表人证明书、法定代表人身份证复印件、法定代表人授权委托书、授权代表身份证复印件，</w:t>
      </w:r>
      <w:r>
        <w:rPr>
          <w:rFonts w:hint="eastAsia" w:ascii="宋体" w:hAnsi="宋体" w:cs="宋体"/>
          <w:b/>
          <w:kern w:val="0"/>
          <w:szCs w:val="21"/>
        </w:rPr>
        <w:t>格式详见附件，</w:t>
      </w:r>
      <w:r>
        <w:rPr>
          <w:rFonts w:hint="eastAsia" w:ascii="宋体" w:hAnsi="宋体" w:cs="宋体"/>
          <w:b/>
          <w:szCs w:val="21"/>
          <w:lang w:bidi="ar"/>
        </w:rPr>
        <w:t>且须提供供应商授权代表近三个月（</w:t>
      </w:r>
      <w:r>
        <w:rPr>
          <w:rStyle w:val="78"/>
          <w:sz w:val="21"/>
          <w:szCs w:val="21"/>
          <w:lang w:bidi="ar"/>
        </w:rPr>
        <w:t>2024年01月至2024年03月</w:t>
      </w:r>
      <w:r>
        <w:rPr>
          <w:rFonts w:hint="eastAsia" w:ascii="宋体" w:hAnsi="宋体" w:cs="宋体"/>
          <w:b/>
          <w:szCs w:val="21"/>
          <w:lang w:bidi="ar"/>
        </w:rPr>
        <w:t>）任意一月的缴纳社保材料证明</w:t>
      </w:r>
      <w:r>
        <w:rPr>
          <w:rFonts w:hint="eastAsia" w:ascii="宋体" w:hAnsi="宋体" w:cs="宋体"/>
          <w:b/>
          <w:kern w:val="0"/>
          <w:szCs w:val="21"/>
        </w:rPr>
        <w:t>；</w:t>
      </w:r>
    </w:p>
    <w:p>
      <w:pPr>
        <w:pStyle w:val="50"/>
        <w:widowControl/>
        <w:numPr>
          <w:ilvl w:val="0"/>
          <w:numId w:val="6"/>
        </w:numPr>
        <w:spacing w:line="360" w:lineRule="auto"/>
        <w:ind w:left="420" w:leftChars="200" w:firstLineChars="0"/>
        <w:jc w:val="left"/>
        <w:rPr>
          <w:rFonts w:ascii="宋体" w:hAnsi="宋体" w:cs="宋体"/>
          <w:bCs/>
          <w:kern w:val="0"/>
          <w:szCs w:val="21"/>
        </w:rPr>
      </w:pPr>
      <w:r>
        <w:rPr>
          <w:rFonts w:hint="eastAsia" w:ascii="宋体" w:hAnsi="宋体" w:cs="宋体"/>
          <w:bCs/>
          <w:kern w:val="0"/>
          <w:szCs w:val="21"/>
        </w:rPr>
        <w:t>满足《中华人民共和国政府采购法》第二十二条规定；本项目不允许联合参与评审；不允许分包转包；为采购项目提供整体设计、规范编制或者项目管理、监理、检测等服务的供应商，不得再参加该采购项目同一合同项下的其他采购活动；法定代表人或单位负责人与所参投的本项目其他供应商的法定代表人或单位负责人不为同一人且与其他供应商之间不存在直接控股、管理关系；（提供《供应商资格声明函》，</w:t>
      </w:r>
      <w:r>
        <w:rPr>
          <w:rFonts w:hint="eastAsia" w:ascii="宋体" w:hAnsi="宋体" w:cs="宋体"/>
          <w:b/>
          <w:kern w:val="0"/>
          <w:szCs w:val="21"/>
        </w:rPr>
        <w:t>格式见附件</w:t>
      </w:r>
      <w:r>
        <w:rPr>
          <w:rFonts w:hint="eastAsia" w:ascii="宋体" w:hAnsi="宋体" w:cs="宋体"/>
          <w:bCs/>
          <w:kern w:val="0"/>
          <w:szCs w:val="21"/>
        </w:rPr>
        <w:t>）；</w:t>
      </w:r>
    </w:p>
    <w:p>
      <w:pPr>
        <w:pStyle w:val="50"/>
        <w:widowControl/>
        <w:numPr>
          <w:ilvl w:val="0"/>
          <w:numId w:val="6"/>
        </w:numPr>
        <w:spacing w:line="360" w:lineRule="auto"/>
        <w:ind w:left="420" w:leftChars="200" w:firstLineChars="0"/>
        <w:jc w:val="left"/>
        <w:rPr>
          <w:rFonts w:ascii="宋体" w:hAnsi="宋体" w:cs="宋体"/>
          <w:bCs/>
          <w:kern w:val="0"/>
          <w:szCs w:val="21"/>
        </w:rPr>
      </w:pPr>
      <w:r>
        <w:rPr>
          <w:rFonts w:hint="eastAsia" w:ascii="宋体" w:hAnsi="宋体" w:cs="宋体"/>
          <w:bCs/>
          <w:kern w:val="0"/>
          <w:szCs w:val="21"/>
        </w:rPr>
        <w:t>供应商知悉政府采购违法行为风险，提供采购违法行为风险知悉确认书，</w:t>
      </w:r>
      <w:r>
        <w:rPr>
          <w:rFonts w:hint="eastAsia" w:ascii="宋体" w:hAnsi="宋体" w:cs="宋体"/>
          <w:b/>
          <w:kern w:val="0"/>
          <w:szCs w:val="21"/>
        </w:rPr>
        <w:t>格式详见附件。</w:t>
      </w:r>
    </w:p>
    <w:p>
      <w:pPr>
        <w:pStyle w:val="50"/>
        <w:numPr>
          <w:ilvl w:val="0"/>
          <w:numId w:val="3"/>
        </w:numPr>
        <w:spacing w:line="360" w:lineRule="auto"/>
        <w:ind w:firstLineChars="0"/>
        <w:rPr>
          <w:rStyle w:val="25"/>
          <w:rFonts w:ascii="宋体" w:hAnsi="宋体" w:cs="宋体"/>
          <w:bCs w:val="0"/>
        </w:rPr>
      </w:pPr>
      <w:r>
        <w:rPr>
          <w:rStyle w:val="25"/>
          <w:rFonts w:hint="eastAsia" w:ascii="宋体" w:hAnsi="宋体" w:cs="宋体"/>
          <w:bCs w:val="0"/>
        </w:rPr>
        <w:t>报价要求</w:t>
      </w:r>
      <w:r>
        <w:rPr>
          <w:rStyle w:val="25"/>
          <w:rFonts w:hint="eastAsia" w:ascii="宋体" w:hAnsi="宋体" w:cs="宋体"/>
          <w:szCs w:val="21"/>
        </w:rPr>
        <w:t>（</w:t>
      </w:r>
      <w:r>
        <w:rPr>
          <w:rStyle w:val="25"/>
          <w:rFonts w:hint="eastAsia" w:ascii="宋体" w:hAnsi="宋体" w:cs="宋体"/>
          <w:b w:val="0"/>
          <w:szCs w:val="21"/>
        </w:rPr>
        <w:t>报价时需要提供以下</w:t>
      </w:r>
      <w:r>
        <w:rPr>
          <w:rStyle w:val="25"/>
          <w:rFonts w:hint="eastAsia" w:ascii="宋体" w:hAnsi="宋体" w:cs="宋体"/>
          <w:szCs w:val="21"/>
          <w:u w:val="double"/>
        </w:rPr>
        <w:t>盖章</w:t>
      </w:r>
      <w:r>
        <w:rPr>
          <w:rStyle w:val="25"/>
          <w:rFonts w:hint="eastAsia" w:ascii="宋体" w:hAnsi="宋体" w:cs="宋体"/>
          <w:b w:val="0"/>
          <w:szCs w:val="21"/>
        </w:rPr>
        <w:t>资料，</w:t>
      </w:r>
      <w:r>
        <w:rPr>
          <w:rFonts w:hint="eastAsia" w:ascii="宋体" w:hAnsi="宋体" w:cs="宋体"/>
          <w:szCs w:val="21"/>
        </w:rPr>
        <w:t>并对上传的响应文件资料承担责任</w:t>
      </w:r>
      <w:r>
        <w:rPr>
          <w:rStyle w:val="25"/>
          <w:rFonts w:hint="eastAsia" w:ascii="宋体" w:hAnsi="宋体" w:cs="宋体"/>
          <w:szCs w:val="21"/>
        </w:rPr>
        <w:t>）</w:t>
      </w:r>
    </w:p>
    <w:p>
      <w:pPr>
        <w:pStyle w:val="67"/>
        <w:widowControl/>
        <w:numPr>
          <w:ilvl w:val="0"/>
          <w:numId w:val="7"/>
        </w:numPr>
        <w:spacing w:line="360" w:lineRule="auto"/>
        <w:ind w:firstLineChars="0"/>
        <w:rPr>
          <w:rFonts w:ascii="宋体" w:hAnsi="宋体" w:cs="宋体"/>
        </w:rPr>
      </w:pPr>
      <w:r>
        <w:rPr>
          <w:rFonts w:hint="eastAsia" w:ascii="宋体" w:hAnsi="宋体" w:cs="宋体"/>
          <w:szCs w:val="21"/>
        </w:rPr>
        <w:t>通过报名供应商应根据本公告要求，在规定的时间内对采购项目进行响应，同时按本公告要求完整</w:t>
      </w:r>
      <w:r>
        <w:rPr>
          <w:rFonts w:hint="eastAsia" w:ascii="宋体" w:hAnsi="宋体" w:cs="宋体"/>
          <w:szCs w:val="21"/>
          <w:lang w:eastAsia="zh-TW"/>
        </w:rPr>
        <w:t>、真实、准确地</w:t>
      </w:r>
      <w:r>
        <w:rPr>
          <w:rFonts w:hint="eastAsia" w:ascii="宋体" w:hAnsi="宋体" w:cs="宋体"/>
          <w:szCs w:val="21"/>
        </w:rPr>
        <w:t>填写并上传相应报价附件（</w:t>
      </w:r>
      <w:r>
        <w:rPr>
          <w:rFonts w:hint="eastAsia" w:ascii="宋体" w:hAnsi="宋体" w:cs="宋体"/>
          <w:b/>
          <w:szCs w:val="21"/>
        </w:rPr>
        <w:t>上传</w:t>
      </w:r>
      <w:r>
        <w:rPr>
          <w:rFonts w:hint="eastAsia" w:ascii="宋体" w:hAnsi="宋体" w:cs="宋体"/>
          <w:b/>
        </w:rPr>
        <w:t>报价表、</w:t>
      </w:r>
      <w:r>
        <w:rPr>
          <w:rFonts w:hint="eastAsia" w:ascii="宋体" w:hAnsi="宋体" w:cs="宋体"/>
          <w:b/>
          <w:kern w:val="0"/>
          <w:szCs w:val="21"/>
          <w:lang w:bidi="ar"/>
        </w:rPr>
        <w:t>响应文件和评分标准</w:t>
      </w:r>
      <w:r>
        <w:rPr>
          <w:rFonts w:hint="eastAsia" w:ascii="宋体" w:hAnsi="宋体" w:cs="宋体"/>
          <w:b/>
          <w:szCs w:val="21"/>
        </w:rPr>
        <w:t>提及的相关证明材料等</w:t>
      </w:r>
      <w:r>
        <w:rPr>
          <w:rFonts w:hint="eastAsia" w:ascii="宋体" w:hAnsi="宋体" w:cs="宋体"/>
          <w:szCs w:val="21"/>
        </w:rPr>
        <w:t>）。</w:t>
      </w:r>
    </w:p>
    <w:p>
      <w:pPr>
        <w:pStyle w:val="67"/>
        <w:widowControl/>
        <w:numPr>
          <w:ilvl w:val="0"/>
          <w:numId w:val="7"/>
        </w:numPr>
        <w:spacing w:line="360" w:lineRule="auto"/>
        <w:ind w:firstLineChars="0"/>
        <w:rPr>
          <w:rFonts w:ascii="宋体" w:hAnsi="宋体" w:cs="宋体"/>
        </w:rPr>
      </w:pPr>
      <w:r>
        <w:rPr>
          <w:rFonts w:hint="eastAsia" w:ascii="宋体" w:hAnsi="宋体" w:cs="宋体"/>
        </w:rPr>
        <w:t>供应商须在系统报价结束后2024年</w:t>
      </w:r>
      <w:r>
        <w:rPr>
          <w:rFonts w:hint="eastAsia" w:ascii="宋体" w:hAnsi="宋体" w:cs="宋体"/>
          <w:lang w:val="en-US" w:eastAsia="zh-CN"/>
        </w:rPr>
        <w:t>5</w:t>
      </w:r>
      <w:r>
        <w:rPr>
          <w:rFonts w:hint="eastAsia" w:ascii="宋体" w:hAnsi="宋体" w:cs="宋体"/>
        </w:rPr>
        <w:t>月</w:t>
      </w:r>
      <w:r>
        <w:rPr>
          <w:rFonts w:hint="eastAsia" w:ascii="宋体" w:hAnsi="宋体" w:cs="宋体"/>
          <w:lang w:val="en-US" w:eastAsia="zh-CN"/>
        </w:rPr>
        <w:t>7</w:t>
      </w:r>
      <w:r>
        <w:rPr>
          <w:rFonts w:hint="eastAsia" w:ascii="宋体" w:hAnsi="宋体" w:cs="宋体"/>
        </w:rPr>
        <w:t>日前提供所有响应文件原件1份（请自行密封邮寄）邮寄到以下地址：深圳市福田区竹子林中国经贸大厦10楼，联系人：李小姐，联系方式：</w:t>
      </w:r>
      <w:r>
        <w:rPr>
          <w:rFonts w:hint="eastAsia" w:ascii="宋体" w:hAnsi="宋体" w:cs="宋体"/>
          <w:szCs w:val="21"/>
          <w:shd w:val="clear" w:color="auto" w:fill="FFFFFF"/>
        </w:rPr>
        <w:t>0755-88377572-2334</w:t>
      </w:r>
      <w:r>
        <w:rPr>
          <w:rFonts w:hint="eastAsia" w:ascii="宋体" w:hAnsi="宋体" w:cs="宋体"/>
        </w:rPr>
        <w:t>。</w:t>
      </w:r>
      <w:r>
        <w:rPr>
          <w:rFonts w:hint="eastAsia" w:ascii="宋体" w:hAnsi="宋体" w:cs="宋体"/>
          <w:b/>
          <w:bCs/>
          <w:szCs w:val="21"/>
        </w:rPr>
        <w:t>邮寄文件不接受到付，到付的邮寄文件将拒收，所产生的一切后果供应商自行承担。</w:t>
      </w:r>
    </w:p>
    <w:p>
      <w:pPr>
        <w:pStyle w:val="67"/>
        <w:widowControl/>
        <w:numPr>
          <w:ilvl w:val="0"/>
          <w:numId w:val="7"/>
        </w:numPr>
        <w:spacing w:line="360" w:lineRule="auto"/>
        <w:ind w:firstLineChars="0"/>
        <w:rPr>
          <w:rFonts w:ascii="宋体" w:hAnsi="宋体" w:cs="宋体"/>
        </w:rPr>
      </w:pPr>
      <w:r>
        <w:rPr>
          <w:rFonts w:hint="eastAsia" w:ascii="宋体" w:hAnsi="宋体" w:cs="宋体"/>
          <w:b/>
          <w:color w:val="000000"/>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50"/>
        <w:numPr>
          <w:ilvl w:val="0"/>
          <w:numId w:val="3"/>
        </w:numPr>
        <w:spacing w:line="360" w:lineRule="auto"/>
        <w:ind w:firstLineChars="0"/>
        <w:rPr>
          <w:rStyle w:val="25"/>
          <w:rFonts w:ascii="宋体" w:hAnsi="宋体" w:cs="宋体"/>
          <w:bCs w:val="0"/>
        </w:rPr>
      </w:pPr>
      <w:r>
        <w:rPr>
          <w:rStyle w:val="25"/>
          <w:rFonts w:hint="eastAsia" w:ascii="宋体" w:hAnsi="宋体" w:cs="宋体"/>
          <w:bCs w:val="0"/>
        </w:rPr>
        <w:t>确定成交候选人（</w:t>
      </w:r>
      <w:r>
        <w:rPr>
          <w:rStyle w:val="25"/>
          <w:rFonts w:hint="eastAsia" w:ascii="宋体" w:hAnsi="宋体" w:cs="宋体"/>
          <w:bCs w:val="0"/>
          <w:u w:val="double"/>
        </w:rPr>
        <w:t>供应商须在系统报价环节上传响应文件并报价，响应文件请按照本文件第三章响应文件模板进行编制后打印，每页加盖公章后扫描成一个PDF上传即可</w:t>
      </w:r>
      <w:r>
        <w:rPr>
          <w:rStyle w:val="25"/>
          <w:rFonts w:hint="eastAsia" w:ascii="宋体" w:hAnsi="宋体" w:cs="宋体"/>
          <w:bCs w:val="0"/>
        </w:rPr>
        <w:t>）</w:t>
      </w:r>
    </w:p>
    <w:p>
      <w:pPr>
        <w:pStyle w:val="50"/>
        <w:numPr>
          <w:ilvl w:val="0"/>
          <w:numId w:val="8"/>
        </w:numPr>
        <w:spacing w:line="360" w:lineRule="auto"/>
        <w:ind w:left="839" w:firstLineChars="0"/>
        <w:rPr>
          <w:rFonts w:ascii="宋体" w:hAnsi="宋体" w:cs="宋体"/>
          <w:szCs w:val="21"/>
        </w:rPr>
      </w:pPr>
      <w:r>
        <w:rPr>
          <w:rFonts w:hint="eastAsia" w:ascii="宋体" w:hAnsi="宋体" w:cs="宋体"/>
          <w:szCs w:val="21"/>
        </w:rPr>
        <w:t>本项目以综合评分法确定成交供应商，参与评审的专家按照评分标准以及权重分配的规定就各个响应供应商的技术状况、商务状况及其对综合评审文件要求的响应情况进行评议和比较，评出其技术评分和商务评分、价格评分相加得出其综合得分，推荐综合得分排名第一的响应供应商为第一成交候选人，排名第二的响应供应商为第二成交候选人，以此类推。</w:t>
      </w:r>
    </w:p>
    <w:p>
      <w:pPr>
        <w:pStyle w:val="50"/>
        <w:numPr>
          <w:ilvl w:val="0"/>
          <w:numId w:val="3"/>
        </w:numPr>
        <w:spacing w:line="360" w:lineRule="auto"/>
        <w:ind w:firstLineChars="0"/>
        <w:rPr>
          <w:rFonts w:ascii="宋体" w:hAnsi="宋体" w:cs="宋体"/>
          <w:b/>
          <w:szCs w:val="21"/>
        </w:rPr>
      </w:pPr>
      <w:r>
        <w:rPr>
          <w:rFonts w:hint="eastAsia" w:ascii="宋体" w:hAnsi="宋体" w:cs="宋体"/>
          <w:b/>
          <w:szCs w:val="21"/>
        </w:rPr>
        <w:t>无效响应</w:t>
      </w:r>
    </w:p>
    <w:p>
      <w:pPr>
        <w:pStyle w:val="50"/>
        <w:numPr>
          <w:ilvl w:val="0"/>
          <w:numId w:val="9"/>
        </w:numPr>
        <w:spacing w:line="360" w:lineRule="auto"/>
        <w:ind w:left="839" w:firstLineChars="0"/>
        <w:rPr>
          <w:rFonts w:ascii="宋体" w:hAnsi="宋体" w:cs="宋体"/>
          <w:szCs w:val="21"/>
        </w:rPr>
      </w:pPr>
      <w:r>
        <w:rPr>
          <w:rFonts w:hint="eastAsia" w:ascii="宋体" w:hAnsi="宋体" w:cs="宋体"/>
          <w:szCs w:val="21"/>
        </w:rPr>
        <w:t>响应供应商报价超过最高限价或低于最低限价或超过项目对应产品单项最高限价的视为无效响应。</w:t>
      </w:r>
    </w:p>
    <w:p>
      <w:pPr>
        <w:pStyle w:val="50"/>
        <w:numPr>
          <w:ilvl w:val="0"/>
          <w:numId w:val="9"/>
        </w:numPr>
        <w:spacing w:line="360" w:lineRule="auto"/>
        <w:ind w:left="839" w:firstLineChars="0"/>
        <w:rPr>
          <w:rFonts w:ascii="宋体" w:hAnsi="宋体" w:cs="宋体"/>
          <w:szCs w:val="21"/>
        </w:rPr>
      </w:pPr>
      <w:r>
        <w:rPr>
          <w:rFonts w:hint="eastAsia" w:ascii="宋体" w:hAnsi="宋体" w:cs="宋体"/>
          <w:szCs w:val="21"/>
        </w:rPr>
        <w:t>参与综合评审的</w:t>
      </w:r>
      <w:r>
        <w:rPr>
          <w:rFonts w:hint="eastAsia" w:ascii="宋体" w:hAnsi="宋体" w:cs="宋体"/>
          <w:bCs/>
          <w:szCs w:val="21"/>
        </w:rPr>
        <w:t>供应商须提供本项目要求的资质文件，如果不按公告规定或</w:t>
      </w:r>
      <w:r>
        <w:rPr>
          <w:rFonts w:hint="eastAsia" w:ascii="宋体" w:hAnsi="宋体" w:cs="宋体"/>
          <w:szCs w:val="21"/>
        </w:rPr>
        <w:t>综合评审</w:t>
      </w:r>
      <w:r>
        <w:rPr>
          <w:rFonts w:hint="eastAsia" w:ascii="宋体" w:hAnsi="宋体" w:cs="宋体"/>
          <w:bCs/>
          <w:szCs w:val="21"/>
        </w:rPr>
        <w:t>文件要求等相关规定提供符合要求的资质文件，将被视为无效响应。</w:t>
      </w:r>
    </w:p>
    <w:p>
      <w:pPr>
        <w:pStyle w:val="50"/>
        <w:numPr>
          <w:ilvl w:val="0"/>
          <w:numId w:val="9"/>
        </w:numPr>
        <w:spacing w:line="360" w:lineRule="auto"/>
        <w:ind w:left="839" w:firstLineChars="0"/>
        <w:rPr>
          <w:rFonts w:ascii="宋体" w:hAnsi="宋体" w:cs="宋体"/>
          <w:szCs w:val="21"/>
        </w:rPr>
      </w:pPr>
      <w:r>
        <w:rPr>
          <w:rFonts w:hint="eastAsia" w:ascii="宋体" w:hAnsi="宋体" w:cs="宋体"/>
          <w:szCs w:val="21"/>
        </w:rPr>
        <w:t>参与综合评审的</w:t>
      </w:r>
      <w:r>
        <w:rPr>
          <w:rFonts w:hint="eastAsia" w:ascii="宋体" w:hAnsi="宋体" w:cs="宋体"/>
          <w:bCs/>
          <w:szCs w:val="21"/>
        </w:rPr>
        <w:t>供应商须对本项目采购内容进行整体响应，任何只对其中一部分内容进行的响应都被视为无效响应。</w:t>
      </w:r>
    </w:p>
    <w:p>
      <w:pPr>
        <w:pStyle w:val="50"/>
        <w:numPr>
          <w:ilvl w:val="0"/>
          <w:numId w:val="9"/>
        </w:numPr>
        <w:spacing w:line="360" w:lineRule="auto"/>
        <w:ind w:left="839" w:firstLineChars="0"/>
        <w:rPr>
          <w:rFonts w:ascii="宋体" w:hAnsi="宋体" w:cs="宋体"/>
          <w:szCs w:val="21"/>
        </w:rPr>
      </w:pPr>
      <w:r>
        <w:rPr>
          <w:rFonts w:hint="eastAsia" w:ascii="宋体" w:hAnsi="宋体" w:cs="宋体"/>
          <w:u w:val="double"/>
        </w:rPr>
        <w:t>所有参与评审提供的响应文件，供应商落款的文件必须加盖供应商公章，否则视为无效响应。</w:t>
      </w:r>
    </w:p>
    <w:p>
      <w:pPr>
        <w:pStyle w:val="50"/>
        <w:numPr>
          <w:ilvl w:val="0"/>
          <w:numId w:val="9"/>
        </w:numPr>
        <w:spacing w:line="360" w:lineRule="auto"/>
        <w:ind w:left="839" w:firstLineChars="0"/>
        <w:rPr>
          <w:rFonts w:ascii="宋体" w:hAnsi="宋体" w:cs="宋体"/>
          <w:szCs w:val="21"/>
        </w:rPr>
      </w:pPr>
      <w:r>
        <w:rPr>
          <w:rFonts w:hint="eastAsia" w:ascii="宋体" w:hAnsi="宋体" w:cs="宋体"/>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ascii="宋体" w:hAnsi="宋体" w:cs="宋体"/>
          <w:color w:val="000000" w:themeColor="text1"/>
          <w:szCs w:val="21"/>
          <w14:textFill>
            <w14:solidFill>
              <w14:schemeClr w14:val="tx1"/>
            </w14:solidFill>
          </w14:textFill>
        </w:rPr>
        <w:t>不接受总价优惠折扣形式的报价，供应商应将对项目的优惠直接在清单报价中体现出来。</w:t>
      </w:r>
      <w:r>
        <w:rPr>
          <w:rFonts w:hint="eastAsia" w:ascii="宋体" w:hAnsi="宋体" w:cs="宋体"/>
        </w:rPr>
        <w:t>如果供应商不接受对其错误的更正，其报价将被视为无效报价。</w:t>
      </w:r>
    </w:p>
    <w:p>
      <w:pPr>
        <w:pStyle w:val="50"/>
        <w:numPr>
          <w:ilvl w:val="0"/>
          <w:numId w:val="9"/>
        </w:numPr>
        <w:spacing w:line="360" w:lineRule="auto"/>
        <w:ind w:left="839" w:firstLineChars="0"/>
        <w:rPr>
          <w:rFonts w:ascii="宋体" w:hAnsi="宋体" w:cs="宋体"/>
          <w:szCs w:val="21"/>
        </w:rPr>
      </w:pPr>
      <w:r>
        <w:rPr>
          <w:rFonts w:hint="eastAsia" w:ascii="宋体" w:hAnsi="宋体" w:cs="宋体"/>
          <w:b/>
          <w:bCs/>
          <w:u w:val="double"/>
        </w:rPr>
        <w:t>按有关法律、法规、规章属于响应无效的。</w:t>
      </w:r>
    </w:p>
    <w:p>
      <w:pPr>
        <w:pStyle w:val="50"/>
        <w:numPr>
          <w:ilvl w:val="0"/>
          <w:numId w:val="9"/>
        </w:numPr>
        <w:spacing w:line="360" w:lineRule="auto"/>
        <w:ind w:left="839" w:firstLineChars="0"/>
        <w:rPr>
          <w:rFonts w:ascii="宋体" w:hAnsi="宋体" w:cs="宋体"/>
          <w:szCs w:val="21"/>
        </w:rPr>
      </w:pPr>
      <w:r>
        <w:rPr>
          <w:rFonts w:hint="eastAsia" w:ascii="宋体" w:hAnsi="宋体" w:cs="宋体"/>
          <w:b/>
          <w:szCs w:val="21"/>
        </w:rPr>
        <w:t>有下列情形之一的，视为串通参与项目，其响应无效：</w:t>
      </w:r>
    </w:p>
    <w:p>
      <w:pPr>
        <w:pStyle w:val="50"/>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存在单位负责人为同一人或存在控股、管理关系的不同单位参与同一综合评审项目；</w:t>
      </w:r>
    </w:p>
    <w:p>
      <w:pPr>
        <w:pStyle w:val="50"/>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不同供应商的响应文件由同一单位或者个人编制；</w:t>
      </w:r>
    </w:p>
    <w:p>
      <w:pPr>
        <w:pStyle w:val="50"/>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不同供应商委托同一单位或者个人办理综合评审事宜；</w:t>
      </w:r>
    </w:p>
    <w:p>
      <w:pPr>
        <w:pStyle w:val="50"/>
        <w:widowControl/>
        <w:numPr>
          <w:ilvl w:val="2"/>
          <w:numId w:val="10"/>
        </w:numPr>
        <w:spacing w:line="360" w:lineRule="auto"/>
        <w:ind w:firstLineChars="0"/>
        <w:jc w:val="left"/>
        <w:rPr>
          <w:rFonts w:ascii="宋体" w:hAnsi="宋体" w:cs="宋体"/>
          <w:b/>
          <w:bCs/>
          <w:szCs w:val="21"/>
        </w:rPr>
      </w:pPr>
      <w:r>
        <w:rPr>
          <w:rFonts w:hint="eastAsia" w:ascii="宋体" w:hAnsi="宋体" w:cs="宋体"/>
          <w:b/>
          <w:bCs/>
          <w:szCs w:val="21"/>
        </w:rPr>
        <w:t>不同供应商使用同一IP地址参与综合评审；</w:t>
      </w:r>
    </w:p>
    <w:p>
      <w:pPr>
        <w:pStyle w:val="50"/>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不同供应商的响应文件载明的项目管理成员或者联系人员为同一人；</w:t>
      </w:r>
    </w:p>
    <w:p>
      <w:pPr>
        <w:pStyle w:val="50"/>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不同供应商的响应文件异常一致或者报价呈规律性差异；</w:t>
      </w:r>
    </w:p>
    <w:p>
      <w:pPr>
        <w:pStyle w:val="50"/>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不同供应商的响应文件相互混淆；</w:t>
      </w:r>
    </w:p>
    <w:p>
      <w:pPr>
        <w:pStyle w:val="50"/>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不同供应商的平台使用费从同一单位或者个人的账户转出。</w:t>
      </w:r>
    </w:p>
    <w:p>
      <w:pPr>
        <w:pStyle w:val="50"/>
        <w:numPr>
          <w:ilvl w:val="0"/>
          <w:numId w:val="3"/>
        </w:numPr>
        <w:spacing w:line="360" w:lineRule="auto"/>
        <w:ind w:firstLineChars="0"/>
        <w:rPr>
          <w:rFonts w:ascii="宋体" w:hAnsi="宋体" w:cs="宋体"/>
          <w:szCs w:val="21"/>
        </w:rPr>
      </w:pPr>
      <w:r>
        <w:rPr>
          <w:rFonts w:hint="eastAsia" w:ascii="宋体" w:hAnsi="宋体" w:cs="宋体"/>
          <w:b/>
          <w:szCs w:val="21"/>
        </w:rPr>
        <w:t>综合评审活动失败</w:t>
      </w:r>
    </w:p>
    <w:p>
      <w:pPr>
        <w:pStyle w:val="50"/>
        <w:numPr>
          <w:ilvl w:val="0"/>
          <w:numId w:val="11"/>
        </w:numPr>
        <w:spacing w:line="360" w:lineRule="auto"/>
        <w:ind w:left="420" w:leftChars="200" w:firstLineChars="0"/>
        <w:rPr>
          <w:rFonts w:ascii="宋体" w:hAnsi="宋体" w:cs="宋体"/>
          <w:color w:val="000000"/>
        </w:rPr>
      </w:pPr>
      <w:r>
        <w:rPr>
          <w:rFonts w:hint="eastAsia" w:ascii="宋体" w:hAnsi="宋体" w:cs="宋体"/>
          <w:color w:val="000000"/>
          <w:szCs w:val="21"/>
        </w:rPr>
        <w:t>出现下列情况的，本项目综合评审活动失败：</w:t>
      </w:r>
    </w:p>
    <w:p>
      <w:pPr>
        <w:pStyle w:val="50"/>
        <w:numPr>
          <w:ilvl w:val="0"/>
          <w:numId w:val="12"/>
        </w:numPr>
        <w:spacing w:line="360" w:lineRule="auto"/>
        <w:ind w:left="1260" w:leftChars="600" w:firstLineChars="0"/>
        <w:rPr>
          <w:rFonts w:ascii="宋体" w:hAnsi="宋体" w:cs="宋体"/>
          <w:color w:val="000000"/>
        </w:rPr>
      </w:pPr>
      <w:r>
        <w:rPr>
          <w:rFonts w:hint="eastAsia" w:ascii="宋体" w:hAnsi="宋体" w:cs="宋体"/>
          <w:color w:val="000000"/>
        </w:rPr>
        <w:t>报名供应商不足3家；</w:t>
      </w:r>
    </w:p>
    <w:p>
      <w:pPr>
        <w:pStyle w:val="50"/>
        <w:numPr>
          <w:ilvl w:val="0"/>
          <w:numId w:val="12"/>
        </w:numPr>
        <w:spacing w:line="360" w:lineRule="auto"/>
        <w:ind w:left="1260" w:leftChars="600" w:firstLineChars="0"/>
        <w:rPr>
          <w:rFonts w:ascii="宋体" w:hAnsi="宋体" w:cs="宋体"/>
          <w:color w:val="000000"/>
          <w:szCs w:val="21"/>
        </w:rPr>
      </w:pPr>
      <w:r>
        <w:rPr>
          <w:rFonts w:hint="eastAsia" w:ascii="宋体" w:hAnsi="宋体" w:cs="宋体"/>
          <w:color w:val="000000"/>
        </w:rPr>
        <w:t>有效参与评审的供应商不足3家。</w:t>
      </w:r>
    </w:p>
    <w:p>
      <w:pPr>
        <w:pStyle w:val="50"/>
        <w:spacing w:line="360" w:lineRule="auto"/>
        <w:ind w:left="420" w:leftChars="200" w:firstLine="0" w:firstLineChars="0"/>
        <w:rPr>
          <w:rFonts w:ascii="宋体" w:hAnsi="宋体" w:cs="宋体"/>
          <w:szCs w:val="21"/>
        </w:rPr>
      </w:pPr>
      <w:r>
        <w:rPr>
          <w:rFonts w:hint="eastAsia" w:ascii="宋体" w:hAnsi="宋体" w:cs="宋体"/>
          <w:szCs w:val="21"/>
        </w:rPr>
        <w:t>2.出现影响采购公正的违法、违规行为的；</w:t>
      </w:r>
    </w:p>
    <w:p>
      <w:pPr>
        <w:pStyle w:val="50"/>
        <w:spacing w:line="360" w:lineRule="auto"/>
        <w:ind w:left="420" w:leftChars="200" w:firstLine="0" w:firstLineChars="0"/>
        <w:rPr>
          <w:rFonts w:ascii="宋体" w:hAnsi="宋体" w:cs="宋体"/>
          <w:szCs w:val="21"/>
        </w:rPr>
      </w:pPr>
      <w:r>
        <w:rPr>
          <w:rFonts w:hint="eastAsia" w:ascii="宋体" w:hAnsi="宋体" w:cs="宋体"/>
          <w:szCs w:val="21"/>
        </w:rPr>
        <w:t>3.因重大变故，采购任务取消的；</w:t>
      </w:r>
    </w:p>
    <w:p>
      <w:pPr>
        <w:pStyle w:val="50"/>
        <w:numPr>
          <w:ilvl w:val="0"/>
          <w:numId w:val="3"/>
        </w:numPr>
        <w:spacing w:line="360" w:lineRule="auto"/>
        <w:ind w:firstLineChars="0"/>
        <w:rPr>
          <w:rFonts w:ascii="宋体" w:hAnsi="宋体" w:cs="宋体"/>
          <w:b/>
          <w:szCs w:val="21"/>
        </w:rPr>
      </w:pPr>
      <w:r>
        <w:rPr>
          <w:rFonts w:hint="eastAsia" w:ascii="宋体" w:hAnsi="宋体" w:cs="宋体"/>
          <w:b/>
          <w:szCs w:val="21"/>
        </w:rPr>
        <w:t>使用费</w:t>
      </w:r>
    </w:p>
    <w:p>
      <w:pPr>
        <w:pStyle w:val="50"/>
        <w:spacing w:line="360" w:lineRule="auto"/>
        <w:ind w:left="839" w:hanging="420" w:firstLineChars="0"/>
        <w:rPr>
          <w:rFonts w:ascii="宋体" w:hAnsi="宋体" w:cs="宋体"/>
          <w:szCs w:val="21"/>
        </w:rPr>
      </w:pPr>
      <w:r>
        <w:rPr>
          <w:rFonts w:hint="eastAsia" w:ascii="宋体" w:hAnsi="宋体" w:cs="宋体"/>
          <w:szCs w:val="21"/>
        </w:rPr>
        <w:t>1.成交供应商须向平台服务商云采链线上采购一体化平台缴纳平台使用费，金额为成交金额的1.5%（四舍五入取整数）。</w:t>
      </w:r>
    </w:p>
    <w:p>
      <w:pPr>
        <w:pStyle w:val="50"/>
        <w:spacing w:line="360" w:lineRule="auto"/>
        <w:ind w:left="839" w:hanging="420" w:firstLineChars="0"/>
        <w:rPr>
          <w:rFonts w:ascii="宋体" w:hAnsi="宋体" w:cs="宋体"/>
          <w:szCs w:val="21"/>
        </w:rPr>
      </w:pPr>
      <w:r>
        <w:rPr>
          <w:rFonts w:hint="eastAsia" w:ascii="宋体" w:hAnsi="宋体" w:cs="宋体"/>
          <w:szCs w:val="21"/>
        </w:rPr>
        <w:t>2.成交供应商无正当理由放弃成交资格的必须按综合评审公告等相关规定缴纳相应的平台使用费。</w:t>
      </w:r>
    </w:p>
    <w:p>
      <w:pPr>
        <w:pStyle w:val="50"/>
        <w:spacing w:line="360" w:lineRule="auto"/>
        <w:ind w:left="839" w:hanging="420" w:firstLineChars="0"/>
        <w:rPr>
          <w:rFonts w:ascii="宋体" w:hAnsi="宋体" w:cs="宋体"/>
          <w:szCs w:val="21"/>
        </w:rPr>
      </w:pPr>
      <w:r>
        <w:rPr>
          <w:rFonts w:hint="eastAsia" w:ascii="宋体" w:hAnsi="宋体" w:cs="宋体"/>
          <w:szCs w:val="21"/>
        </w:rPr>
        <w:t>3.如确实因不可抗力放弃成交资格的，应在不可抗力发生后三个工作日内予以通知采购代理机构并提供相关的证明；如逾期，采购代理机构不予退还平台使用费。</w:t>
      </w:r>
    </w:p>
    <w:p>
      <w:pPr>
        <w:pStyle w:val="50"/>
        <w:widowControl/>
        <w:numPr>
          <w:ilvl w:val="0"/>
          <w:numId w:val="2"/>
        </w:numPr>
        <w:spacing w:line="360" w:lineRule="auto"/>
        <w:ind w:firstLineChars="0"/>
        <w:jc w:val="left"/>
        <w:rPr>
          <w:rFonts w:ascii="宋体" w:hAnsi="宋体" w:cs="宋体"/>
          <w:b/>
        </w:rPr>
      </w:pPr>
      <w:r>
        <w:rPr>
          <w:rFonts w:hint="eastAsia" w:ascii="宋体" w:hAnsi="宋体" w:cs="宋体"/>
          <w:b/>
        </w:rPr>
        <w:t>联系方式</w:t>
      </w:r>
    </w:p>
    <w:p>
      <w:pPr>
        <w:pStyle w:val="50"/>
        <w:widowControl/>
        <w:spacing w:line="360" w:lineRule="auto"/>
        <w:ind w:left="420" w:firstLine="0" w:firstLineChars="0"/>
        <w:jc w:val="left"/>
        <w:rPr>
          <w:rFonts w:ascii="宋体" w:hAnsi="宋体" w:cs="宋体"/>
        </w:rPr>
      </w:pPr>
      <w:r>
        <w:rPr>
          <w:rFonts w:hint="eastAsia" w:ascii="宋体" w:hAnsi="宋体" w:cs="宋体"/>
        </w:rPr>
        <w:t>扫码关注微信公众号“云采链互联服务平台”，即可在线咨询相关事项。</w:t>
      </w:r>
    </w:p>
    <w:p>
      <w:pPr>
        <w:pStyle w:val="50"/>
        <w:widowControl/>
        <w:spacing w:line="360" w:lineRule="auto"/>
        <w:ind w:left="420" w:firstLine="0" w:firstLineChars="0"/>
        <w:jc w:val="center"/>
        <w:rPr>
          <w:rFonts w:ascii="宋体" w:hAnsi="宋体" w:cs="宋体"/>
          <w:b/>
        </w:rPr>
      </w:pPr>
      <w:r>
        <w:rPr>
          <w:rFonts w:hint="eastAsia" w:ascii="宋体" w:hAnsi="宋体" w:cs="宋体"/>
        </w:rPr>
        <w:drawing>
          <wp:inline distT="0" distB="0" distL="114300" distR="114300">
            <wp:extent cx="1390650" cy="1390650"/>
            <wp:effectExtent l="0" t="0" r="11430" b="11430"/>
            <wp:docPr id="1"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C:\Users\ADMINI~1\AppData\Local\Temp\360zip$Temp\360$2\智采公众号8cm.jpg"/>
                    <pic:cNvPicPr>
                      <a:picLocks noChangeAspect="1"/>
                    </pic:cNvPicPr>
                  </pic:nvPicPr>
                  <pic:blipFill>
                    <a:blip r:embed="rId7"/>
                    <a:stretch>
                      <a:fillRect/>
                    </a:stretch>
                  </pic:blipFill>
                  <pic:spPr>
                    <a:xfrm>
                      <a:off x="0" y="0"/>
                      <a:ext cx="1390650" cy="1390650"/>
                    </a:xfrm>
                    <a:prstGeom prst="rect">
                      <a:avLst/>
                    </a:prstGeom>
                    <a:noFill/>
                    <a:ln>
                      <a:noFill/>
                    </a:ln>
                  </pic:spPr>
                </pic:pic>
              </a:graphicData>
            </a:graphic>
          </wp:inline>
        </w:drawing>
      </w:r>
    </w:p>
    <w:p>
      <w:pPr>
        <w:rPr>
          <w:rFonts w:ascii="宋体" w:hAnsi="宋体" w:cs="宋体"/>
        </w:rPr>
      </w:pPr>
      <w:r>
        <w:rPr>
          <w:rFonts w:hint="eastAsia" w:ascii="宋体" w:hAnsi="宋体" w:cs="宋体"/>
        </w:rPr>
        <w:br w:type="page"/>
      </w:r>
    </w:p>
    <w:p>
      <w:pPr>
        <w:pStyle w:val="19"/>
        <w:spacing w:before="0" w:after="0"/>
        <w:rPr>
          <w:rFonts w:ascii="宋体" w:hAnsi="宋体" w:cs="宋体"/>
        </w:rPr>
      </w:pPr>
      <w:r>
        <w:rPr>
          <w:rFonts w:hint="eastAsia" w:ascii="宋体" w:hAnsi="宋体" w:cs="宋体"/>
          <w:kern w:val="0"/>
          <w:lang w:val="zh-CN"/>
        </w:rPr>
        <w:t>第二章</w:t>
      </w:r>
      <w:r>
        <w:rPr>
          <w:rFonts w:hint="eastAsia" w:ascii="宋体" w:hAnsi="宋体" w:cs="宋体"/>
          <w:kern w:val="0"/>
        </w:rPr>
        <w:t xml:space="preserve"> </w:t>
      </w:r>
      <w:r>
        <w:rPr>
          <w:rFonts w:hint="eastAsia" w:ascii="宋体" w:hAnsi="宋体" w:cs="宋体"/>
          <w:kern w:val="0"/>
          <w:lang w:val="zh-CN"/>
        </w:rPr>
        <w:t>用户需求书</w:t>
      </w:r>
    </w:p>
    <w:p>
      <w:pPr>
        <w:spacing w:before="156" w:beforeLines="50" w:line="360" w:lineRule="auto"/>
        <w:ind w:left="517" w:hanging="517"/>
        <w:rPr>
          <w:rFonts w:ascii="宋体" w:hAnsi="宋体" w:cs="宋体"/>
          <w:b/>
          <w:bCs/>
          <w:szCs w:val="21"/>
        </w:rPr>
      </w:pPr>
      <w:r>
        <w:rPr>
          <w:rFonts w:hint="eastAsia" w:ascii="宋体" w:hAnsi="宋体" w:cs="宋体"/>
          <w:b/>
          <w:bCs/>
          <w:szCs w:val="21"/>
        </w:rPr>
        <w:t>说明：</w:t>
      </w:r>
    </w:p>
    <w:p>
      <w:pPr>
        <w:numPr>
          <w:ilvl w:val="0"/>
          <w:numId w:val="13"/>
        </w:numPr>
        <w:snapToGrid w:val="0"/>
        <w:spacing w:line="360" w:lineRule="auto"/>
        <w:rPr>
          <w:rFonts w:ascii="宋体" w:hAnsi="宋体" w:cs="宋体"/>
          <w:b/>
          <w:bCs/>
          <w:szCs w:val="21"/>
        </w:rPr>
      </w:pPr>
      <w:r>
        <w:rPr>
          <w:rFonts w:hint="eastAsia" w:ascii="宋体" w:hAnsi="宋体" w:cs="宋体"/>
          <w:b/>
          <w:bCs/>
          <w:szCs w:val="21"/>
          <w:lang w:bidi="ar"/>
        </w:rPr>
        <w:t>用户需求书中打“★”号条款为实质性条款，有任何一条负偏离则导致无效响应。</w:t>
      </w:r>
    </w:p>
    <w:p>
      <w:pPr>
        <w:numPr>
          <w:ilvl w:val="0"/>
          <w:numId w:val="13"/>
        </w:numPr>
        <w:snapToGrid w:val="0"/>
        <w:spacing w:line="360" w:lineRule="auto"/>
        <w:rPr>
          <w:rFonts w:ascii="宋体" w:hAnsi="宋体" w:cs="宋体"/>
          <w:b/>
          <w:bCs/>
          <w:szCs w:val="21"/>
        </w:rPr>
      </w:pPr>
      <w:r>
        <w:rPr>
          <w:rFonts w:hint="eastAsia" w:ascii="宋体" w:hAnsi="宋体" w:cs="宋体"/>
          <w:b/>
          <w:bCs/>
          <w:szCs w:val="21"/>
          <w:lang w:bidi="ar"/>
        </w:rPr>
        <w:t>用户需求书中打“▲”号条款为重要技术参数，但不作为无效响应条款。</w:t>
      </w:r>
    </w:p>
    <w:p>
      <w:pPr>
        <w:pStyle w:val="50"/>
        <w:numPr>
          <w:ilvl w:val="0"/>
          <w:numId w:val="14"/>
        </w:numPr>
        <w:spacing w:line="360" w:lineRule="auto"/>
        <w:ind w:left="448" w:hanging="448" w:firstLineChars="0"/>
        <w:rPr>
          <w:rFonts w:ascii="宋体" w:hAnsi="宋体" w:cs="宋体"/>
          <w:b/>
          <w:szCs w:val="21"/>
        </w:rPr>
      </w:pPr>
      <w:r>
        <w:rPr>
          <w:rFonts w:hint="eastAsia" w:ascii="宋体" w:hAnsi="宋体" w:cs="宋体"/>
          <w:b/>
          <w:szCs w:val="21"/>
        </w:rPr>
        <w:t>项目一览表</w:t>
      </w:r>
    </w:p>
    <w:tbl>
      <w:tblPr>
        <w:tblStyle w:val="22"/>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65"/>
        <w:gridCol w:w="1224"/>
        <w:gridCol w:w="2374"/>
        <w:gridCol w:w="25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388" w:type="pct"/>
            <w:shd w:val="clear" w:color="auto" w:fill="EEECE1"/>
            <w:vAlign w:val="center"/>
          </w:tcPr>
          <w:p>
            <w:pPr>
              <w:jc w:val="center"/>
              <w:rPr>
                <w:rFonts w:ascii="宋体" w:hAnsi="宋体" w:cs="宋体"/>
                <w:b/>
                <w:szCs w:val="21"/>
              </w:rPr>
            </w:pPr>
            <w:r>
              <w:rPr>
                <w:rFonts w:hint="eastAsia" w:ascii="宋体" w:hAnsi="宋体" w:cs="宋体"/>
                <w:b/>
                <w:szCs w:val="21"/>
              </w:rPr>
              <w:t>项目名称</w:t>
            </w:r>
          </w:p>
        </w:tc>
        <w:tc>
          <w:tcPr>
            <w:tcW w:w="718" w:type="pct"/>
            <w:shd w:val="clear" w:color="auto" w:fill="EEECE1"/>
            <w:vAlign w:val="center"/>
          </w:tcPr>
          <w:p>
            <w:pPr>
              <w:jc w:val="center"/>
              <w:rPr>
                <w:rFonts w:ascii="宋体" w:hAnsi="宋体" w:cs="宋体"/>
                <w:b/>
                <w:szCs w:val="21"/>
              </w:rPr>
            </w:pPr>
            <w:r>
              <w:rPr>
                <w:rFonts w:hint="eastAsia" w:ascii="宋体" w:hAnsi="宋体" w:cs="宋体"/>
                <w:b/>
                <w:szCs w:val="21"/>
              </w:rPr>
              <w:t>数量</w:t>
            </w:r>
          </w:p>
        </w:tc>
        <w:tc>
          <w:tcPr>
            <w:tcW w:w="1393" w:type="pct"/>
            <w:shd w:val="clear" w:color="auto" w:fill="EEECE1"/>
            <w:vAlign w:val="center"/>
          </w:tcPr>
          <w:p>
            <w:pPr>
              <w:pStyle w:val="60"/>
              <w:spacing w:before="99" w:line="360" w:lineRule="auto"/>
              <w:ind w:left="51" w:right="38"/>
              <w:jc w:val="center"/>
              <w:rPr>
                <w:rFonts w:ascii="宋体" w:hAnsi="宋体" w:cs="宋体"/>
                <w:b/>
                <w:szCs w:val="21"/>
              </w:rPr>
            </w:pPr>
            <w:r>
              <w:rPr>
                <w:rFonts w:hint="eastAsia" w:ascii="宋体" w:hAnsi="宋体" w:cs="宋体"/>
                <w:b/>
                <w:color w:val="000000"/>
              </w:rPr>
              <w:t>交货期</w:t>
            </w:r>
          </w:p>
        </w:tc>
        <w:tc>
          <w:tcPr>
            <w:tcW w:w="1500" w:type="pct"/>
            <w:shd w:val="clear" w:color="auto" w:fill="EEECE1"/>
            <w:vAlign w:val="center"/>
          </w:tcPr>
          <w:p>
            <w:pPr>
              <w:pStyle w:val="60"/>
              <w:spacing w:before="99" w:line="360" w:lineRule="auto"/>
              <w:ind w:left="64" w:right="54"/>
              <w:jc w:val="center"/>
              <w:rPr>
                <w:rFonts w:ascii="宋体" w:hAnsi="宋体" w:cs="宋体"/>
                <w:b/>
                <w:szCs w:val="21"/>
              </w:rPr>
            </w:pPr>
            <w:r>
              <w:rPr>
                <w:rFonts w:hint="eastAsia" w:ascii="宋体" w:hAnsi="宋体" w:cs="宋体"/>
                <w:b/>
                <w:szCs w:val="21"/>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1388" w:type="pct"/>
            <w:vAlign w:val="center"/>
          </w:tcPr>
          <w:p>
            <w:pPr>
              <w:jc w:val="center"/>
              <w:rPr>
                <w:rFonts w:ascii="宋体" w:hAnsi="宋体" w:cs="宋体"/>
              </w:rPr>
            </w:pPr>
            <w:r>
              <w:rPr>
                <w:rFonts w:hint="eastAsia" w:ascii="宋体" w:hAnsi="宋体" w:cs="宋体"/>
                <w:szCs w:val="21"/>
              </w:rPr>
              <w:t>二氧化硫分析仪和耐腐蚀型氮吹仪小设备采购项目</w:t>
            </w:r>
          </w:p>
        </w:tc>
        <w:tc>
          <w:tcPr>
            <w:tcW w:w="718" w:type="pct"/>
            <w:vAlign w:val="center"/>
          </w:tcPr>
          <w:p>
            <w:pPr>
              <w:keepNext/>
              <w:widowControl/>
              <w:adjustRightInd w:val="0"/>
              <w:spacing w:before="156" w:beforeLines="50" w:after="60"/>
              <w:ind w:right="105" w:rightChars="50"/>
              <w:jc w:val="center"/>
              <w:textAlignment w:val="center"/>
              <w:rPr>
                <w:rFonts w:ascii="宋体" w:hAnsi="宋体" w:cs="宋体"/>
                <w:szCs w:val="21"/>
              </w:rPr>
            </w:pPr>
            <w:r>
              <w:rPr>
                <w:rFonts w:hint="eastAsia" w:ascii="宋体" w:hAnsi="宋体" w:cs="宋体"/>
                <w:szCs w:val="21"/>
              </w:rPr>
              <w:t>1批</w:t>
            </w:r>
          </w:p>
        </w:tc>
        <w:tc>
          <w:tcPr>
            <w:tcW w:w="1393" w:type="pct"/>
            <w:vAlign w:val="center"/>
          </w:tcPr>
          <w:p>
            <w:pPr>
              <w:widowControl/>
              <w:spacing w:before="156" w:beforeLines="50"/>
              <w:ind w:right="105" w:rightChars="50"/>
              <w:jc w:val="center"/>
              <w:rPr>
                <w:rFonts w:ascii="宋体" w:hAnsi="宋体" w:cs="宋体"/>
                <w:szCs w:val="21"/>
              </w:rPr>
            </w:pPr>
            <w:r>
              <w:rPr>
                <w:rFonts w:hint="eastAsia" w:ascii="宋体" w:hAnsi="宋体" w:cs="宋体"/>
                <w:szCs w:val="21"/>
              </w:rPr>
              <w:t>自签订合同后</w:t>
            </w:r>
            <w:r>
              <w:rPr>
                <w:rFonts w:hint="eastAsia" w:ascii="宋体" w:hAnsi="宋体" w:cs="宋体"/>
                <w:szCs w:val="21"/>
                <w:u w:val="single"/>
              </w:rPr>
              <w:t>_30_</w:t>
            </w:r>
            <w:r>
              <w:rPr>
                <w:rFonts w:hint="eastAsia" w:ascii="宋体" w:hAnsi="宋体" w:cs="宋体"/>
                <w:szCs w:val="21"/>
              </w:rPr>
              <w:t xml:space="preserve">日内 </w:t>
            </w:r>
          </w:p>
        </w:tc>
        <w:tc>
          <w:tcPr>
            <w:tcW w:w="1500" w:type="pct"/>
            <w:vAlign w:val="center"/>
          </w:tcPr>
          <w:p>
            <w:pPr>
              <w:widowControl/>
              <w:spacing w:before="156" w:beforeLines="50"/>
              <w:ind w:right="105" w:rightChars="50"/>
              <w:jc w:val="center"/>
              <w:rPr>
                <w:rFonts w:ascii="宋体" w:hAnsi="宋体" w:cs="宋体"/>
                <w:szCs w:val="21"/>
              </w:rPr>
            </w:pPr>
            <w:r>
              <w:rPr>
                <w:rFonts w:hint="eastAsia" w:ascii="宋体" w:hAnsi="宋体" w:cs="宋体"/>
                <w:szCs w:val="21"/>
              </w:rPr>
              <w:t>人民币</w:t>
            </w:r>
            <w:r>
              <w:rPr>
                <w:rFonts w:hint="eastAsia" w:ascii="宋体" w:hAnsi="宋体" w:cs="宋体"/>
                <w:szCs w:val="21"/>
                <w:u w:val="single"/>
              </w:rPr>
              <w:t>67000</w:t>
            </w:r>
            <w:r>
              <w:rPr>
                <w:rFonts w:hint="eastAsia" w:ascii="宋体" w:hAnsi="宋体" w:cs="宋体"/>
                <w:szCs w:val="21"/>
              </w:rPr>
              <w:t>元</w:t>
            </w:r>
          </w:p>
        </w:tc>
      </w:tr>
    </w:tbl>
    <w:p>
      <w:pPr>
        <w:pStyle w:val="50"/>
        <w:numPr>
          <w:ilvl w:val="0"/>
          <w:numId w:val="14"/>
        </w:numPr>
        <w:spacing w:line="360" w:lineRule="auto"/>
        <w:ind w:left="448" w:hanging="448" w:firstLineChars="0"/>
        <w:rPr>
          <w:rFonts w:ascii="宋体" w:hAnsi="宋体" w:cs="宋体"/>
          <w:b/>
          <w:szCs w:val="21"/>
        </w:rPr>
      </w:pPr>
      <w:r>
        <w:rPr>
          <w:rFonts w:hint="eastAsia" w:ascii="宋体" w:hAnsi="宋体" w:cs="宋体"/>
          <w:b/>
          <w:szCs w:val="21"/>
        </w:rPr>
        <w:t>采购清单</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2910"/>
        <w:gridCol w:w="1140"/>
        <w:gridCol w:w="1010"/>
        <w:gridCol w:w="1448"/>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5"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序号</w:t>
            </w:r>
          </w:p>
        </w:tc>
        <w:tc>
          <w:tcPr>
            <w:tcW w:w="2910"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采购内容</w:t>
            </w:r>
          </w:p>
        </w:tc>
        <w:tc>
          <w:tcPr>
            <w:tcW w:w="1140"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单位</w:t>
            </w:r>
          </w:p>
        </w:tc>
        <w:tc>
          <w:tcPr>
            <w:tcW w:w="1010"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数量</w:t>
            </w:r>
          </w:p>
        </w:tc>
        <w:tc>
          <w:tcPr>
            <w:tcW w:w="1448"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最高限价（元）</w:t>
            </w:r>
          </w:p>
        </w:tc>
        <w:tc>
          <w:tcPr>
            <w:tcW w:w="809"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5" w:type="dxa"/>
            <w:vAlign w:val="center"/>
          </w:tcPr>
          <w:p>
            <w:pPr>
              <w:pStyle w:val="13"/>
              <w:tabs>
                <w:tab w:val="left" w:pos="420"/>
                <w:tab w:val="left" w:pos="540"/>
              </w:tabs>
              <w:adjustRightInd w:val="0"/>
              <w:snapToGrid w:val="0"/>
              <w:jc w:val="center"/>
              <w:rPr>
                <w:rFonts w:hAnsi="宋体" w:cs="宋体"/>
                <w:bCs/>
                <w:color w:val="000000"/>
                <w:sz w:val="21"/>
              </w:rPr>
            </w:pPr>
            <w:r>
              <w:rPr>
                <w:rFonts w:hint="eastAsia" w:hAnsi="宋体" w:cs="宋体"/>
                <w:bCs/>
                <w:color w:val="000000"/>
                <w:sz w:val="21"/>
              </w:rPr>
              <w:t>1</w:t>
            </w:r>
          </w:p>
        </w:tc>
        <w:tc>
          <w:tcPr>
            <w:tcW w:w="2910" w:type="dxa"/>
            <w:vAlign w:val="center"/>
          </w:tcPr>
          <w:p>
            <w:pPr>
              <w:pStyle w:val="13"/>
              <w:tabs>
                <w:tab w:val="left" w:pos="420"/>
                <w:tab w:val="left" w:pos="540"/>
              </w:tabs>
              <w:adjustRightInd w:val="0"/>
              <w:snapToGrid w:val="0"/>
              <w:jc w:val="center"/>
              <w:rPr>
                <w:rFonts w:hAnsi="宋体" w:cs="宋体"/>
                <w:bCs/>
                <w:color w:val="000000"/>
                <w:sz w:val="21"/>
              </w:rPr>
            </w:pPr>
            <w:r>
              <w:rPr>
                <w:rFonts w:hint="eastAsia" w:hAnsi="宋体" w:cs="宋体"/>
                <w:bCs/>
                <w:color w:val="000000"/>
                <w:sz w:val="21"/>
              </w:rPr>
              <w:t>二氧化硫分析仪</w:t>
            </w:r>
          </w:p>
        </w:tc>
        <w:tc>
          <w:tcPr>
            <w:tcW w:w="1140" w:type="dxa"/>
            <w:vAlign w:val="center"/>
          </w:tcPr>
          <w:p>
            <w:pPr>
              <w:pStyle w:val="13"/>
              <w:tabs>
                <w:tab w:val="left" w:pos="420"/>
                <w:tab w:val="left" w:pos="540"/>
              </w:tabs>
              <w:adjustRightInd w:val="0"/>
              <w:snapToGrid w:val="0"/>
              <w:jc w:val="center"/>
              <w:rPr>
                <w:rFonts w:hAnsi="宋体" w:cs="宋体"/>
                <w:bCs/>
                <w:color w:val="000000"/>
                <w:sz w:val="21"/>
              </w:rPr>
            </w:pPr>
            <w:r>
              <w:rPr>
                <w:rFonts w:hint="eastAsia" w:hAnsi="宋体" w:cs="宋体"/>
                <w:bCs/>
                <w:color w:val="000000"/>
                <w:sz w:val="21"/>
              </w:rPr>
              <w:t>台</w:t>
            </w:r>
          </w:p>
        </w:tc>
        <w:tc>
          <w:tcPr>
            <w:tcW w:w="1010" w:type="dxa"/>
            <w:vAlign w:val="center"/>
          </w:tcPr>
          <w:p>
            <w:pPr>
              <w:pStyle w:val="13"/>
              <w:tabs>
                <w:tab w:val="left" w:pos="420"/>
                <w:tab w:val="left" w:pos="540"/>
              </w:tabs>
              <w:adjustRightInd w:val="0"/>
              <w:snapToGrid w:val="0"/>
              <w:jc w:val="center"/>
              <w:rPr>
                <w:rFonts w:hAnsi="宋体" w:cs="宋体"/>
                <w:bCs/>
                <w:color w:val="000000"/>
                <w:sz w:val="21"/>
              </w:rPr>
            </w:pPr>
            <w:r>
              <w:rPr>
                <w:rFonts w:hint="eastAsia" w:hAnsi="宋体" w:cs="宋体"/>
                <w:bCs/>
                <w:color w:val="000000"/>
                <w:sz w:val="21"/>
              </w:rPr>
              <w:t>1</w:t>
            </w:r>
          </w:p>
        </w:tc>
        <w:tc>
          <w:tcPr>
            <w:tcW w:w="1448" w:type="dxa"/>
            <w:vAlign w:val="center"/>
          </w:tcPr>
          <w:p>
            <w:pPr>
              <w:pStyle w:val="13"/>
              <w:tabs>
                <w:tab w:val="left" w:pos="420"/>
                <w:tab w:val="left" w:pos="540"/>
              </w:tabs>
              <w:adjustRightInd w:val="0"/>
              <w:snapToGrid w:val="0"/>
              <w:jc w:val="center"/>
              <w:rPr>
                <w:rFonts w:hAnsi="宋体" w:cs="宋体"/>
                <w:bCs/>
                <w:color w:val="000000"/>
                <w:sz w:val="21"/>
              </w:rPr>
            </w:pPr>
            <w:r>
              <w:rPr>
                <w:rFonts w:hint="eastAsia" w:hAnsi="宋体" w:cs="宋体"/>
                <w:bCs/>
                <w:color w:val="000000"/>
                <w:sz w:val="21"/>
              </w:rPr>
              <w:t>58000</w:t>
            </w:r>
          </w:p>
        </w:tc>
        <w:tc>
          <w:tcPr>
            <w:tcW w:w="809" w:type="dxa"/>
            <w:vAlign w:val="center"/>
          </w:tcPr>
          <w:p>
            <w:pPr>
              <w:pStyle w:val="13"/>
              <w:tabs>
                <w:tab w:val="left" w:pos="420"/>
                <w:tab w:val="left" w:pos="540"/>
              </w:tabs>
              <w:adjustRightInd w:val="0"/>
              <w:snapToGrid w:val="0"/>
              <w:jc w:val="center"/>
              <w:rPr>
                <w:rFonts w:hAnsi="宋体" w:cs="宋体"/>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5" w:type="dxa"/>
            <w:vAlign w:val="center"/>
          </w:tcPr>
          <w:p>
            <w:pPr>
              <w:pStyle w:val="13"/>
              <w:tabs>
                <w:tab w:val="left" w:pos="420"/>
                <w:tab w:val="left" w:pos="540"/>
              </w:tabs>
              <w:adjustRightInd w:val="0"/>
              <w:snapToGrid w:val="0"/>
              <w:jc w:val="center"/>
              <w:rPr>
                <w:rFonts w:hAnsi="宋体" w:cs="宋体"/>
                <w:bCs/>
                <w:color w:val="000000"/>
                <w:sz w:val="21"/>
              </w:rPr>
            </w:pPr>
            <w:r>
              <w:rPr>
                <w:rFonts w:hint="eastAsia" w:hAnsi="宋体" w:cs="宋体"/>
                <w:bCs/>
                <w:color w:val="000000"/>
                <w:sz w:val="21"/>
              </w:rPr>
              <w:t>2</w:t>
            </w:r>
          </w:p>
        </w:tc>
        <w:tc>
          <w:tcPr>
            <w:tcW w:w="2910" w:type="dxa"/>
            <w:vAlign w:val="center"/>
          </w:tcPr>
          <w:p>
            <w:pPr>
              <w:pStyle w:val="13"/>
              <w:tabs>
                <w:tab w:val="left" w:pos="420"/>
                <w:tab w:val="left" w:pos="540"/>
              </w:tabs>
              <w:adjustRightInd w:val="0"/>
              <w:snapToGrid w:val="0"/>
              <w:jc w:val="center"/>
              <w:rPr>
                <w:rFonts w:hAnsi="宋体" w:cs="宋体"/>
                <w:bCs/>
                <w:color w:val="000000"/>
                <w:sz w:val="21"/>
              </w:rPr>
            </w:pPr>
            <w:r>
              <w:rPr>
                <w:rFonts w:hint="eastAsia" w:hAnsi="宋体" w:cs="宋体"/>
                <w:bCs/>
                <w:color w:val="000000"/>
                <w:sz w:val="21"/>
              </w:rPr>
              <w:t>耐腐蚀型氮吹仪</w:t>
            </w:r>
          </w:p>
        </w:tc>
        <w:tc>
          <w:tcPr>
            <w:tcW w:w="1140" w:type="dxa"/>
            <w:vAlign w:val="center"/>
          </w:tcPr>
          <w:p>
            <w:pPr>
              <w:pStyle w:val="13"/>
              <w:tabs>
                <w:tab w:val="left" w:pos="420"/>
                <w:tab w:val="left" w:pos="540"/>
              </w:tabs>
              <w:adjustRightInd w:val="0"/>
              <w:snapToGrid w:val="0"/>
              <w:jc w:val="center"/>
              <w:rPr>
                <w:rFonts w:hAnsi="宋体" w:cs="宋体"/>
                <w:bCs/>
                <w:color w:val="000000"/>
                <w:sz w:val="21"/>
              </w:rPr>
            </w:pPr>
            <w:r>
              <w:rPr>
                <w:rFonts w:hint="eastAsia" w:hAnsi="宋体" w:cs="宋体"/>
                <w:bCs/>
                <w:color w:val="000000"/>
                <w:sz w:val="21"/>
              </w:rPr>
              <w:t>台</w:t>
            </w:r>
          </w:p>
        </w:tc>
        <w:tc>
          <w:tcPr>
            <w:tcW w:w="1010" w:type="dxa"/>
            <w:vAlign w:val="center"/>
          </w:tcPr>
          <w:p>
            <w:pPr>
              <w:pStyle w:val="13"/>
              <w:tabs>
                <w:tab w:val="left" w:pos="420"/>
                <w:tab w:val="left" w:pos="540"/>
              </w:tabs>
              <w:adjustRightInd w:val="0"/>
              <w:snapToGrid w:val="0"/>
              <w:jc w:val="center"/>
              <w:rPr>
                <w:rFonts w:hAnsi="宋体" w:cs="宋体"/>
                <w:bCs/>
                <w:color w:val="000000"/>
                <w:sz w:val="21"/>
              </w:rPr>
            </w:pPr>
            <w:r>
              <w:rPr>
                <w:rFonts w:hint="eastAsia" w:hAnsi="宋体" w:cs="宋体"/>
                <w:bCs/>
                <w:color w:val="000000"/>
                <w:sz w:val="21"/>
              </w:rPr>
              <w:t>1</w:t>
            </w:r>
          </w:p>
        </w:tc>
        <w:tc>
          <w:tcPr>
            <w:tcW w:w="1448" w:type="dxa"/>
            <w:vAlign w:val="center"/>
          </w:tcPr>
          <w:p>
            <w:pPr>
              <w:pStyle w:val="13"/>
              <w:tabs>
                <w:tab w:val="left" w:pos="420"/>
                <w:tab w:val="left" w:pos="540"/>
              </w:tabs>
              <w:adjustRightInd w:val="0"/>
              <w:snapToGrid w:val="0"/>
              <w:jc w:val="center"/>
              <w:rPr>
                <w:rFonts w:hAnsi="宋体" w:cs="宋体"/>
                <w:bCs/>
                <w:color w:val="000000"/>
                <w:sz w:val="21"/>
              </w:rPr>
            </w:pPr>
            <w:r>
              <w:rPr>
                <w:rFonts w:hint="eastAsia" w:hAnsi="宋体" w:cs="宋体"/>
                <w:bCs/>
                <w:color w:val="000000"/>
                <w:sz w:val="21"/>
              </w:rPr>
              <w:t>9000</w:t>
            </w:r>
          </w:p>
        </w:tc>
        <w:tc>
          <w:tcPr>
            <w:tcW w:w="809" w:type="dxa"/>
            <w:vAlign w:val="center"/>
          </w:tcPr>
          <w:p>
            <w:pPr>
              <w:pStyle w:val="13"/>
              <w:tabs>
                <w:tab w:val="left" w:pos="420"/>
                <w:tab w:val="left" w:pos="540"/>
              </w:tabs>
              <w:adjustRightInd w:val="0"/>
              <w:snapToGrid w:val="0"/>
              <w:jc w:val="center"/>
              <w:rPr>
                <w:rFonts w:hAnsi="宋体" w:cs="宋体"/>
                <w:bCs/>
                <w:color w:val="000000"/>
                <w:sz w:val="21"/>
              </w:rPr>
            </w:pPr>
          </w:p>
        </w:tc>
      </w:tr>
    </w:tbl>
    <w:p>
      <w:pPr>
        <w:pStyle w:val="50"/>
        <w:numPr>
          <w:ilvl w:val="0"/>
          <w:numId w:val="14"/>
        </w:numPr>
        <w:spacing w:line="360" w:lineRule="auto"/>
        <w:ind w:left="448" w:hanging="448" w:firstLineChars="0"/>
        <w:rPr>
          <w:rFonts w:ascii="宋体" w:hAnsi="宋体" w:cs="宋体"/>
          <w:b/>
          <w:szCs w:val="21"/>
        </w:rPr>
      </w:pPr>
      <w:r>
        <w:rPr>
          <w:rFonts w:hint="eastAsia" w:ascii="宋体" w:hAnsi="宋体" w:cs="宋体"/>
          <w:b/>
          <w:szCs w:val="21"/>
        </w:rPr>
        <w:t>技术规格要求</w:t>
      </w:r>
    </w:p>
    <w:p>
      <w:pPr>
        <w:pStyle w:val="13"/>
        <w:numPr>
          <w:ilvl w:val="0"/>
          <w:numId w:val="15"/>
        </w:numPr>
        <w:tabs>
          <w:tab w:val="left" w:pos="540"/>
        </w:tabs>
        <w:adjustRightInd w:val="0"/>
        <w:snapToGrid w:val="0"/>
        <w:spacing w:line="360" w:lineRule="auto"/>
        <w:rPr>
          <w:rFonts w:hAnsi="宋体" w:cs="宋体"/>
          <w:b/>
          <w:color w:val="000000"/>
          <w:sz w:val="21"/>
        </w:rPr>
      </w:pPr>
      <w:r>
        <w:rPr>
          <w:rFonts w:hint="eastAsia" w:hAnsi="宋体" w:cs="宋体"/>
          <w:b/>
          <w:color w:val="000000"/>
          <w:sz w:val="21"/>
        </w:rPr>
        <w:t>二氧化硫分析仪</w:t>
      </w:r>
    </w:p>
    <w:p>
      <w:pPr>
        <w:spacing w:line="360" w:lineRule="auto"/>
        <w:rPr>
          <w:rFonts w:ascii="宋体" w:hAnsi="宋体" w:cs="宋体"/>
          <w:color w:val="000000"/>
          <w:szCs w:val="21"/>
        </w:rPr>
      </w:pPr>
      <w:r>
        <w:rPr>
          <w:rFonts w:hint="eastAsia" w:ascii="宋体" w:hAnsi="宋体" w:cs="宋体"/>
          <w:b/>
          <w:bCs/>
          <w:szCs w:val="21"/>
          <w:lang w:bidi="ar"/>
        </w:rPr>
        <w:t>▲</w:t>
      </w:r>
      <w:r>
        <w:rPr>
          <w:rFonts w:hint="eastAsia" w:ascii="宋体" w:hAnsi="宋体" w:cs="宋体"/>
          <w:color w:val="000000"/>
          <w:szCs w:val="21"/>
        </w:rPr>
        <w:t>1. 满足《GB5009.34-2022食品安全国家标准 食品中二氧化硫的测定》第一法的分析需求，二氧化硫的加标回收率不低于95%（需提供相关佐证材料）。</w:t>
      </w:r>
    </w:p>
    <w:p>
      <w:pPr>
        <w:overflowPunct w:val="0"/>
        <w:autoSpaceDE w:val="0"/>
        <w:autoSpaceDN w:val="0"/>
        <w:adjustRightInd w:val="0"/>
        <w:spacing w:line="360" w:lineRule="auto"/>
        <w:textAlignment w:val="baseline"/>
        <w:rPr>
          <w:rFonts w:ascii="宋体" w:hAnsi="宋体" w:cs="宋体"/>
          <w:color w:val="000000"/>
          <w:szCs w:val="21"/>
        </w:rPr>
      </w:pPr>
      <w:r>
        <w:rPr>
          <w:rFonts w:hint="eastAsia" w:ascii="宋体" w:hAnsi="宋体" w:cs="宋体"/>
          <w:color w:val="000000"/>
          <w:szCs w:val="21"/>
        </w:rPr>
        <w:t>★2. 仪器一体化设计，一次可做至少4组样品，每个通道加热功率均可单独控制，可完成加热、蒸馏回流、冷却、氮吹控制、磁力搅拌、接收工作，且总功率应不超过2000 W；同时加热单位底部应预留导液孔，且仪器设有废液槽（需提供相关佐证材料）。</w:t>
      </w:r>
    </w:p>
    <w:p>
      <w:pPr>
        <w:spacing w:line="360" w:lineRule="auto"/>
        <w:rPr>
          <w:rFonts w:ascii="宋体" w:hAnsi="宋体" w:cs="宋体"/>
        </w:rPr>
      </w:pPr>
      <w:r>
        <w:rPr>
          <w:rFonts w:hint="eastAsia" w:ascii="宋体" w:hAnsi="宋体" w:cs="宋体"/>
          <w:color w:val="000000"/>
          <w:szCs w:val="21"/>
        </w:rPr>
        <w:t xml:space="preserve">3. </w:t>
      </w:r>
      <w:r>
        <w:rPr>
          <w:rFonts w:hint="eastAsia" w:ascii="宋体" w:hAnsi="宋体" w:cs="宋体"/>
        </w:rPr>
        <w:t>加热单位应为碗状加热热源设计，具有良好的防水效果，且耐酸、耐碱、耐腐蚀；单通道最大加热功率应不低于500 W，且至少在0~100% 功率内可程序线性设定。</w:t>
      </w:r>
    </w:p>
    <w:p>
      <w:pPr>
        <w:tabs>
          <w:tab w:val="left" w:pos="420"/>
        </w:tabs>
        <w:overflowPunct w:val="0"/>
        <w:autoSpaceDE w:val="0"/>
        <w:autoSpaceDN w:val="0"/>
        <w:adjustRightInd w:val="0"/>
        <w:spacing w:line="360" w:lineRule="auto"/>
        <w:textAlignment w:val="baseline"/>
        <w:rPr>
          <w:rFonts w:ascii="宋体" w:hAnsi="宋体" w:cs="宋体"/>
          <w:color w:val="000000"/>
          <w:szCs w:val="21"/>
        </w:rPr>
      </w:pPr>
      <w:r>
        <w:rPr>
          <w:rFonts w:hint="eastAsia" w:ascii="宋体" w:hAnsi="宋体" w:cs="宋体"/>
          <w:color w:val="000000"/>
          <w:szCs w:val="21"/>
        </w:rPr>
        <w:t>4.蒸馏瓶应为1000 mL标准两口圆底瓶，设备蒸馏瓶及冷凝装置满足标准要求，不接受非标异形瓶。</w:t>
      </w:r>
    </w:p>
    <w:p>
      <w:pPr>
        <w:overflowPunct w:val="0"/>
        <w:autoSpaceDE w:val="0"/>
        <w:autoSpaceDN w:val="0"/>
        <w:adjustRightInd w:val="0"/>
        <w:spacing w:line="360" w:lineRule="auto"/>
        <w:textAlignment w:val="baseline"/>
        <w:rPr>
          <w:rFonts w:ascii="宋体" w:hAnsi="宋体" w:cs="宋体"/>
          <w:color w:val="000000"/>
          <w:szCs w:val="21"/>
        </w:rPr>
      </w:pPr>
      <w:r>
        <w:rPr>
          <w:rFonts w:hint="eastAsia" w:ascii="宋体" w:hAnsi="宋体" w:cs="宋体"/>
          <w:color w:val="000000"/>
          <w:szCs w:val="21"/>
        </w:rPr>
        <w:t>5．氮气控制：可单孔调节流速，流速范围应在0.2-2L/min；具有氮气延时关闭功能，可设置范围至少应包括0-1000 min。</w:t>
      </w:r>
      <w:r>
        <w:rPr>
          <w:rFonts w:hint="eastAsia" w:ascii="宋体" w:hAnsi="宋体" w:cs="宋体"/>
          <w:color w:val="000000"/>
          <w:szCs w:val="21"/>
        </w:rPr>
        <w:br w:type="textWrapping"/>
      </w:r>
      <w:r>
        <w:rPr>
          <w:rFonts w:hint="eastAsia" w:ascii="宋体" w:hAnsi="宋体" w:cs="宋体"/>
          <w:color w:val="000000"/>
          <w:szCs w:val="21"/>
        </w:rPr>
        <w:t>6. 定时功能：每组蒸馏单元应设有独立的计时控制装置，计时结束可自动停止运行。</w:t>
      </w:r>
    </w:p>
    <w:p>
      <w:pPr>
        <w:overflowPunct w:val="0"/>
        <w:autoSpaceDE w:val="0"/>
        <w:autoSpaceDN w:val="0"/>
        <w:adjustRightInd w:val="0"/>
        <w:spacing w:line="360" w:lineRule="auto"/>
        <w:textAlignment w:val="baseline"/>
        <w:rPr>
          <w:rFonts w:ascii="宋体" w:hAnsi="宋体" w:cs="宋体"/>
          <w:color w:val="000000"/>
          <w:szCs w:val="21"/>
        </w:rPr>
      </w:pPr>
      <w:r>
        <w:rPr>
          <w:rFonts w:hint="eastAsia" w:ascii="宋体" w:hAnsi="宋体" w:cs="宋体"/>
          <w:color w:val="000000"/>
          <w:szCs w:val="21"/>
        </w:rPr>
        <w:t>7. 磁力搅拌：每个单元接收瓶底部都内置独立的磁力搅拌器，搅拌速度可单组单调，可无级调速。</w:t>
      </w:r>
    </w:p>
    <w:p>
      <w:pPr>
        <w:overflowPunct w:val="0"/>
        <w:autoSpaceDE w:val="0"/>
        <w:autoSpaceDN w:val="0"/>
        <w:adjustRightInd w:val="0"/>
        <w:spacing w:line="360" w:lineRule="auto"/>
        <w:textAlignment w:val="baseline"/>
        <w:rPr>
          <w:rFonts w:ascii="宋体" w:hAnsi="宋体" w:cs="宋体"/>
          <w:color w:val="000000"/>
          <w:szCs w:val="21"/>
        </w:rPr>
      </w:pPr>
      <w:r>
        <w:rPr>
          <w:rFonts w:hint="eastAsia" w:ascii="宋体" w:hAnsi="宋体" w:cs="宋体"/>
          <w:color w:val="000000"/>
          <w:szCs w:val="21"/>
        </w:rPr>
        <w:t>8. 清洗功能：具备清洗功能，且清洗管路设有过滤功能。</w:t>
      </w:r>
    </w:p>
    <w:p>
      <w:pPr>
        <w:overflowPunct w:val="0"/>
        <w:autoSpaceDE w:val="0"/>
        <w:autoSpaceDN w:val="0"/>
        <w:adjustRightInd w:val="0"/>
        <w:spacing w:line="360" w:lineRule="auto"/>
        <w:textAlignment w:val="baseline"/>
        <w:rPr>
          <w:rFonts w:ascii="宋体" w:hAnsi="宋体" w:cs="宋体"/>
          <w:color w:val="000000"/>
          <w:szCs w:val="21"/>
        </w:rPr>
      </w:pPr>
      <w:r>
        <w:rPr>
          <w:rFonts w:hint="eastAsia" w:ascii="宋体" w:hAnsi="宋体" w:cs="宋体"/>
          <w:color w:val="000000"/>
          <w:szCs w:val="21"/>
        </w:rPr>
        <w:t>9. 选配自动加酸：软件操作界面可实现自动加酸功能。</w:t>
      </w:r>
    </w:p>
    <w:p>
      <w:pPr>
        <w:overflowPunct w:val="0"/>
        <w:autoSpaceDE w:val="0"/>
        <w:autoSpaceDN w:val="0"/>
        <w:adjustRightInd w:val="0"/>
        <w:spacing w:line="360" w:lineRule="auto"/>
        <w:textAlignment w:val="baseline"/>
        <w:rPr>
          <w:rFonts w:ascii="宋体" w:hAnsi="宋体" w:cs="宋体"/>
          <w:color w:val="000000"/>
          <w:szCs w:val="21"/>
        </w:rPr>
      </w:pPr>
      <w:r>
        <w:rPr>
          <w:rFonts w:hint="eastAsia" w:ascii="宋体" w:hAnsi="宋体" w:cs="宋体"/>
          <w:b/>
          <w:bCs/>
          <w:szCs w:val="21"/>
          <w:lang w:bidi="ar"/>
        </w:rPr>
        <w:t>▲</w:t>
      </w:r>
      <w:r>
        <w:rPr>
          <w:rFonts w:hint="eastAsia" w:ascii="宋体" w:hAnsi="宋体" w:cs="宋体"/>
          <w:color w:val="000000"/>
          <w:szCs w:val="21"/>
        </w:rPr>
        <w:t xml:space="preserve">10. 防倒吸功能：具备2种以上防倒吸设置，防倒吸功能安全有效 (需提供佐证材料)。 </w:t>
      </w:r>
    </w:p>
    <w:p>
      <w:pPr>
        <w:overflowPunct w:val="0"/>
        <w:autoSpaceDE w:val="0"/>
        <w:autoSpaceDN w:val="0"/>
        <w:adjustRightInd w:val="0"/>
        <w:spacing w:line="360" w:lineRule="auto"/>
        <w:textAlignment w:val="baseline"/>
        <w:rPr>
          <w:rFonts w:ascii="宋体" w:hAnsi="宋体" w:cs="宋体"/>
          <w:color w:val="000000"/>
          <w:szCs w:val="21"/>
        </w:rPr>
      </w:pPr>
      <w:r>
        <w:rPr>
          <w:rFonts w:hint="eastAsia" w:ascii="宋体" w:hAnsi="宋体" w:cs="宋体"/>
          <w:color w:val="000000"/>
          <w:szCs w:val="21"/>
        </w:rPr>
        <w:t>11. 安全保障：设备有安全防爆系统，超压可自动泄压，各个通道都具备热过载保护功能。</w:t>
      </w:r>
    </w:p>
    <w:p>
      <w:pPr>
        <w:overflowPunct w:val="0"/>
        <w:autoSpaceDE w:val="0"/>
        <w:autoSpaceDN w:val="0"/>
        <w:adjustRightInd w:val="0"/>
        <w:spacing w:line="360" w:lineRule="auto"/>
        <w:textAlignment w:val="baseline"/>
        <w:rPr>
          <w:rFonts w:ascii="宋体" w:hAnsi="宋体" w:cs="宋体"/>
          <w:color w:val="000000"/>
          <w:szCs w:val="21"/>
        </w:rPr>
      </w:pPr>
      <w:r>
        <w:rPr>
          <w:rFonts w:hint="eastAsia" w:ascii="宋体" w:hAnsi="宋体" w:cs="宋体"/>
          <w:color w:val="000000"/>
          <w:szCs w:val="21"/>
        </w:rPr>
        <w:t>12. 主机设有至少4个独立的滴定蝴蝶夹，方便固定滴定管进行滴定。</w:t>
      </w:r>
    </w:p>
    <w:p>
      <w:pPr>
        <w:overflowPunct w:val="0"/>
        <w:autoSpaceDE w:val="0"/>
        <w:autoSpaceDN w:val="0"/>
        <w:adjustRightInd w:val="0"/>
        <w:spacing w:line="360" w:lineRule="auto"/>
        <w:textAlignment w:val="baseline"/>
        <w:rPr>
          <w:rFonts w:ascii="宋体" w:hAnsi="宋体" w:cs="宋体"/>
          <w:color w:val="000000"/>
          <w:szCs w:val="21"/>
        </w:rPr>
      </w:pPr>
      <w:r>
        <w:rPr>
          <w:rFonts w:hint="eastAsia" w:ascii="宋体" w:hAnsi="宋体" w:cs="宋体"/>
          <w:sz w:val="24"/>
          <w:szCs w:val="24"/>
        </w:rPr>
        <w:t>★</w:t>
      </w:r>
      <w:r>
        <w:rPr>
          <w:rFonts w:hint="eastAsia" w:ascii="宋体" w:hAnsi="宋体" w:cs="宋体"/>
          <w:color w:val="000000"/>
          <w:szCs w:val="21"/>
        </w:rPr>
        <w:t>13. 冷凝瓶采用防滴水设计，配套接收管路试管口放置装置。</w:t>
      </w:r>
    </w:p>
    <w:p>
      <w:pPr>
        <w:overflowPunct w:val="0"/>
        <w:autoSpaceDE w:val="0"/>
        <w:autoSpaceDN w:val="0"/>
        <w:adjustRightInd w:val="0"/>
        <w:spacing w:line="360" w:lineRule="auto"/>
        <w:textAlignment w:val="baseline"/>
        <w:rPr>
          <w:rFonts w:ascii="宋体" w:hAnsi="宋体" w:cs="宋体"/>
          <w:color w:val="000000"/>
          <w:szCs w:val="21"/>
        </w:rPr>
      </w:pPr>
      <w:r>
        <w:rPr>
          <w:rFonts w:hint="eastAsia" w:ascii="宋体" w:hAnsi="宋体" w:cs="宋体"/>
          <w:color w:val="000000"/>
          <w:szCs w:val="21"/>
        </w:rPr>
        <w:t>14. 系统具有一键控制功能，方便批量操作。</w:t>
      </w:r>
    </w:p>
    <w:p>
      <w:pPr>
        <w:pStyle w:val="2"/>
        <w:spacing w:line="360" w:lineRule="auto"/>
        <w:ind w:firstLine="0"/>
        <w:rPr>
          <w:rFonts w:ascii="宋体" w:hAnsi="宋体" w:cs="宋体"/>
          <w:color w:val="000000"/>
          <w:sz w:val="21"/>
          <w:szCs w:val="21"/>
        </w:rPr>
      </w:pPr>
      <w:r>
        <w:rPr>
          <w:rFonts w:hint="eastAsia" w:ascii="宋体" w:hAnsi="宋体" w:cs="宋体"/>
          <w:sz w:val="21"/>
          <w:szCs w:val="21"/>
        </w:rPr>
        <w:t xml:space="preserve">▲15. 系统设有分段加热模式，全功率升温与加热保温自动切换，无需人工操作，不同阶段功率可自由设定 </w:t>
      </w:r>
      <w:r>
        <w:rPr>
          <w:rFonts w:hint="eastAsia" w:ascii="宋体" w:hAnsi="宋体" w:cs="宋体"/>
          <w:color w:val="000000"/>
          <w:sz w:val="21"/>
          <w:szCs w:val="21"/>
        </w:rPr>
        <w:t>(需提供佐证材料)</w:t>
      </w:r>
      <w:r>
        <w:rPr>
          <w:rFonts w:hint="eastAsia" w:ascii="宋体" w:hAnsi="宋体" w:cs="宋体"/>
          <w:sz w:val="21"/>
          <w:szCs w:val="21"/>
        </w:rPr>
        <w:t>。</w:t>
      </w:r>
    </w:p>
    <w:p>
      <w:pPr>
        <w:overflowPunct w:val="0"/>
        <w:autoSpaceDE w:val="0"/>
        <w:autoSpaceDN w:val="0"/>
        <w:adjustRightInd w:val="0"/>
        <w:spacing w:line="360" w:lineRule="auto"/>
        <w:textAlignment w:val="baseline"/>
        <w:rPr>
          <w:rFonts w:ascii="宋体" w:hAnsi="宋体" w:cs="宋体"/>
          <w:color w:val="000000"/>
          <w:szCs w:val="21"/>
        </w:rPr>
      </w:pPr>
      <w:r>
        <w:rPr>
          <w:rFonts w:hint="eastAsia" w:ascii="宋体" w:hAnsi="宋体" w:cs="宋体"/>
          <w:color w:val="000000"/>
          <w:szCs w:val="21"/>
        </w:rPr>
        <w:t>16. 冷却设备：大功率冷水机制冷，控温范围至少包括0℃~35℃，且应具有故障报警功能，能显示故障原因。</w:t>
      </w:r>
    </w:p>
    <w:p>
      <w:pPr>
        <w:overflowPunct w:val="0"/>
        <w:autoSpaceDE w:val="0"/>
        <w:autoSpaceDN w:val="0"/>
        <w:adjustRightInd w:val="0"/>
        <w:spacing w:line="360" w:lineRule="auto"/>
        <w:textAlignment w:val="baseline"/>
        <w:rPr>
          <w:rFonts w:ascii="宋体" w:hAnsi="宋体" w:cs="宋体"/>
          <w:color w:val="000000"/>
          <w:szCs w:val="21"/>
        </w:rPr>
      </w:pPr>
      <w:r>
        <w:rPr>
          <w:rFonts w:hint="eastAsia" w:ascii="宋体" w:hAnsi="宋体" w:cs="宋体"/>
          <w:color w:val="000000"/>
          <w:szCs w:val="21"/>
        </w:rPr>
        <w:t>17.系统应具备数据储存功能，每次实验数据都会自动保存，方便溯源查询。</w:t>
      </w:r>
    </w:p>
    <w:p>
      <w:pPr>
        <w:pStyle w:val="13"/>
        <w:tabs>
          <w:tab w:val="left" w:pos="540"/>
        </w:tabs>
        <w:adjustRightInd w:val="0"/>
        <w:snapToGrid w:val="0"/>
        <w:spacing w:line="360" w:lineRule="auto"/>
        <w:rPr>
          <w:rFonts w:hAnsi="宋体" w:cs="宋体"/>
          <w:color w:val="000000"/>
          <w:kern w:val="2"/>
          <w:sz w:val="21"/>
        </w:rPr>
      </w:pPr>
      <w:r>
        <w:rPr>
          <w:rFonts w:hint="eastAsia" w:hAnsi="宋体" w:cs="宋体"/>
          <w:color w:val="000000"/>
          <w:kern w:val="2"/>
          <w:sz w:val="21"/>
        </w:rPr>
        <w:t>▲18. 仪器尺寸：不应超过920mm*500mm*320mm，以满足在通风橱放置的尺寸要求。</w:t>
      </w:r>
    </w:p>
    <w:p>
      <w:pPr>
        <w:pStyle w:val="13"/>
        <w:tabs>
          <w:tab w:val="left" w:pos="540"/>
        </w:tabs>
        <w:adjustRightInd w:val="0"/>
        <w:snapToGrid w:val="0"/>
        <w:spacing w:line="360" w:lineRule="auto"/>
        <w:rPr>
          <w:rFonts w:hAnsi="宋体" w:cs="宋体"/>
          <w:b/>
          <w:bCs/>
          <w:sz w:val="21"/>
        </w:rPr>
      </w:pPr>
      <w:r>
        <w:rPr>
          <w:rFonts w:hint="eastAsia" w:hAnsi="宋体" w:cs="宋体"/>
          <w:b/>
          <w:bCs/>
          <w:sz w:val="21"/>
        </w:rPr>
        <w:t>（二）</w:t>
      </w:r>
      <w:r>
        <w:rPr>
          <w:rFonts w:hint="eastAsia" w:hAnsi="宋体" w:cs="宋体"/>
          <w:b/>
          <w:bCs/>
          <w:color w:val="000000"/>
          <w:sz w:val="21"/>
        </w:rPr>
        <w:t>耐腐蚀型氮吹仪</w:t>
      </w:r>
    </w:p>
    <w:p>
      <w:pPr>
        <w:snapToGrid w:val="0"/>
        <w:spacing w:line="360" w:lineRule="auto"/>
        <w:rPr>
          <w:rFonts w:ascii="宋体" w:hAnsi="宋体" w:cs="宋体"/>
        </w:rPr>
      </w:pPr>
      <w:r>
        <w:rPr>
          <w:rFonts w:hint="eastAsia" w:ascii="宋体" w:hAnsi="宋体" w:cs="宋体"/>
          <w:color w:val="000000"/>
          <w:szCs w:val="21"/>
        </w:rPr>
        <w:t>★ 1.</w:t>
      </w:r>
      <w:r>
        <w:rPr>
          <w:rFonts w:hint="eastAsia" w:ascii="宋体" w:hAnsi="宋体" w:cs="宋体"/>
        </w:rPr>
        <w:t>材质要求：整机喷镀特氟龙涂层，且涂层不易掉落；常规不锈钢材质不可。</w:t>
      </w:r>
    </w:p>
    <w:p>
      <w:pPr>
        <w:snapToGrid w:val="0"/>
        <w:spacing w:line="360" w:lineRule="auto"/>
        <w:rPr>
          <w:rFonts w:ascii="宋体" w:hAnsi="宋体" w:cs="宋体"/>
        </w:rPr>
      </w:pPr>
      <w:r>
        <w:rPr>
          <w:rFonts w:hint="eastAsia" w:ascii="宋体" w:hAnsi="宋体" w:cs="宋体"/>
          <w:color w:val="000000"/>
          <w:szCs w:val="21"/>
        </w:rPr>
        <w:t>▲</w:t>
      </w:r>
      <w:r>
        <w:rPr>
          <w:rFonts w:hint="eastAsia" w:ascii="宋体" w:hAnsi="宋体" w:cs="宋体"/>
        </w:rPr>
        <w:t>2.样品位数：不少于12位。</w:t>
      </w:r>
    </w:p>
    <w:p>
      <w:pPr>
        <w:snapToGrid w:val="0"/>
        <w:spacing w:line="360" w:lineRule="auto"/>
        <w:rPr>
          <w:rFonts w:ascii="宋体" w:hAnsi="宋体" w:cs="宋体"/>
        </w:rPr>
      </w:pPr>
      <w:r>
        <w:rPr>
          <w:rFonts w:hint="eastAsia" w:ascii="宋体" w:hAnsi="宋体" w:cs="宋体"/>
        </w:rPr>
        <w:t>3.加热方式：水浴。</w:t>
      </w:r>
    </w:p>
    <w:p>
      <w:pPr>
        <w:snapToGrid w:val="0"/>
        <w:spacing w:line="360" w:lineRule="auto"/>
        <w:rPr>
          <w:rFonts w:ascii="宋体" w:hAnsi="宋体" w:cs="宋体"/>
        </w:rPr>
      </w:pPr>
      <w:r>
        <w:rPr>
          <w:rFonts w:hint="eastAsia" w:ascii="宋体" w:hAnsi="宋体" w:cs="宋体"/>
        </w:rPr>
        <w:t>4.样品架可平稳升降。</w:t>
      </w:r>
    </w:p>
    <w:p>
      <w:pPr>
        <w:snapToGrid w:val="0"/>
        <w:spacing w:line="360" w:lineRule="auto"/>
        <w:rPr>
          <w:rFonts w:ascii="宋体" w:hAnsi="宋体" w:cs="宋体"/>
        </w:rPr>
      </w:pPr>
      <w:r>
        <w:rPr>
          <w:rFonts w:hint="eastAsia" w:ascii="宋体" w:hAnsi="宋体" w:cs="宋体"/>
        </w:rPr>
        <w:t>5.导气针管可自由升降，并配有独立针阀式气体分配系统，可微调每一路氮气流量。</w:t>
      </w:r>
    </w:p>
    <w:p>
      <w:pPr>
        <w:snapToGrid w:val="0"/>
        <w:spacing w:line="360" w:lineRule="auto"/>
        <w:rPr>
          <w:rFonts w:ascii="宋体" w:hAnsi="宋体" w:cs="宋体"/>
        </w:rPr>
      </w:pPr>
      <w:r>
        <w:rPr>
          <w:rFonts w:hint="eastAsia" w:ascii="宋体" w:hAnsi="宋体" w:cs="宋体"/>
        </w:rPr>
        <w:t>6.配备巴斯德吸管转接口1套（不低于12个）。</w:t>
      </w:r>
    </w:p>
    <w:p>
      <w:pPr>
        <w:snapToGrid w:val="0"/>
        <w:spacing w:line="360" w:lineRule="auto"/>
        <w:rPr>
          <w:rFonts w:ascii="宋体" w:hAnsi="宋体" w:cs="宋体"/>
        </w:rPr>
      </w:pPr>
      <w:r>
        <w:rPr>
          <w:rFonts w:hint="eastAsia" w:ascii="宋体" w:hAnsi="宋体" w:cs="宋体"/>
        </w:rPr>
        <w:t>7.气体输入压力：不高于0.2Mpa。</w:t>
      </w:r>
    </w:p>
    <w:p>
      <w:pPr>
        <w:snapToGrid w:val="0"/>
        <w:spacing w:line="360" w:lineRule="auto"/>
        <w:rPr>
          <w:rFonts w:ascii="宋体" w:hAnsi="宋体" w:cs="宋体"/>
        </w:rPr>
      </w:pPr>
      <w:r>
        <w:rPr>
          <w:rFonts w:hint="eastAsia" w:ascii="宋体" w:hAnsi="宋体" w:cs="宋体"/>
        </w:rPr>
        <w:t>8.气体流量控制范围： 至少包含2-16 L/min</w:t>
      </w:r>
    </w:p>
    <w:p>
      <w:pPr>
        <w:snapToGrid w:val="0"/>
        <w:spacing w:line="360" w:lineRule="auto"/>
        <w:rPr>
          <w:rFonts w:ascii="宋体" w:hAnsi="宋体" w:cs="宋体"/>
        </w:rPr>
      </w:pPr>
      <w:r>
        <w:rPr>
          <w:rFonts w:hint="eastAsia" w:ascii="宋体" w:hAnsi="宋体" w:cs="宋体"/>
        </w:rPr>
        <w:t>9.控温范围：至少应包含RT+5~90℃</w:t>
      </w:r>
    </w:p>
    <w:p>
      <w:pPr>
        <w:snapToGrid w:val="0"/>
        <w:spacing w:line="360" w:lineRule="auto"/>
        <w:rPr>
          <w:rFonts w:ascii="宋体" w:hAnsi="宋体" w:cs="宋体"/>
        </w:rPr>
      </w:pPr>
      <w:r>
        <w:rPr>
          <w:rFonts w:hint="eastAsia" w:ascii="宋体" w:hAnsi="宋体" w:cs="宋体"/>
        </w:rPr>
        <w:t>10.温度波动度：±2℃</w:t>
      </w:r>
    </w:p>
    <w:p>
      <w:pPr>
        <w:pStyle w:val="50"/>
        <w:numPr>
          <w:ilvl w:val="0"/>
          <w:numId w:val="14"/>
        </w:numPr>
        <w:spacing w:line="360" w:lineRule="auto"/>
        <w:ind w:left="448" w:hanging="448" w:firstLineChars="0"/>
        <w:rPr>
          <w:rFonts w:ascii="宋体" w:hAnsi="宋体" w:cs="宋体"/>
          <w:b/>
          <w:szCs w:val="21"/>
        </w:rPr>
      </w:pPr>
      <w:r>
        <w:rPr>
          <w:rFonts w:hint="eastAsia" w:ascii="宋体" w:hAnsi="宋体" w:cs="宋体"/>
          <w:b/>
          <w:szCs w:val="21"/>
        </w:rPr>
        <w:t>商务要求</w:t>
      </w:r>
    </w:p>
    <w:p>
      <w:pPr>
        <w:pStyle w:val="18"/>
        <w:widowControl w:val="0"/>
        <w:numPr>
          <w:ilvl w:val="0"/>
          <w:numId w:val="16"/>
        </w:numPr>
        <w:tabs>
          <w:tab w:val="left" w:pos="540"/>
        </w:tabs>
        <w:adjustRightInd w:val="0"/>
        <w:snapToGrid w:val="0"/>
        <w:spacing w:before="0" w:beforeAutospacing="0" w:after="0" w:afterAutospacing="0" w:line="360" w:lineRule="auto"/>
        <w:jc w:val="both"/>
        <w:rPr>
          <w:color w:val="000000"/>
          <w:sz w:val="21"/>
          <w:szCs w:val="21"/>
        </w:rPr>
      </w:pPr>
      <w:r>
        <w:rPr>
          <w:rFonts w:hint="eastAsia"/>
          <w:b/>
          <w:color w:val="000000"/>
          <w:sz w:val="21"/>
          <w:szCs w:val="21"/>
          <w:lang w:bidi="ar"/>
        </w:rPr>
        <w:t>质保期及售后服务要求</w:t>
      </w:r>
    </w:p>
    <w:p>
      <w:pPr>
        <w:pStyle w:val="18"/>
        <w:widowControl w:val="0"/>
        <w:numPr>
          <w:ilvl w:val="0"/>
          <w:numId w:val="17"/>
        </w:numPr>
        <w:tabs>
          <w:tab w:val="left" w:pos="2340"/>
        </w:tabs>
        <w:adjustRightInd w:val="0"/>
        <w:snapToGrid w:val="0"/>
        <w:spacing w:before="0" w:beforeAutospacing="0" w:after="0" w:afterAutospacing="0" w:line="360" w:lineRule="auto"/>
        <w:jc w:val="both"/>
        <w:rPr>
          <w:color w:val="000000"/>
          <w:sz w:val="21"/>
          <w:szCs w:val="21"/>
        </w:rPr>
      </w:pPr>
      <w:r>
        <w:rPr>
          <w:rFonts w:hint="eastAsia"/>
          <w:color w:val="000000"/>
          <w:sz w:val="21"/>
          <w:szCs w:val="21"/>
          <w:lang w:bidi="ar"/>
        </w:rPr>
        <w:t>质量保证期（简称“质保期”）为2年，质保期内成交人对所供货物实行包修、包换、包退、包维护保养，不产生任何额外费用。</w:t>
      </w:r>
    </w:p>
    <w:p>
      <w:pPr>
        <w:numPr>
          <w:ilvl w:val="0"/>
          <w:numId w:val="17"/>
        </w:numPr>
        <w:autoSpaceDE w:val="0"/>
        <w:autoSpaceDN w:val="0"/>
        <w:adjustRightInd w:val="0"/>
        <w:snapToGrid w:val="0"/>
        <w:spacing w:line="360" w:lineRule="auto"/>
        <w:rPr>
          <w:rFonts w:ascii="宋体" w:hAnsi="宋体" w:cs="宋体"/>
          <w:color w:val="000000"/>
          <w:szCs w:val="21"/>
        </w:rPr>
      </w:pPr>
      <w:r>
        <w:rPr>
          <w:rFonts w:hint="eastAsia" w:ascii="宋体" w:hAnsi="宋体" w:cs="宋体"/>
          <w:color w:val="000000"/>
          <w:szCs w:val="21"/>
          <w:lang w:bidi="ar"/>
        </w:rPr>
        <w:t>质保期内，如设备或零部件因非人为因素出现故障而造成短期停用时，则质保期和免费维修期相应顺延。如停用时间累计超过60天则质保期重新计算。</w:t>
      </w:r>
    </w:p>
    <w:p>
      <w:pPr>
        <w:numPr>
          <w:ilvl w:val="0"/>
          <w:numId w:val="17"/>
        </w:numPr>
        <w:autoSpaceDE w:val="0"/>
        <w:autoSpaceDN w:val="0"/>
        <w:adjustRightInd w:val="0"/>
        <w:snapToGrid w:val="0"/>
        <w:spacing w:line="360" w:lineRule="auto"/>
        <w:rPr>
          <w:rFonts w:ascii="宋体" w:hAnsi="宋体" w:cs="宋体"/>
          <w:color w:val="000000"/>
          <w:szCs w:val="21"/>
        </w:rPr>
      </w:pPr>
      <w:r>
        <w:rPr>
          <w:rFonts w:hint="eastAsia" w:ascii="宋体" w:hAnsi="宋体" w:cs="宋体"/>
          <w:color w:val="000000"/>
          <w:szCs w:val="21"/>
          <w:lang w:bidi="ar"/>
        </w:rPr>
        <w:t>对采购人的服务通知，成交人在接报后1小时内响应，4小时内到达现场，48小时内处理完毕。若在48小时内仍未能有效解决，成交人须免费提供同档次的设备予采购人临时使用。</w:t>
      </w:r>
    </w:p>
    <w:p>
      <w:pPr>
        <w:pStyle w:val="18"/>
        <w:widowControl w:val="0"/>
        <w:numPr>
          <w:ilvl w:val="0"/>
          <w:numId w:val="16"/>
        </w:numPr>
        <w:tabs>
          <w:tab w:val="left" w:pos="540"/>
        </w:tabs>
        <w:adjustRightInd w:val="0"/>
        <w:snapToGrid w:val="0"/>
        <w:spacing w:before="0" w:beforeAutospacing="0" w:after="0" w:afterAutospacing="0" w:line="360" w:lineRule="auto"/>
        <w:jc w:val="both"/>
        <w:rPr>
          <w:b/>
          <w:color w:val="000000"/>
          <w:sz w:val="21"/>
          <w:szCs w:val="21"/>
          <w:lang w:bidi="ar"/>
        </w:rPr>
      </w:pPr>
      <w:r>
        <w:rPr>
          <w:rFonts w:hint="eastAsia"/>
          <w:b/>
          <w:color w:val="000000"/>
          <w:sz w:val="21"/>
          <w:szCs w:val="21"/>
          <w:lang w:bidi="ar"/>
        </w:rPr>
        <w:t>包装、保险及发运、保管要求</w:t>
      </w:r>
    </w:p>
    <w:p>
      <w:pPr>
        <w:numPr>
          <w:ilvl w:val="0"/>
          <w:numId w:val="18"/>
        </w:numPr>
        <w:adjustRightInd w:val="0"/>
        <w:snapToGrid w:val="0"/>
        <w:spacing w:line="360" w:lineRule="auto"/>
        <w:rPr>
          <w:rFonts w:ascii="宋体" w:hAnsi="宋体" w:cs="宋体"/>
          <w:color w:val="000000"/>
          <w:szCs w:val="21"/>
        </w:rPr>
      </w:pPr>
      <w:r>
        <w:rPr>
          <w:rFonts w:hint="eastAsia" w:ascii="宋体" w:hAnsi="宋体" w:cs="宋体"/>
          <w:color w:val="000000"/>
          <w:szCs w:val="21"/>
          <w:lang w:bidi="ar"/>
        </w:rPr>
        <w:t>设备材料的包装必须是制造商原厂包装，其包装均应有良好的防湿、防锈、防潮、防雨、防腐及防碰撞的措施。凡由于包装不良造成的损失和由此产生的费用均由供应商承担。</w:t>
      </w:r>
    </w:p>
    <w:p>
      <w:pPr>
        <w:numPr>
          <w:ilvl w:val="0"/>
          <w:numId w:val="18"/>
        </w:numPr>
        <w:adjustRightInd w:val="0"/>
        <w:snapToGrid w:val="0"/>
        <w:spacing w:line="360" w:lineRule="auto"/>
        <w:rPr>
          <w:rFonts w:ascii="宋体" w:hAnsi="宋体" w:cs="宋体"/>
          <w:color w:val="000000"/>
          <w:szCs w:val="21"/>
        </w:rPr>
      </w:pPr>
      <w:r>
        <w:rPr>
          <w:rFonts w:hint="eastAsia" w:ascii="宋体" w:hAnsi="宋体" w:cs="宋体"/>
          <w:color w:val="000000"/>
          <w:szCs w:val="21"/>
          <w:lang w:bidi="ar"/>
        </w:rPr>
        <w:t>成交人负责将设备材料货到现场过程中的全部运输，包括装卸车、货物现场的搬运。</w:t>
      </w:r>
    </w:p>
    <w:p>
      <w:pPr>
        <w:numPr>
          <w:ilvl w:val="0"/>
          <w:numId w:val="18"/>
        </w:numPr>
        <w:adjustRightInd w:val="0"/>
        <w:snapToGrid w:val="0"/>
        <w:spacing w:line="360" w:lineRule="auto"/>
        <w:rPr>
          <w:rFonts w:ascii="宋体" w:hAnsi="宋体" w:cs="宋体"/>
          <w:color w:val="000000"/>
          <w:szCs w:val="21"/>
        </w:rPr>
      </w:pPr>
      <w:r>
        <w:rPr>
          <w:rFonts w:hint="eastAsia" w:ascii="宋体" w:hAnsi="宋体" w:cs="宋体"/>
          <w:color w:val="000000"/>
          <w:szCs w:val="21"/>
          <w:lang w:bidi="ar"/>
        </w:rPr>
        <w:t>各种设备必须提供装箱清单，按装箱清单验收货物。</w:t>
      </w:r>
    </w:p>
    <w:p>
      <w:pPr>
        <w:numPr>
          <w:ilvl w:val="0"/>
          <w:numId w:val="18"/>
        </w:numPr>
        <w:adjustRightInd w:val="0"/>
        <w:snapToGrid w:val="0"/>
        <w:spacing w:line="360" w:lineRule="auto"/>
        <w:rPr>
          <w:rFonts w:ascii="宋体" w:hAnsi="宋体" w:cs="宋体"/>
          <w:color w:val="000000"/>
          <w:szCs w:val="21"/>
        </w:rPr>
      </w:pPr>
      <w:r>
        <w:rPr>
          <w:rFonts w:hint="eastAsia" w:ascii="宋体" w:hAnsi="宋体" w:cs="宋体"/>
          <w:color w:val="000000"/>
          <w:szCs w:val="21"/>
          <w:lang w:bidi="ar"/>
        </w:rPr>
        <w:t>货物在现场的保管由成交人负责，直至项目安装、验收完毕。</w:t>
      </w:r>
    </w:p>
    <w:p>
      <w:pPr>
        <w:numPr>
          <w:ilvl w:val="0"/>
          <w:numId w:val="18"/>
        </w:numPr>
        <w:adjustRightInd w:val="0"/>
        <w:snapToGrid w:val="0"/>
        <w:spacing w:line="360" w:lineRule="auto"/>
        <w:rPr>
          <w:rFonts w:ascii="宋体" w:hAnsi="宋体" w:cs="宋体"/>
          <w:color w:val="000000"/>
          <w:szCs w:val="21"/>
        </w:rPr>
      </w:pPr>
      <w:r>
        <w:rPr>
          <w:rFonts w:hint="eastAsia" w:ascii="宋体" w:hAnsi="宋体" w:cs="宋体"/>
          <w:color w:val="000000"/>
          <w:szCs w:val="21"/>
          <w:lang w:bidi="ar"/>
        </w:rPr>
        <w:t>货物在系统安装调试验收合格前的保险由成交人负责，成交人负责其派出的现场服务人员人身意外保险。</w:t>
      </w:r>
    </w:p>
    <w:p>
      <w:pPr>
        <w:numPr>
          <w:ilvl w:val="0"/>
          <w:numId w:val="18"/>
        </w:numPr>
        <w:adjustRightInd w:val="0"/>
        <w:snapToGrid w:val="0"/>
        <w:spacing w:line="360" w:lineRule="auto"/>
        <w:rPr>
          <w:rFonts w:ascii="宋体" w:hAnsi="宋体" w:cs="宋体"/>
          <w:color w:val="000000"/>
          <w:szCs w:val="21"/>
        </w:rPr>
      </w:pPr>
      <w:r>
        <w:rPr>
          <w:rFonts w:hint="eastAsia" w:ascii="宋体" w:hAnsi="宋体" w:cs="宋体"/>
          <w:color w:val="000000"/>
          <w:szCs w:val="21"/>
          <w:lang w:bidi="ar"/>
        </w:rPr>
        <w:t>设备至采购人指定的使用现场的包装、保险及发运等环节和费用均由成交人负责。</w:t>
      </w:r>
    </w:p>
    <w:p>
      <w:pPr>
        <w:pStyle w:val="18"/>
        <w:widowControl w:val="0"/>
        <w:numPr>
          <w:ilvl w:val="0"/>
          <w:numId w:val="16"/>
        </w:numPr>
        <w:tabs>
          <w:tab w:val="left" w:pos="540"/>
        </w:tabs>
        <w:adjustRightInd w:val="0"/>
        <w:snapToGrid w:val="0"/>
        <w:spacing w:before="0" w:beforeAutospacing="0" w:after="0" w:afterAutospacing="0" w:line="360" w:lineRule="auto"/>
        <w:jc w:val="both"/>
        <w:rPr>
          <w:b/>
          <w:color w:val="000000"/>
          <w:sz w:val="21"/>
          <w:szCs w:val="21"/>
          <w:lang w:bidi="ar"/>
        </w:rPr>
      </w:pPr>
      <w:r>
        <w:rPr>
          <w:rFonts w:hint="eastAsia"/>
          <w:b/>
          <w:color w:val="000000"/>
          <w:sz w:val="21"/>
          <w:szCs w:val="21"/>
          <w:lang w:bidi="ar"/>
        </w:rPr>
        <w:t>安装、调试与验收</w:t>
      </w:r>
    </w:p>
    <w:p>
      <w:pPr>
        <w:pStyle w:val="18"/>
        <w:widowControl w:val="0"/>
        <w:numPr>
          <w:ilvl w:val="0"/>
          <w:numId w:val="19"/>
        </w:numPr>
        <w:tabs>
          <w:tab w:val="left" w:pos="540"/>
        </w:tabs>
        <w:adjustRightInd w:val="0"/>
        <w:snapToGrid w:val="0"/>
        <w:spacing w:before="0" w:beforeAutospacing="0" w:after="0" w:afterAutospacing="0" w:line="360" w:lineRule="auto"/>
        <w:jc w:val="both"/>
        <w:rPr>
          <w:color w:val="000000"/>
          <w:sz w:val="21"/>
          <w:szCs w:val="21"/>
        </w:rPr>
      </w:pPr>
      <w:r>
        <w:rPr>
          <w:rFonts w:hint="eastAsia"/>
          <w:color w:val="000000"/>
          <w:sz w:val="21"/>
          <w:szCs w:val="21"/>
          <w:lang w:bidi="ar"/>
        </w:rPr>
        <w:t>成交人必须依照采购文件的要求和响应文件的承诺，将设备、系统安装并调试至正常运行的最佳状态。</w:t>
      </w:r>
    </w:p>
    <w:p>
      <w:pPr>
        <w:pStyle w:val="18"/>
        <w:widowControl w:val="0"/>
        <w:numPr>
          <w:ilvl w:val="0"/>
          <w:numId w:val="19"/>
        </w:numPr>
        <w:tabs>
          <w:tab w:val="left" w:pos="540"/>
        </w:tabs>
        <w:adjustRightInd w:val="0"/>
        <w:snapToGrid w:val="0"/>
        <w:spacing w:before="0" w:beforeAutospacing="0" w:after="0" w:afterAutospacing="0" w:line="360" w:lineRule="auto"/>
        <w:jc w:val="both"/>
        <w:rPr>
          <w:color w:val="000000"/>
          <w:sz w:val="21"/>
          <w:szCs w:val="21"/>
        </w:rPr>
      </w:pPr>
      <w:r>
        <w:rPr>
          <w:rFonts w:hint="eastAsia"/>
          <w:color w:val="000000"/>
          <w:sz w:val="21"/>
          <w:szCs w:val="21"/>
          <w:lang w:bidi="ar"/>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19"/>
        </w:numPr>
        <w:tabs>
          <w:tab w:val="left" w:pos="900"/>
        </w:tabs>
        <w:autoSpaceDE w:val="0"/>
        <w:autoSpaceDN w:val="0"/>
        <w:adjustRightInd w:val="0"/>
        <w:snapToGrid w:val="0"/>
        <w:spacing w:line="360" w:lineRule="auto"/>
        <w:rPr>
          <w:rFonts w:ascii="宋体" w:hAnsi="宋体" w:cs="宋体"/>
          <w:color w:val="000000"/>
          <w:szCs w:val="21"/>
        </w:rPr>
      </w:pPr>
      <w:r>
        <w:rPr>
          <w:rFonts w:hint="eastAsia" w:ascii="宋体" w:hAnsi="宋体" w:cs="宋体"/>
          <w:color w:val="000000"/>
          <w:szCs w:val="21"/>
          <w:lang w:bidi="ar"/>
        </w:rPr>
        <w:t>货物为原厂商未启封全新包装，具有出厂合格证，序列号、包装箱号与出厂批号一致，并可追索查阅。所有随设备的附件必须齐全。</w:t>
      </w:r>
    </w:p>
    <w:p>
      <w:pPr>
        <w:numPr>
          <w:ilvl w:val="0"/>
          <w:numId w:val="19"/>
        </w:numPr>
        <w:tabs>
          <w:tab w:val="left" w:pos="900"/>
        </w:tabs>
        <w:autoSpaceDE w:val="0"/>
        <w:autoSpaceDN w:val="0"/>
        <w:adjustRightInd w:val="0"/>
        <w:snapToGrid w:val="0"/>
        <w:spacing w:line="360" w:lineRule="auto"/>
        <w:rPr>
          <w:rFonts w:ascii="宋体" w:hAnsi="宋体" w:cs="宋体"/>
          <w:color w:val="000000"/>
          <w:szCs w:val="21"/>
        </w:rPr>
      </w:pPr>
      <w:r>
        <w:rPr>
          <w:rFonts w:hint="eastAsia" w:ascii="宋体" w:hAnsi="宋体" w:cs="宋体"/>
          <w:color w:val="000000"/>
          <w:szCs w:val="21"/>
          <w:lang w:bidi="ar"/>
        </w:rPr>
        <w:t>成交人应将关键主机设备的用户手册、保修手册、有关单证资料及配备件、随机工具等交付给采购人，使用操作及安全须知等重要资料应附有中文说明。</w:t>
      </w:r>
    </w:p>
    <w:p>
      <w:pPr>
        <w:numPr>
          <w:ilvl w:val="0"/>
          <w:numId w:val="19"/>
        </w:numPr>
        <w:tabs>
          <w:tab w:val="left" w:pos="900"/>
        </w:tabs>
        <w:autoSpaceDE w:val="0"/>
        <w:autoSpaceDN w:val="0"/>
        <w:adjustRightInd w:val="0"/>
        <w:snapToGrid w:val="0"/>
        <w:spacing w:line="360" w:lineRule="auto"/>
        <w:rPr>
          <w:rFonts w:ascii="宋体" w:hAnsi="宋体" w:cs="宋体"/>
          <w:color w:val="000000"/>
          <w:szCs w:val="21"/>
        </w:rPr>
      </w:pPr>
      <w:r>
        <w:rPr>
          <w:rFonts w:hint="eastAsia" w:ascii="宋体" w:hAnsi="宋体" w:cs="宋体"/>
          <w:color w:val="000000"/>
          <w:szCs w:val="21"/>
          <w:lang w:bidi="ar"/>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pPr>
        <w:pStyle w:val="50"/>
        <w:numPr>
          <w:ilvl w:val="0"/>
          <w:numId w:val="14"/>
        </w:numPr>
        <w:spacing w:line="360" w:lineRule="auto"/>
        <w:ind w:left="448" w:hanging="448" w:firstLineChars="0"/>
        <w:rPr>
          <w:rFonts w:ascii="宋体" w:hAnsi="宋体" w:cs="宋体"/>
          <w:b/>
          <w:szCs w:val="21"/>
        </w:rPr>
      </w:pPr>
      <w:r>
        <w:rPr>
          <w:rFonts w:hint="eastAsia" w:ascii="宋体" w:hAnsi="宋体" w:cs="宋体"/>
          <w:b/>
          <w:szCs w:val="21"/>
        </w:rPr>
        <w:t>付款方式</w:t>
      </w:r>
    </w:p>
    <w:p>
      <w:p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 xml:space="preserve">由采购人按下列程序付款： </w:t>
      </w:r>
    </w:p>
    <w:p>
      <w:pPr>
        <w:numPr>
          <w:ilvl w:val="0"/>
          <w:numId w:val="20"/>
        </w:num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设备在安装调试并验收合格后，正常运行</w:t>
      </w:r>
      <w:r>
        <w:rPr>
          <w:rFonts w:ascii="宋体" w:hAnsi="宋体" w:cs="宋体"/>
          <w:color w:val="000000"/>
          <w:szCs w:val="21"/>
          <w:lang w:bidi="ar"/>
        </w:rPr>
        <w:t>1个月</w:t>
      </w:r>
      <w:r>
        <w:rPr>
          <w:rFonts w:hint="eastAsia" w:ascii="宋体" w:hAnsi="宋体" w:cs="宋体"/>
          <w:color w:val="000000"/>
          <w:szCs w:val="21"/>
          <w:lang w:bidi="ar"/>
        </w:rPr>
        <w:t xml:space="preserve">后，在 </w:t>
      </w:r>
      <w:r>
        <w:rPr>
          <w:rFonts w:hint="eastAsia" w:ascii="宋体" w:hAnsi="宋体" w:cs="宋体"/>
          <w:color w:val="000000"/>
          <w:szCs w:val="21"/>
          <w:u w:val="single"/>
          <w:lang w:bidi="ar"/>
        </w:rPr>
        <w:t>30</w:t>
      </w:r>
      <w:r>
        <w:rPr>
          <w:rFonts w:hint="eastAsia" w:ascii="宋体" w:hAnsi="宋体" w:cs="宋体"/>
          <w:color w:val="000000"/>
          <w:szCs w:val="21"/>
          <w:lang w:bidi="ar"/>
        </w:rPr>
        <w:t xml:space="preserve">  个工作日内，支付合同总价的100  %。</w:t>
      </w:r>
    </w:p>
    <w:p>
      <w:pPr>
        <w:numPr>
          <w:ilvl w:val="0"/>
          <w:numId w:val="20"/>
        </w:num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成交人凭以下有效文件与采购人结算：</w:t>
      </w:r>
    </w:p>
    <w:p>
      <w:pPr>
        <w:numPr>
          <w:ilvl w:val="0"/>
          <w:numId w:val="21"/>
        </w:num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合同；</w:t>
      </w:r>
    </w:p>
    <w:p>
      <w:pPr>
        <w:numPr>
          <w:ilvl w:val="0"/>
          <w:numId w:val="21"/>
        </w:num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成交人开具的正式发票；</w:t>
      </w:r>
    </w:p>
    <w:p>
      <w:pPr>
        <w:numPr>
          <w:ilvl w:val="0"/>
          <w:numId w:val="21"/>
        </w:numPr>
        <w:adjustRightInd w:val="0"/>
        <w:snapToGrid w:val="0"/>
        <w:spacing w:line="360" w:lineRule="auto"/>
        <w:rPr>
          <w:rFonts w:ascii="宋体" w:hAnsi="宋体" w:cs="宋体"/>
          <w:color w:val="000000"/>
          <w:szCs w:val="21"/>
          <w:lang w:bidi="ar"/>
        </w:rPr>
      </w:pPr>
      <w:r>
        <w:rPr>
          <w:rFonts w:hint="eastAsia" w:ascii="宋体" w:hAnsi="宋体" w:cs="宋体"/>
          <w:color w:val="000000"/>
          <w:szCs w:val="21"/>
          <w:lang w:bidi="ar"/>
        </w:rPr>
        <w:t>验收调试报告（加盖采购人公章）；</w:t>
      </w:r>
    </w:p>
    <w:p>
      <w:pPr>
        <w:numPr>
          <w:ilvl w:val="0"/>
          <w:numId w:val="21"/>
        </w:numPr>
        <w:adjustRightInd w:val="0"/>
        <w:snapToGrid w:val="0"/>
        <w:spacing w:line="360" w:lineRule="auto"/>
        <w:rPr>
          <w:rFonts w:ascii="宋体" w:hAnsi="宋体" w:cs="宋体"/>
          <w:b/>
          <w:bCs/>
          <w:szCs w:val="21"/>
        </w:rPr>
      </w:pPr>
      <w:r>
        <w:rPr>
          <w:rFonts w:hint="eastAsia" w:ascii="宋体" w:hAnsi="宋体" w:cs="宋体"/>
          <w:color w:val="000000"/>
          <w:szCs w:val="21"/>
          <w:lang w:bidi="ar"/>
        </w:rPr>
        <w:t>成交通知书。</w:t>
      </w:r>
      <w:r>
        <w:rPr>
          <w:rFonts w:hint="eastAsia" w:ascii="宋体" w:hAnsi="宋体" w:cs="宋体"/>
          <w:b/>
          <w:color w:val="000000"/>
          <w:szCs w:val="21"/>
          <w:lang w:bidi="ar"/>
        </w:rPr>
        <w:tab/>
      </w:r>
    </w:p>
    <w:p>
      <w:pPr>
        <w:pStyle w:val="50"/>
        <w:numPr>
          <w:ilvl w:val="0"/>
          <w:numId w:val="14"/>
        </w:numPr>
        <w:spacing w:line="360" w:lineRule="auto"/>
        <w:ind w:left="448" w:hanging="448" w:firstLineChars="0"/>
        <w:rPr>
          <w:rFonts w:ascii="宋体" w:hAnsi="宋体" w:cs="宋体"/>
          <w:b/>
          <w:szCs w:val="21"/>
        </w:rPr>
      </w:pPr>
      <w:r>
        <w:rPr>
          <w:rFonts w:hint="eastAsia" w:ascii="宋体" w:hAnsi="宋体" w:cs="宋体"/>
          <w:b/>
          <w:szCs w:val="21"/>
        </w:rPr>
        <w:t>评分标准：</w:t>
      </w:r>
    </w:p>
    <w:p>
      <w:pPr>
        <w:spacing w:line="360" w:lineRule="auto"/>
        <w:rPr>
          <w:rFonts w:ascii="宋体" w:hAnsi="宋体" w:cs="宋体"/>
          <w:b/>
          <w:bCs/>
          <w:szCs w:val="21"/>
        </w:rPr>
      </w:pPr>
      <w:r>
        <w:rPr>
          <w:rFonts w:hint="eastAsia" w:ascii="宋体" w:hAnsi="宋体" w:cs="宋体"/>
          <w:b/>
          <w:bCs/>
          <w:szCs w:val="21"/>
        </w:rPr>
        <w:t>本次采用综合评分法。评审以文件规定的条件为依据。评分比重构成如下：</w:t>
      </w:r>
    </w:p>
    <w:tbl>
      <w:tblPr>
        <w:tblStyle w:val="22"/>
        <w:tblW w:w="833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876"/>
        <w:gridCol w:w="2337"/>
        <w:gridCol w:w="2226"/>
        <w:gridCol w:w="18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1876"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评分项目</w:t>
            </w:r>
          </w:p>
        </w:tc>
        <w:tc>
          <w:tcPr>
            <w:tcW w:w="2337"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技术部分</w:t>
            </w:r>
          </w:p>
        </w:tc>
        <w:tc>
          <w:tcPr>
            <w:tcW w:w="2226"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商务部分</w:t>
            </w:r>
          </w:p>
        </w:tc>
        <w:tc>
          <w:tcPr>
            <w:tcW w:w="1894"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cs="宋体"/>
                <w:b/>
                <w:bCs/>
                <w:szCs w:val="21"/>
              </w:rPr>
            </w:pPr>
            <w:r>
              <w:rPr>
                <w:rFonts w:hint="eastAsia" w:ascii="宋体" w:hAnsi="宋体" w:cs="宋体"/>
                <w:b/>
                <w:bCs/>
                <w:szCs w:val="21"/>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1876"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分值</w:t>
            </w:r>
          </w:p>
        </w:tc>
        <w:tc>
          <w:tcPr>
            <w:tcW w:w="2337"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45分</w:t>
            </w:r>
          </w:p>
        </w:tc>
        <w:tc>
          <w:tcPr>
            <w:tcW w:w="2226"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25分</w:t>
            </w:r>
          </w:p>
        </w:tc>
        <w:tc>
          <w:tcPr>
            <w:tcW w:w="1894"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宋体" w:hAnsi="宋体" w:cs="宋体"/>
                <w:szCs w:val="21"/>
              </w:rPr>
            </w:pPr>
            <w:r>
              <w:rPr>
                <w:rFonts w:hint="eastAsia" w:ascii="宋体" w:hAnsi="宋体" w:cs="宋体"/>
                <w:szCs w:val="21"/>
              </w:rPr>
              <w:t>30分</w:t>
            </w:r>
          </w:p>
        </w:tc>
      </w:tr>
    </w:tbl>
    <w:p>
      <w:pPr>
        <w:pStyle w:val="21"/>
        <w:ind w:left="0" w:leftChars="0" w:firstLine="0" w:firstLineChars="0"/>
        <w:rPr>
          <w:rFonts w:ascii="宋体" w:hAnsi="宋体" w:cs="宋体"/>
        </w:rPr>
      </w:pPr>
    </w:p>
    <w:tbl>
      <w:tblPr>
        <w:tblStyle w:val="22"/>
        <w:tblW w:w="5001"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72"/>
        <w:gridCol w:w="1567"/>
        <w:gridCol w:w="4817"/>
        <w:gridCol w:w="711"/>
        <w:gridCol w:w="7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394" w:type="pct"/>
            <w:tcBorders>
              <w:top w:val="single" w:color="auto" w:sz="12" w:space="0"/>
              <w:left w:val="single" w:color="auto" w:sz="12" w:space="0"/>
            </w:tcBorders>
            <w:vAlign w:val="center"/>
          </w:tcPr>
          <w:p>
            <w:pPr>
              <w:ind w:left="-78" w:leftChars="-37" w:right="-73" w:rightChars="-35"/>
              <w:jc w:val="center"/>
              <w:rPr>
                <w:rFonts w:ascii="宋体" w:hAnsi="宋体" w:cs="宋体"/>
                <w:b/>
                <w:szCs w:val="21"/>
              </w:rPr>
            </w:pPr>
            <w:r>
              <w:rPr>
                <w:rFonts w:hint="eastAsia" w:ascii="宋体" w:hAnsi="宋体" w:cs="宋体"/>
                <w:b/>
                <w:szCs w:val="21"/>
              </w:rPr>
              <w:t>评审部分</w:t>
            </w:r>
          </w:p>
        </w:tc>
        <w:tc>
          <w:tcPr>
            <w:tcW w:w="919" w:type="pct"/>
            <w:tcBorders>
              <w:top w:val="single" w:color="auto" w:sz="12" w:space="0"/>
            </w:tcBorders>
            <w:vAlign w:val="center"/>
          </w:tcPr>
          <w:p>
            <w:pPr>
              <w:ind w:left="-78" w:leftChars="-37" w:right="-73" w:rightChars="-35"/>
              <w:jc w:val="center"/>
              <w:rPr>
                <w:rFonts w:ascii="宋体" w:hAnsi="宋体" w:cs="宋体"/>
                <w:b/>
                <w:szCs w:val="21"/>
              </w:rPr>
            </w:pPr>
            <w:r>
              <w:rPr>
                <w:rFonts w:hint="eastAsia" w:ascii="宋体" w:hAnsi="宋体" w:cs="宋体"/>
                <w:b/>
                <w:szCs w:val="21"/>
              </w:rPr>
              <w:t>评审因素</w:t>
            </w:r>
          </w:p>
        </w:tc>
        <w:tc>
          <w:tcPr>
            <w:tcW w:w="2825" w:type="pct"/>
            <w:tcBorders>
              <w:top w:val="single" w:color="auto" w:sz="12" w:space="0"/>
            </w:tcBorders>
            <w:vAlign w:val="center"/>
          </w:tcPr>
          <w:p>
            <w:pPr>
              <w:ind w:left="-78" w:leftChars="-37" w:right="-73" w:rightChars="-35"/>
              <w:jc w:val="center"/>
              <w:rPr>
                <w:rFonts w:ascii="宋体" w:hAnsi="宋体" w:cs="宋体"/>
                <w:b/>
                <w:szCs w:val="21"/>
              </w:rPr>
            </w:pPr>
            <w:r>
              <w:rPr>
                <w:rFonts w:hint="eastAsia" w:ascii="宋体" w:hAnsi="宋体" w:cs="宋体"/>
                <w:b/>
                <w:szCs w:val="21"/>
              </w:rPr>
              <w:t>评分细则</w:t>
            </w:r>
          </w:p>
        </w:tc>
        <w:tc>
          <w:tcPr>
            <w:tcW w:w="417" w:type="pct"/>
            <w:tcBorders>
              <w:top w:val="single" w:color="auto" w:sz="12" w:space="0"/>
              <w:right w:val="single" w:color="auto" w:sz="4" w:space="0"/>
            </w:tcBorders>
            <w:vAlign w:val="center"/>
          </w:tcPr>
          <w:p>
            <w:pPr>
              <w:ind w:left="-78" w:leftChars="-37" w:right="-73" w:rightChars="-35"/>
              <w:jc w:val="center"/>
              <w:rPr>
                <w:rFonts w:ascii="宋体" w:hAnsi="宋体" w:cs="宋体"/>
                <w:b/>
                <w:szCs w:val="21"/>
              </w:rPr>
            </w:pPr>
            <w:r>
              <w:rPr>
                <w:rFonts w:hint="eastAsia" w:ascii="宋体" w:hAnsi="宋体" w:cs="宋体"/>
                <w:b/>
                <w:szCs w:val="21"/>
              </w:rPr>
              <w:t>权重</w:t>
            </w:r>
          </w:p>
        </w:tc>
        <w:tc>
          <w:tcPr>
            <w:tcW w:w="444" w:type="pct"/>
            <w:tcBorders>
              <w:top w:val="single" w:color="auto" w:sz="12" w:space="0"/>
              <w:left w:val="single" w:color="auto" w:sz="4" w:space="0"/>
              <w:right w:val="single" w:color="auto" w:sz="12" w:space="0"/>
            </w:tcBorders>
            <w:vAlign w:val="center"/>
          </w:tcPr>
          <w:p>
            <w:pPr>
              <w:ind w:left="-78" w:leftChars="-37" w:right="-73" w:rightChars="-35"/>
              <w:jc w:val="center"/>
              <w:rPr>
                <w:rFonts w:ascii="宋体" w:hAnsi="宋体" w:cs="宋体"/>
                <w:b/>
                <w:szCs w:val="21"/>
              </w:rPr>
            </w:pPr>
            <w:r>
              <w:rPr>
                <w:rFonts w:hint="eastAsia" w:ascii="宋体" w:hAnsi="宋体" w:cs="宋体"/>
                <w:b/>
                <w:szCs w:val="21"/>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3" w:hRule="atLeast"/>
        </w:trPr>
        <w:tc>
          <w:tcPr>
            <w:tcW w:w="394" w:type="pct"/>
            <w:tcBorders>
              <w:top w:val="single" w:color="auto" w:sz="12" w:space="0"/>
              <w:left w:val="single" w:color="auto" w:sz="12" w:space="0"/>
            </w:tcBorders>
            <w:vAlign w:val="center"/>
          </w:tcPr>
          <w:p>
            <w:pPr>
              <w:ind w:left="-78" w:leftChars="-37" w:right="-73" w:rightChars="-35"/>
              <w:jc w:val="center"/>
              <w:rPr>
                <w:rFonts w:ascii="宋体" w:hAnsi="宋体" w:cs="宋体"/>
                <w:b/>
                <w:szCs w:val="21"/>
              </w:rPr>
            </w:pPr>
            <w:r>
              <w:rPr>
                <w:rFonts w:hint="eastAsia" w:ascii="宋体" w:hAnsi="宋体" w:cs="宋体"/>
                <w:b/>
                <w:szCs w:val="21"/>
              </w:rPr>
              <w:t>一</w:t>
            </w:r>
          </w:p>
        </w:tc>
        <w:tc>
          <w:tcPr>
            <w:tcW w:w="4605" w:type="pct"/>
            <w:gridSpan w:val="4"/>
            <w:tcBorders>
              <w:top w:val="single" w:color="auto" w:sz="12" w:space="0"/>
              <w:right w:val="single" w:color="auto" w:sz="12" w:space="0"/>
            </w:tcBorders>
            <w:vAlign w:val="center"/>
          </w:tcPr>
          <w:p>
            <w:pPr>
              <w:ind w:left="-78" w:leftChars="-37" w:right="-73" w:rightChars="-35"/>
              <w:jc w:val="center"/>
              <w:rPr>
                <w:rFonts w:ascii="宋体" w:hAnsi="宋体" w:cs="宋体"/>
                <w:b/>
                <w:szCs w:val="21"/>
              </w:rPr>
            </w:pPr>
            <w:r>
              <w:rPr>
                <w:rFonts w:hint="eastAsia" w:ascii="宋体" w:hAnsi="宋体" w:cs="宋体"/>
                <w:b/>
                <w:szCs w:val="21"/>
              </w:rPr>
              <w:t>实质性条款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394" w:type="pct"/>
            <w:tcBorders>
              <w:top w:val="single" w:color="auto" w:sz="12" w:space="0"/>
              <w:left w:val="single" w:color="auto" w:sz="12" w:space="0"/>
            </w:tcBorders>
            <w:vAlign w:val="center"/>
          </w:tcPr>
          <w:p>
            <w:pPr>
              <w:ind w:left="-78" w:leftChars="-37" w:right="-73" w:rightChars="-35"/>
              <w:jc w:val="center"/>
              <w:rPr>
                <w:rFonts w:ascii="宋体" w:hAnsi="宋体" w:cs="宋体"/>
                <w:b/>
                <w:szCs w:val="21"/>
              </w:rPr>
            </w:pPr>
            <w:r>
              <w:rPr>
                <w:rFonts w:hint="eastAsia" w:ascii="宋体" w:hAnsi="宋体" w:cs="宋体"/>
                <w:b/>
                <w:szCs w:val="21"/>
              </w:rPr>
              <w:t>1.</w:t>
            </w:r>
          </w:p>
        </w:tc>
        <w:tc>
          <w:tcPr>
            <w:tcW w:w="919" w:type="pct"/>
            <w:tcBorders>
              <w:top w:val="single" w:color="auto" w:sz="12" w:space="0"/>
            </w:tcBorders>
            <w:vAlign w:val="center"/>
          </w:tcPr>
          <w:p>
            <w:pPr>
              <w:ind w:left="-78" w:leftChars="-37" w:right="-73" w:rightChars="-35"/>
              <w:jc w:val="center"/>
              <w:rPr>
                <w:rFonts w:ascii="宋体" w:hAnsi="宋体" w:cs="宋体"/>
                <w:b/>
                <w:szCs w:val="21"/>
              </w:rPr>
            </w:pPr>
            <w:r>
              <w:rPr>
                <w:rFonts w:hint="eastAsia" w:ascii="宋体" w:hAnsi="宋体" w:cs="宋体"/>
                <w:b/>
                <w:szCs w:val="21"/>
              </w:rPr>
              <w:t>★实质性条款</w:t>
            </w:r>
          </w:p>
        </w:tc>
        <w:tc>
          <w:tcPr>
            <w:tcW w:w="3686" w:type="pct"/>
            <w:gridSpan w:val="3"/>
            <w:tcBorders>
              <w:top w:val="single" w:color="auto" w:sz="12" w:space="0"/>
              <w:right w:val="single" w:color="auto" w:sz="12" w:space="0"/>
            </w:tcBorders>
            <w:vAlign w:val="center"/>
          </w:tcPr>
          <w:p>
            <w:pPr>
              <w:overflowPunct w:val="0"/>
              <w:autoSpaceDE w:val="0"/>
              <w:autoSpaceDN w:val="0"/>
              <w:adjustRightInd w:val="0"/>
              <w:spacing w:line="276" w:lineRule="auto"/>
              <w:textAlignment w:val="baseline"/>
              <w:rPr>
                <w:rFonts w:ascii="宋体" w:hAnsi="宋体" w:cs="宋体"/>
                <w:color w:val="000000"/>
                <w:szCs w:val="21"/>
              </w:rPr>
            </w:pPr>
            <w:r>
              <w:rPr>
                <w:rFonts w:hint="eastAsia" w:ascii="宋体" w:hAnsi="宋体" w:cs="宋体"/>
                <w:color w:val="000000"/>
                <w:szCs w:val="21"/>
              </w:rPr>
              <w:t>1.二氧化硫分析仪：</w:t>
            </w:r>
          </w:p>
          <w:p>
            <w:pPr>
              <w:overflowPunct w:val="0"/>
              <w:autoSpaceDE w:val="0"/>
              <w:autoSpaceDN w:val="0"/>
              <w:adjustRightInd w:val="0"/>
              <w:spacing w:line="276" w:lineRule="auto"/>
              <w:textAlignment w:val="baseline"/>
              <w:rPr>
                <w:rFonts w:ascii="宋体" w:hAnsi="宋体" w:cs="宋体"/>
                <w:color w:val="000000"/>
                <w:szCs w:val="21"/>
              </w:rPr>
            </w:pPr>
            <w:r>
              <w:rPr>
                <w:rFonts w:hint="eastAsia" w:ascii="宋体" w:hAnsi="宋体" w:cs="宋体"/>
                <w:color w:val="000000"/>
                <w:szCs w:val="21"/>
              </w:rPr>
              <w:t>（1）仪器一体化设计，一次可做至少4组样品，每个通道加热功率均可单独控制，可完成加热、蒸馏回流、冷却、氮吹控制、磁力搅拌、接收工作，且总功率应不超过2000 W；同时加热单位底部应预留导液孔，且仪器设有废液槽（需提供相关佐证材料）。</w:t>
            </w:r>
          </w:p>
          <w:p>
            <w:pPr>
              <w:pStyle w:val="2"/>
              <w:spacing w:line="276" w:lineRule="auto"/>
              <w:ind w:firstLine="0"/>
              <w:rPr>
                <w:rFonts w:ascii="宋体" w:hAnsi="宋体" w:cs="宋体"/>
                <w:color w:val="000000"/>
                <w:sz w:val="21"/>
                <w:szCs w:val="21"/>
              </w:rPr>
            </w:pPr>
            <w:r>
              <w:rPr>
                <w:rFonts w:hint="eastAsia" w:ascii="宋体" w:hAnsi="宋体" w:cs="宋体"/>
                <w:sz w:val="21"/>
                <w:szCs w:val="21"/>
              </w:rPr>
              <w:t>（2）冷凝瓶采用防滴水设计，配套接收管路试管口放置装置。</w:t>
            </w:r>
          </w:p>
          <w:p>
            <w:pPr>
              <w:pStyle w:val="2"/>
              <w:spacing w:line="276" w:lineRule="auto"/>
              <w:ind w:firstLine="0"/>
              <w:rPr>
                <w:rFonts w:ascii="宋体" w:hAnsi="宋体" w:cs="宋体"/>
                <w:color w:val="000000"/>
                <w:sz w:val="21"/>
                <w:szCs w:val="21"/>
              </w:rPr>
            </w:pPr>
            <w:r>
              <w:rPr>
                <w:rFonts w:hint="eastAsia" w:ascii="宋体" w:hAnsi="宋体" w:cs="宋体"/>
                <w:color w:val="000000"/>
                <w:sz w:val="21"/>
                <w:szCs w:val="21"/>
              </w:rPr>
              <w:t>2.耐腐蚀型氮吹仪：</w:t>
            </w:r>
          </w:p>
          <w:p>
            <w:pPr>
              <w:pStyle w:val="2"/>
              <w:spacing w:line="276" w:lineRule="auto"/>
              <w:ind w:firstLine="0"/>
              <w:rPr>
                <w:rFonts w:ascii="宋体" w:hAnsi="宋体" w:cs="宋体"/>
                <w:color w:val="000000"/>
                <w:sz w:val="21"/>
                <w:szCs w:val="21"/>
              </w:rPr>
            </w:pPr>
            <w:r>
              <w:rPr>
                <w:rFonts w:hint="eastAsia" w:ascii="宋体" w:hAnsi="宋体" w:cs="宋体"/>
                <w:color w:val="000000"/>
                <w:sz w:val="21"/>
                <w:szCs w:val="21"/>
              </w:rPr>
              <w:t>（1）</w:t>
            </w:r>
            <w:r>
              <w:rPr>
                <w:rFonts w:hint="eastAsia" w:ascii="宋体" w:hAnsi="宋体" w:cs="宋体"/>
                <w:color w:val="000000"/>
                <w:kern w:val="2"/>
                <w:sz w:val="21"/>
                <w:szCs w:val="21"/>
              </w:rPr>
              <w:t>材质要求：整机喷镀特氟龙涂层，且涂层不易掉落；常规不锈钢材质不可。</w:t>
            </w:r>
          </w:p>
          <w:p>
            <w:pPr>
              <w:spacing w:line="276" w:lineRule="auto"/>
              <w:ind w:left="-78" w:leftChars="-37" w:right="-73" w:rightChars="-35"/>
              <w:jc w:val="left"/>
              <w:rPr>
                <w:rFonts w:ascii="宋体" w:hAnsi="宋体" w:cs="宋体"/>
                <w:b/>
                <w:szCs w:val="21"/>
              </w:rPr>
            </w:pPr>
            <w:r>
              <w:rPr>
                <w:rFonts w:hint="eastAsia" w:ascii="宋体" w:hAnsi="宋体" w:cs="宋体"/>
                <w:szCs w:val="21"/>
              </w:rPr>
              <w:t>备注：如用户需求书中有明确要求提供证明材料的，则以用户需求书要求的为准，未按要求提供证明资料的不得分；如用户需求书中无明确要求提供证明材料的，以报价人的《技术规格偏离表》（格式见附件）为准，未响应的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394" w:type="pct"/>
            <w:tcBorders>
              <w:left w:val="single" w:color="auto" w:sz="12" w:space="0"/>
            </w:tcBorders>
            <w:vAlign w:val="center"/>
          </w:tcPr>
          <w:p>
            <w:pPr>
              <w:ind w:left="-78" w:leftChars="-37" w:right="-73" w:rightChars="-35"/>
              <w:jc w:val="center"/>
              <w:rPr>
                <w:rFonts w:ascii="宋体" w:hAnsi="宋体" w:cs="宋体"/>
                <w:b/>
                <w:szCs w:val="21"/>
              </w:rPr>
            </w:pPr>
            <w:r>
              <w:rPr>
                <w:rFonts w:hint="eastAsia" w:ascii="宋体" w:hAnsi="宋体" w:cs="宋体"/>
                <w:b/>
                <w:szCs w:val="21"/>
              </w:rPr>
              <w:t>二</w:t>
            </w:r>
          </w:p>
        </w:tc>
        <w:tc>
          <w:tcPr>
            <w:tcW w:w="4605" w:type="pct"/>
            <w:gridSpan w:val="4"/>
            <w:tcBorders>
              <w:right w:val="single" w:color="auto" w:sz="12" w:space="0"/>
            </w:tcBorders>
            <w:vAlign w:val="center"/>
          </w:tcPr>
          <w:p>
            <w:pPr>
              <w:ind w:left="-78" w:leftChars="-37" w:right="-73" w:rightChars="-35"/>
              <w:jc w:val="center"/>
              <w:rPr>
                <w:rFonts w:ascii="宋体" w:hAnsi="宋体" w:cs="宋体"/>
                <w:b/>
                <w:szCs w:val="21"/>
              </w:rPr>
            </w:pPr>
            <w:r>
              <w:rPr>
                <w:rFonts w:hint="eastAsia" w:ascii="宋体" w:hAnsi="宋体" w:cs="宋体"/>
                <w:b/>
                <w:szCs w:val="21"/>
              </w:rPr>
              <w:t>技术部分（45分）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8" w:hRule="atLeast"/>
        </w:trPr>
        <w:tc>
          <w:tcPr>
            <w:tcW w:w="394" w:type="pct"/>
            <w:tcBorders>
              <w:left w:val="single" w:color="auto" w:sz="12" w:space="0"/>
              <w:bottom w:val="single" w:color="auto" w:sz="4" w:space="0"/>
            </w:tcBorders>
            <w:vAlign w:val="center"/>
          </w:tcPr>
          <w:p>
            <w:pPr>
              <w:jc w:val="center"/>
              <w:rPr>
                <w:rFonts w:ascii="宋体" w:hAnsi="宋体" w:cs="宋体"/>
                <w:bCs/>
              </w:rPr>
            </w:pPr>
            <w:r>
              <w:rPr>
                <w:rFonts w:hint="eastAsia" w:ascii="宋体" w:hAnsi="宋体" w:cs="宋体"/>
                <w:bCs/>
              </w:rPr>
              <w:t>1</w:t>
            </w:r>
          </w:p>
        </w:tc>
        <w:tc>
          <w:tcPr>
            <w:tcW w:w="919" w:type="pct"/>
            <w:vAlign w:val="center"/>
          </w:tcPr>
          <w:p>
            <w:pPr>
              <w:spacing w:line="240" w:lineRule="exact"/>
              <w:jc w:val="center"/>
              <w:rPr>
                <w:rFonts w:ascii="宋体" w:hAnsi="宋体" w:cs="宋体"/>
                <w:szCs w:val="21"/>
              </w:rPr>
            </w:pPr>
            <w:r>
              <w:rPr>
                <w:rFonts w:hint="eastAsia" w:ascii="宋体" w:hAnsi="宋体" w:cs="宋体"/>
                <w:szCs w:val="21"/>
              </w:rPr>
              <w:t>技术参数响应情况</w:t>
            </w:r>
          </w:p>
        </w:tc>
        <w:tc>
          <w:tcPr>
            <w:tcW w:w="2825" w:type="pct"/>
            <w:vAlign w:val="center"/>
          </w:tcPr>
          <w:p>
            <w:pPr>
              <w:spacing w:line="276" w:lineRule="auto"/>
              <w:jc w:val="left"/>
              <w:rPr>
                <w:rFonts w:ascii="宋体" w:hAnsi="宋体" w:cs="宋体"/>
                <w:highlight w:val="none"/>
              </w:rPr>
            </w:pPr>
            <w:r>
              <w:rPr>
                <w:rFonts w:hint="eastAsia" w:ascii="宋体" w:hAnsi="宋体" w:cs="宋体"/>
                <w:highlight w:val="none"/>
              </w:rPr>
              <w:t>1、满足《第二章 用户需求书》的“二、技术要求” 中的所有标注“▲”号的重要技术参数，全部满足得10分，每不满足一项扣2分，扣完为止；</w:t>
            </w:r>
          </w:p>
          <w:p>
            <w:pPr>
              <w:spacing w:line="276" w:lineRule="auto"/>
              <w:jc w:val="left"/>
              <w:rPr>
                <w:rFonts w:ascii="宋体" w:hAnsi="宋体" w:cs="宋体"/>
                <w:highlight w:val="none"/>
              </w:rPr>
            </w:pPr>
            <w:r>
              <w:rPr>
                <w:rFonts w:hint="eastAsia" w:ascii="宋体" w:hAnsi="宋体" w:cs="宋体"/>
                <w:highlight w:val="none"/>
              </w:rPr>
              <w:t>2、满足《第二章 用户需求书》的“二、技术要求” 中所有没有标注“▲”号的一般技术参数，全部满足得20分，每不满足一项扣1分，扣完为止；</w:t>
            </w:r>
          </w:p>
          <w:p>
            <w:pPr>
              <w:spacing w:line="276" w:lineRule="auto"/>
              <w:jc w:val="left"/>
              <w:rPr>
                <w:rFonts w:ascii="宋体" w:hAnsi="宋体" w:cs="宋体"/>
                <w:szCs w:val="21"/>
                <w:highlight w:val="none"/>
              </w:rPr>
            </w:pPr>
            <w:r>
              <w:rPr>
                <w:rFonts w:hint="eastAsia" w:ascii="宋体" w:hAnsi="宋体" w:cs="宋体"/>
                <w:highlight w:val="none"/>
              </w:rPr>
              <w:t>备注：如用户需求书中有明确要求提供证明材料的，则以用户需求书要求的为准，未按要求提供证明资料的不得分；如用户需求书中无明确要求提供证明材料的，以报价人的《技术规格偏离表》（格式见附件）为准，未响应的均不得分。</w:t>
            </w:r>
          </w:p>
        </w:tc>
        <w:tc>
          <w:tcPr>
            <w:tcW w:w="417" w:type="pct"/>
            <w:tcBorders>
              <w:right w:val="single" w:color="auto" w:sz="4" w:space="0"/>
            </w:tcBorders>
            <w:vAlign w:val="center"/>
          </w:tcPr>
          <w:p>
            <w:pPr>
              <w:jc w:val="center"/>
              <w:rPr>
                <w:rFonts w:ascii="宋体" w:hAnsi="宋体" w:cs="宋体"/>
              </w:rPr>
            </w:pPr>
            <w:r>
              <w:rPr>
                <w:rFonts w:hint="eastAsia" w:ascii="宋体" w:hAnsi="宋体" w:cs="宋体"/>
              </w:rPr>
              <w:t>30%</w:t>
            </w:r>
          </w:p>
        </w:tc>
        <w:tc>
          <w:tcPr>
            <w:tcW w:w="444" w:type="pct"/>
            <w:tcBorders>
              <w:left w:val="single" w:color="auto" w:sz="4" w:space="0"/>
              <w:right w:val="single" w:color="auto" w:sz="12" w:space="0"/>
            </w:tcBorders>
            <w:vAlign w:val="center"/>
          </w:tcPr>
          <w:p>
            <w:pPr>
              <w:jc w:val="center"/>
              <w:rPr>
                <w:rFonts w:ascii="宋体" w:hAnsi="宋体" w:cs="宋体"/>
              </w:rPr>
            </w:pPr>
            <w:r>
              <w:rPr>
                <w:rFonts w:hint="eastAsia" w:ascii="宋体" w:hAnsi="宋体" w:cs="宋体"/>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94" w:type="pct"/>
            <w:tcBorders>
              <w:left w:val="single" w:color="auto" w:sz="12" w:space="0"/>
              <w:bottom w:val="single" w:color="auto" w:sz="4" w:space="0"/>
            </w:tcBorders>
            <w:vAlign w:val="center"/>
          </w:tcPr>
          <w:p>
            <w:pPr>
              <w:jc w:val="center"/>
              <w:rPr>
                <w:rFonts w:ascii="宋体" w:hAnsi="宋体" w:cs="宋体"/>
                <w:bCs/>
              </w:rPr>
            </w:pPr>
            <w:r>
              <w:rPr>
                <w:rFonts w:hint="eastAsia" w:ascii="宋体" w:hAnsi="宋体" w:cs="宋体"/>
                <w:bCs/>
              </w:rPr>
              <w:t>2</w:t>
            </w:r>
          </w:p>
        </w:tc>
        <w:tc>
          <w:tcPr>
            <w:tcW w:w="919" w:type="pct"/>
            <w:vAlign w:val="center"/>
          </w:tcPr>
          <w:p>
            <w:pPr>
              <w:spacing w:line="240" w:lineRule="exact"/>
              <w:jc w:val="center"/>
              <w:rPr>
                <w:rFonts w:ascii="宋体" w:hAnsi="宋体" w:cs="宋体"/>
                <w:szCs w:val="21"/>
              </w:rPr>
            </w:pPr>
            <w:r>
              <w:rPr>
                <w:rFonts w:hint="eastAsia" w:ascii="宋体" w:hAnsi="宋体" w:cs="宋体"/>
                <w:szCs w:val="21"/>
              </w:rPr>
              <w:t>技术保障措施</w:t>
            </w:r>
          </w:p>
        </w:tc>
        <w:tc>
          <w:tcPr>
            <w:tcW w:w="2825" w:type="pct"/>
            <w:vAlign w:val="center"/>
          </w:tcPr>
          <w:p>
            <w:pPr>
              <w:spacing w:line="360" w:lineRule="auto"/>
              <w:jc w:val="left"/>
              <w:rPr>
                <w:rFonts w:ascii="宋体" w:hAnsi="宋体" w:cs="宋体"/>
                <w:bCs/>
                <w:color w:val="000000"/>
                <w:szCs w:val="21"/>
              </w:rPr>
            </w:pPr>
            <w:r>
              <w:rPr>
                <w:rFonts w:hint="eastAsia" w:ascii="宋体" w:hAnsi="宋体" w:cs="宋体"/>
                <w:color w:val="000000"/>
                <w:szCs w:val="21"/>
              </w:rPr>
              <w:t>针对本项目制定技术保障措施，包括</w:t>
            </w:r>
            <w:r>
              <w:rPr>
                <w:rFonts w:hint="eastAsia" w:ascii="宋体" w:hAnsi="宋体" w:cs="宋体"/>
                <w:bCs/>
                <w:color w:val="000000"/>
                <w:szCs w:val="21"/>
              </w:rPr>
              <w:t>对质量保证、项目重点难点分析、应对措施、相关的合理化建议等。</w:t>
            </w:r>
          </w:p>
          <w:p>
            <w:pPr>
              <w:spacing w:line="360" w:lineRule="auto"/>
              <w:jc w:val="left"/>
              <w:rPr>
                <w:rFonts w:ascii="宋体" w:hAnsi="宋体" w:cs="宋体"/>
                <w:bCs/>
                <w:color w:val="000000"/>
                <w:szCs w:val="21"/>
              </w:rPr>
            </w:pPr>
            <w:r>
              <w:rPr>
                <w:rFonts w:hint="eastAsia" w:ascii="宋体" w:hAnsi="宋体" w:cs="宋体"/>
                <w:bCs/>
                <w:color w:val="000000"/>
                <w:szCs w:val="21"/>
              </w:rPr>
              <w:t>评分标准：</w:t>
            </w:r>
          </w:p>
          <w:p>
            <w:pPr>
              <w:spacing w:line="360" w:lineRule="auto"/>
              <w:jc w:val="left"/>
              <w:rPr>
                <w:rFonts w:ascii="宋体" w:hAnsi="宋体" w:cs="宋体"/>
                <w:bCs/>
                <w:color w:val="000000"/>
                <w:szCs w:val="21"/>
              </w:rPr>
            </w:pPr>
            <w:r>
              <w:rPr>
                <w:rFonts w:hint="eastAsia" w:ascii="宋体" w:hAnsi="宋体" w:cs="宋体"/>
                <w:bCs/>
                <w:color w:val="000000"/>
                <w:szCs w:val="21"/>
              </w:rPr>
              <w:t>（1）</w:t>
            </w:r>
            <w:r>
              <w:rPr>
                <w:rFonts w:hint="eastAsia" w:ascii="宋体" w:hAnsi="宋体" w:cs="宋体"/>
                <w:color w:val="000000"/>
                <w:szCs w:val="21"/>
              </w:rPr>
              <w:t>技术保障措施</w:t>
            </w:r>
            <w:r>
              <w:rPr>
                <w:rFonts w:hint="eastAsia" w:ascii="宋体" w:hAnsi="宋体" w:cs="宋体"/>
                <w:bCs/>
                <w:color w:val="000000"/>
                <w:szCs w:val="21"/>
              </w:rPr>
              <w:t>内容全面；</w:t>
            </w:r>
          </w:p>
          <w:p>
            <w:pPr>
              <w:spacing w:line="360" w:lineRule="auto"/>
              <w:jc w:val="left"/>
              <w:rPr>
                <w:rFonts w:ascii="宋体" w:hAnsi="宋体" w:cs="宋体"/>
                <w:bCs/>
                <w:color w:val="000000"/>
                <w:szCs w:val="21"/>
              </w:rPr>
            </w:pPr>
            <w:r>
              <w:rPr>
                <w:rFonts w:hint="eastAsia" w:ascii="宋体" w:hAnsi="宋体" w:cs="宋体"/>
                <w:bCs/>
                <w:color w:val="000000"/>
                <w:szCs w:val="21"/>
              </w:rPr>
              <w:t>（2）</w:t>
            </w:r>
            <w:r>
              <w:rPr>
                <w:rFonts w:hint="eastAsia" w:ascii="宋体" w:hAnsi="宋体" w:cs="宋体"/>
                <w:color w:val="000000"/>
                <w:szCs w:val="21"/>
              </w:rPr>
              <w:t>技术保障措施</w:t>
            </w:r>
            <w:r>
              <w:rPr>
                <w:rFonts w:hint="eastAsia" w:ascii="宋体" w:hAnsi="宋体" w:cs="宋体"/>
                <w:bCs/>
                <w:color w:val="000000"/>
                <w:szCs w:val="21"/>
              </w:rPr>
              <w:t>内容具体；</w:t>
            </w:r>
          </w:p>
          <w:p>
            <w:pPr>
              <w:spacing w:line="360" w:lineRule="auto"/>
              <w:jc w:val="left"/>
              <w:rPr>
                <w:rFonts w:ascii="宋体" w:hAnsi="宋体" w:cs="宋体"/>
                <w:bCs/>
                <w:color w:val="000000"/>
                <w:szCs w:val="21"/>
              </w:rPr>
            </w:pPr>
            <w:r>
              <w:rPr>
                <w:rFonts w:hint="eastAsia" w:ascii="宋体" w:hAnsi="宋体" w:cs="宋体"/>
                <w:bCs/>
                <w:color w:val="000000"/>
                <w:szCs w:val="21"/>
              </w:rPr>
              <w:t>（3）</w:t>
            </w:r>
            <w:r>
              <w:rPr>
                <w:rFonts w:hint="eastAsia" w:ascii="宋体" w:hAnsi="宋体" w:cs="宋体"/>
                <w:color w:val="000000"/>
                <w:szCs w:val="21"/>
              </w:rPr>
              <w:t>技术保障措施</w:t>
            </w:r>
            <w:r>
              <w:rPr>
                <w:rFonts w:hint="eastAsia" w:ascii="宋体" w:hAnsi="宋体" w:cs="宋体"/>
                <w:bCs/>
                <w:color w:val="000000"/>
                <w:szCs w:val="21"/>
              </w:rPr>
              <w:t>内容针对性强；</w:t>
            </w:r>
          </w:p>
          <w:p>
            <w:pPr>
              <w:spacing w:line="360" w:lineRule="auto"/>
              <w:jc w:val="left"/>
              <w:rPr>
                <w:rFonts w:ascii="宋体" w:hAnsi="宋体" w:cs="宋体"/>
                <w:bCs/>
                <w:color w:val="000000"/>
                <w:szCs w:val="21"/>
              </w:rPr>
            </w:pPr>
            <w:r>
              <w:rPr>
                <w:rFonts w:hint="eastAsia" w:ascii="宋体" w:hAnsi="宋体" w:cs="宋体"/>
                <w:bCs/>
                <w:color w:val="000000"/>
                <w:szCs w:val="21"/>
              </w:rPr>
              <w:t>（4）</w:t>
            </w:r>
            <w:r>
              <w:rPr>
                <w:rFonts w:hint="eastAsia" w:ascii="宋体" w:hAnsi="宋体" w:cs="宋体"/>
                <w:color w:val="000000"/>
                <w:szCs w:val="21"/>
              </w:rPr>
              <w:t>技术保障措施</w:t>
            </w:r>
            <w:r>
              <w:rPr>
                <w:rFonts w:hint="eastAsia" w:ascii="宋体" w:hAnsi="宋体" w:cs="宋体"/>
                <w:bCs/>
                <w:color w:val="000000"/>
                <w:szCs w:val="21"/>
              </w:rPr>
              <w:t>内容科学合理；</w:t>
            </w:r>
          </w:p>
          <w:p>
            <w:pPr>
              <w:spacing w:line="360" w:lineRule="auto"/>
              <w:jc w:val="left"/>
              <w:rPr>
                <w:rFonts w:ascii="宋体" w:hAnsi="宋体" w:cs="宋体"/>
                <w:bCs/>
                <w:color w:val="000000"/>
                <w:szCs w:val="21"/>
              </w:rPr>
            </w:pPr>
            <w:r>
              <w:rPr>
                <w:rFonts w:hint="eastAsia" w:ascii="宋体" w:hAnsi="宋体" w:cs="宋体"/>
                <w:bCs/>
                <w:color w:val="000000"/>
                <w:szCs w:val="21"/>
              </w:rPr>
              <w:t>（5）</w:t>
            </w:r>
            <w:r>
              <w:rPr>
                <w:rFonts w:hint="eastAsia" w:ascii="宋体" w:hAnsi="宋体" w:cs="宋体"/>
                <w:color w:val="000000"/>
                <w:szCs w:val="21"/>
              </w:rPr>
              <w:t>技术保障措施</w:t>
            </w:r>
            <w:r>
              <w:rPr>
                <w:rFonts w:hint="eastAsia" w:ascii="宋体" w:hAnsi="宋体" w:cs="宋体"/>
                <w:bCs/>
                <w:color w:val="000000"/>
                <w:szCs w:val="21"/>
              </w:rPr>
              <w:t>内容可操作性强。</w:t>
            </w:r>
          </w:p>
          <w:p>
            <w:pPr>
              <w:spacing w:line="360" w:lineRule="auto"/>
              <w:rPr>
                <w:rFonts w:ascii="宋体" w:hAnsi="宋体" w:cs="宋体"/>
                <w:szCs w:val="21"/>
              </w:rPr>
            </w:pPr>
            <w:r>
              <w:rPr>
                <w:rFonts w:hint="eastAsia" w:ascii="宋体" w:hAnsi="宋体" w:cs="宋体"/>
                <w:szCs w:val="21"/>
              </w:rPr>
              <w:t>满足以上五项要求得</w:t>
            </w:r>
            <w:r>
              <w:rPr>
                <w:rFonts w:hint="eastAsia" w:ascii="宋体" w:hAnsi="宋体" w:cs="宋体"/>
                <w:szCs w:val="21"/>
                <w:u w:val="single"/>
              </w:rPr>
              <w:t xml:space="preserve"> 10 </w:t>
            </w:r>
            <w:r>
              <w:rPr>
                <w:rFonts w:hint="eastAsia" w:ascii="宋体" w:hAnsi="宋体" w:cs="宋体"/>
                <w:szCs w:val="21"/>
              </w:rPr>
              <w:t>分，满足以上四项要求得</w:t>
            </w:r>
            <w:r>
              <w:rPr>
                <w:rFonts w:hint="eastAsia" w:ascii="宋体" w:hAnsi="宋体" w:cs="宋体"/>
                <w:szCs w:val="21"/>
                <w:u w:val="single"/>
              </w:rPr>
              <w:t xml:space="preserve"> 7</w:t>
            </w:r>
            <w:r>
              <w:rPr>
                <w:rFonts w:hint="eastAsia" w:ascii="宋体" w:hAnsi="宋体" w:cs="宋体"/>
                <w:szCs w:val="21"/>
              </w:rPr>
              <w:t>分，满足以上三项要求得</w:t>
            </w:r>
            <w:r>
              <w:rPr>
                <w:rFonts w:hint="eastAsia" w:ascii="宋体" w:hAnsi="宋体" w:cs="宋体"/>
                <w:szCs w:val="21"/>
                <w:u w:val="single"/>
              </w:rPr>
              <w:t xml:space="preserve"> 4 </w:t>
            </w:r>
            <w:r>
              <w:rPr>
                <w:rFonts w:hint="eastAsia" w:ascii="宋体" w:hAnsi="宋体" w:cs="宋体"/>
                <w:szCs w:val="21"/>
              </w:rPr>
              <w:t>分，满足以上两项要求得</w:t>
            </w:r>
            <w:r>
              <w:rPr>
                <w:rFonts w:hint="eastAsia" w:ascii="宋体" w:hAnsi="宋体" w:cs="宋体"/>
                <w:szCs w:val="21"/>
                <w:u w:val="single"/>
              </w:rPr>
              <w:t xml:space="preserve"> 2 </w:t>
            </w:r>
            <w:r>
              <w:rPr>
                <w:rFonts w:hint="eastAsia" w:ascii="宋体" w:hAnsi="宋体" w:cs="宋体"/>
                <w:szCs w:val="21"/>
              </w:rPr>
              <w:t>分，其它情况不得分。</w:t>
            </w:r>
          </w:p>
        </w:tc>
        <w:tc>
          <w:tcPr>
            <w:tcW w:w="417" w:type="pct"/>
            <w:tcBorders>
              <w:right w:val="single" w:color="auto" w:sz="4" w:space="0"/>
            </w:tcBorders>
            <w:vAlign w:val="center"/>
          </w:tcPr>
          <w:p>
            <w:pPr>
              <w:jc w:val="center"/>
              <w:rPr>
                <w:rFonts w:ascii="宋体" w:hAnsi="宋体" w:cs="宋体"/>
              </w:rPr>
            </w:pPr>
            <w:r>
              <w:rPr>
                <w:rFonts w:hint="eastAsia" w:ascii="宋体" w:hAnsi="宋体" w:cs="宋体"/>
                <w:szCs w:val="21"/>
              </w:rPr>
              <w:t>10%</w:t>
            </w:r>
          </w:p>
        </w:tc>
        <w:tc>
          <w:tcPr>
            <w:tcW w:w="444" w:type="pct"/>
            <w:tcBorders>
              <w:left w:val="single" w:color="auto" w:sz="4" w:space="0"/>
              <w:right w:val="single" w:color="auto" w:sz="12" w:space="0"/>
            </w:tcBorders>
            <w:vAlign w:val="center"/>
          </w:tcPr>
          <w:p>
            <w:pPr>
              <w:jc w:val="center"/>
              <w:rPr>
                <w:rFonts w:ascii="宋体" w:hAnsi="宋体" w:cs="宋体"/>
                <w:szCs w:val="21"/>
              </w:rPr>
            </w:pPr>
            <w:r>
              <w:rPr>
                <w:rFonts w:hint="eastAsia" w:ascii="宋体" w:hAnsi="宋体" w:cs="宋体"/>
                <w:szCs w:val="21"/>
              </w:rPr>
              <w:t>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94" w:type="pct"/>
            <w:tcBorders>
              <w:left w:val="single" w:color="auto" w:sz="12" w:space="0"/>
              <w:bottom w:val="single" w:color="auto" w:sz="4" w:space="0"/>
            </w:tcBorders>
            <w:vAlign w:val="center"/>
          </w:tcPr>
          <w:p>
            <w:pPr>
              <w:jc w:val="center"/>
              <w:rPr>
                <w:rFonts w:ascii="宋体" w:hAnsi="宋体" w:cs="宋体"/>
                <w:bCs/>
              </w:rPr>
            </w:pPr>
            <w:r>
              <w:rPr>
                <w:rFonts w:hint="eastAsia" w:ascii="宋体" w:hAnsi="宋体" w:cs="宋体"/>
                <w:bCs/>
              </w:rPr>
              <w:t>3</w:t>
            </w:r>
          </w:p>
        </w:tc>
        <w:tc>
          <w:tcPr>
            <w:tcW w:w="919" w:type="pct"/>
            <w:vAlign w:val="center"/>
          </w:tcPr>
          <w:p>
            <w:pPr>
              <w:spacing w:line="240" w:lineRule="exact"/>
              <w:jc w:val="center"/>
              <w:rPr>
                <w:rFonts w:ascii="宋体" w:hAnsi="宋体" w:cs="宋体"/>
                <w:szCs w:val="21"/>
              </w:rPr>
            </w:pPr>
            <w:r>
              <w:rPr>
                <w:rFonts w:hint="eastAsia" w:ascii="宋体" w:hAnsi="宋体" w:cs="宋体"/>
                <w:color w:val="000000"/>
                <w:szCs w:val="21"/>
                <w:shd w:val="clear" w:color="auto" w:fill="FFFFFF"/>
              </w:rPr>
              <w:t>售后服务方案</w:t>
            </w:r>
          </w:p>
        </w:tc>
        <w:tc>
          <w:tcPr>
            <w:tcW w:w="2825" w:type="pct"/>
            <w:vAlign w:val="center"/>
          </w:tcPr>
          <w:p>
            <w:pPr>
              <w:pStyle w:val="18"/>
              <w:shd w:val="clear" w:color="auto" w:fill="FFFFFF"/>
              <w:spacing w:before="0" w:beforeAutospacing="0" w:after="0" w:afterAutospacing="0" w:line="23" w:lineRule="atLeast"/>
              <w:rPr>
                <w:color w:val="000000"/>
                <w:sz w:val="21"/>
                <w:szCs w:val="21"/>
              </w:rPr>
            </w:pPr>
            <w:r>
              <w:rPr>
                <w:rFonts w:hint="eastAsia"/>
                <w:color w:val="000000"/>
                <w:sz w:val="21"/>
                <w:szCs w:val="21"/>
                <w:shd w:val="clear" w:color="auto" w:fill="FFFFFF"/>
              </w:rPr>
              <w:t>售后服务方案内容包括但不限于售后服务的服务内容、服务计划的安排：</w:t>
            </w:r>
          </w:p>
          <w:p>
            <w:pPr>
              <w:pStyle w:val="18"/>
              <w:shd w:val="clear" w:color="auto" w:fill="FFFFFF"/>
              <w:spacing w:before="0" w:beforeAutospacing="0" w:after="0" w:afterAutospacing="0" w:line="23" w:lineRule="atLeast"/>
              <w:rPr>
                <w:color w:val="000000"/>
                <w:sz w:val="21"/>
                <w:szCs w:val="21"/>
              </w:rPr>
            </w:pPr>
            <w:r>
              <w:rPr>
                <w:rFonts w:hint="eastAsia"/>
                <w:color w:val="000000"/>
                <w:sz w:val="21"/>
                <w:szCs w:val="21"/>
                <w:shd w:val="clear" w:color="auto" w:fill="FFFFFF"/>
              </w:rPr>
              <w:t>1、具有完善具体的售后服务内容，各阶段服务计划详尽可行，5分；</w:t>
            </w:r>
          </w:p>
          <w:p>
            <w:pPr>
              <w:pStyle w:val="18"/>
              <w:shd w:val="clear" w:color="auto" w:fill="FFFFFF"/>
              <w:spacing w:before="0" w:beforeAutospacing="0" w:after="0" w:afterAutospacing="0" w:line="23" w:lineRule="atLeast"/>
              <w:rPr>
                <w:color w:val="000000"/>
                <w:sz w:val="21"/>
                <w:szCs w:val="21"/>
              </w:rPr>
            </w:pPr>
            <w:r>
              <w:rPr>
                <w:rFonts w:hint="eastAsia"/>
                <w:color w:val="000000"/>
                <w:sz w:val="21"/>
                <w:szCs w:val="21"/>
                <w:shd w:val="clear" w:color="auto" w:fill="FFFFFF"/>
              </w:rPr>
              <w:t>2、售后服务内容及各阶段服务计划完善但不具详细，具有一定的可行性，得3分；</w:t>
            </w:r>
          </w:p>
          <w:p>
            <w:pPr>
              <w:pStyle w:val="18"/>
              <w:shd w:val="clear" w:color="auto" w:fill="FFFFFF"/>
              <w:spacing w:before="0" w:beforeAutospacing="0" w:after="0" w:afterAutospacing="0" w:line="23" w:lineRule="atLeast"/>
              <w:rPr>
                <w:color w:val="000000"/>
                <w:sz w:val="21"/>
                <w:szCs w:val="21"/>
              </w:rPr>
            </w:pPr>
            <w:r>
              <w:rPr>
                <w:rFonts w:hint="eastAsia"/>
                <w:color w:val="000000"/>
                <w:sz w:val="21"/>
                <w:szCs w:val="21"/>
                <w:shd w:val="clear" w:color="auto" w:fill="FFFFFF"/>
              </w:rPr>
              <w:t>3、售后服务内容及各阶段服务计划基本完善，可行性一般，得1分；</w:t>
            </w:r>
          </w:p>
          <w:p>
            <w:pPr>
              <w:pStyle w:val="18"/>
              <w:shd w:val="clear" w:color="auto" w:fill="FFFFFF"/>
              <w:spacing w:before="0" w:beforeAutospacing="0" w:after="0" w:afterAutospacing="0" w:line="23" w:lineRule="atLeast"/>
              <w:rPr>
                <w:szCs w:val="21"/>
              </w:rPr>
            </w:pPr>
            <w:r>
              <w:rPr>
                <w:rFonts w:hint="eastAsia"/>
                <w:color w:val="000000"/>
                <w:sz w:val="21"/>
                <w:szCs w:val="21"/>
                <w:shd w:val="clear" w:color="auto" w:fill="FFFFFF"/>
              </w:rPr>
              <w:t>4、不提供或其它不得分。</w:t>
            </w:r>
          </w:p>
        </w:tc>
        <w:tc>
          <w:tcPr>
            <w:tcW w:w="417" w:type="pct"/>
            <w:tcBorders>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444" w:type="pct"/>
            <w:tcBorders>
              <w:left w:val="single" w:color="auto" w:sz="4" w:space="0"/>
              <w:right w:val="single" w:color="auto" w:sz="12" w:space="0"/>
            </w:tcBorders>
            <w:vAlign w:val="center"/>
          </w:tcPr>
          <w:p>
            <w:pPr>
              <w:jc w:val="center"/>
              <w:rPr>
                <w:rFonts w:ascii="宋体" w:hAnsi="宋体" w:cs="宋体"/>
                <w:szCs w:val="21"/>
              </w:rPr>
            </w:pPr>
            <w:r>
              <w:rPr>
                <w:rFonts w:hint="eastAsia" w:ascii="宋体" w:hAnsi="宋体" w:cs="宋体"/>
                <w:szCs w:val="21"/>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394" w:type="pct"/>
            <w:tcBorders>
              <w:top w:val="single" w:color="auto" w:sz="4" w:space="0"/>
              <w:left w:val="single" w:color="auto" w:sz="12" w:space="0"/>
            </w:tcBorders>
            <w:vAlign w:val="center"/>
          </w:tcPr>
          <w:p>
            <w:pPr>
              <w:ind w:left="-78" w:leftChars="-37" w:right="-73" w:rightChars="-35"/>
              <w:jc w:val="center"/>
              <w:rPr>
                <w:rFonts w:ascii="宋体" w:hAnsi="宋体" w:cs="宋体"/>
                <w:bCs/>
                <w:szCs w:val="21"/>
              </w:rPr>
            </w:pPr>
            <w:r>
              <w:rPr>
                <w:rFonts w:hint="eastAsia" w:ascii="宋体" w:hAnsi="宋体" w:cs="宋体"/>
                <w:bCs/>
                <w:szCs w:val="21"/>
              </w:rPr>
              <w:t>二</w:t>
            </w:r>
          </w:p>
        </w:tc>
        <w:tc>
          <w:tcPr>
            <w:tcW w:w="4605" w:type="pct"/>
            <w:gridSpan w:val="4"/>
            <w:tcBorders>
              <w:right w:val="single" w:color="auto" w:sz="12" w:space="0"/>
            </w:tcBorders>
            <w:vAlign w:val="center"/>
          </w:tcPr>
          <w:p>
            <w:pPr>
              <w:ind w:left="-78" w:leftChars="-37" w:right="-73" w:rightChars="-35"/>
              <w:jc w:val="center"/>
              <w:rPr>
                <w:rFonts w:ascii="宋体" w:hAnsi="宋体" w:cs="宋体"/>
                <w:b/>
                <w:color w:val="FF0000"/>
                <w:szCs w:val="21"/>
              </w:rPr>
            </w:pPr>
            <w:r>
              <w:rPr>
                <w:rFonts w:hint="eastAsia" w:ascii="宋体" w:hAnsi="宋体" w:cs="宋体"/>
                <w:b/>
                <w:szCs w:val="21"/>
              </w:rPr>
              <w:t>商务部分（25分）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94" w:type="pct"/>
            <w:tcBorders>
              <w:left w:val="single" w:color="auto" w:sz="12" w:space="0"/>
              <w:bottom w:val="single" w:color="auto" w:sz="4" w:space="0"/>
            </w:tcBorders>
            <w:vAlign w:val="center"/>
          </w:tcPr>
          <w:p>
            <w:pPr>
              <w:jc w:val="center"/>
              <w:rPr>
                <w:rFonts w:ascii="宋体" w:hAnsi="宋体" w:cs="宋体"/>
                <w:bCs/>
              </w:rPr>
            </w:pPr>
            <w:r>
              <w:rPr>
                <w:rFonts w:hint="eastAsia" w:ascii="宋体" w:hAnsi="宋体" w:cs="宋体"/>
                <w:bCs/>
              </w:rPr>
              <w:t>1</w:t>
            </w:r>
          </w:p>
        </w:tc>
        <w:tc>
          <w:tcPr>
            <w:tcW w:w="919" w:type="pct"/>
            <w:vAlign w:val="center"/>
          </w:tcPr>
          <w:p>
            <w:pPr>
              <w:spacing w:line="240" w:lineRule="exact"/>
              <w:jc w:val="center"/>
              <w:rPr>
                <w:rFonts w:ascii="宋体" w:hAnsi="宋体" w:cs="宋体"/>
                <w:b/>
                <w:bCs/>
                <w:szCs w:val="21"/>
              </w:rPr>
            </w:pPr>
            <w:r>
              <w:rPr>
                <w:rFonts w:hint="eastAsia" w:ascii="宋体" w:hAnsi="宋体" w:cs="宋体"/>
                <w:szCs w:val="21"/>
              </w:rPr>
              <w:t>商务需求响应情况</w:t>
            </w:r>
          </w:p>
        </w:tc>
        <w:tc>
          <w:tcPr>
            <w:tcW w:w="2825" w:type="pct"/>
            <w:vAlign w:val="center"/>
          </w:tcPr>
          <w:p>
            <w:pPr>
              <w:spacing w:line="360" w:lineRule="auto"/>
              <w:jc w:val="left"/>
              <w:rPr>
                <w:rFonts w:ascii="宋体" w:hAnsi="宋体" w:cs="宋体"/>
                <w:szCs w:val="21"/>
              </w:rPr>
            </w:pPr>
            <w:r>
              <w:rPr>
                <w:rFonts w:hint="eastAsia" w:ascii="宋体" w:hAnsi="宋体" w:cs="宋体"/>
                <w:color w:val="000000"/>
                <w:szCs w:val="21"/>
              </w:rPr>
              <w:t>供应商应如实填写《商务需求偏离表》，评审专家根据商务需求响应情况进行打分</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全部满足得5分。每负偏离一条扣0.5分，负偏离达10条或以上，本项不得分。</w:t>
            </w:r>
          </w:p>
        </w:tc>
        <w:tc>
          <w:tcPr>
            <w:tcW w:w="417" w:type="pct"/>
            <w:tcBorders>
              <w:right w:val="single" w:color="auto" w:sz="4" w:space="0"/>
            </w:tcBorders>
            <w:vAlign w:val="center"/>
          </w:tcPr>
          <w:p>
            <w:pPr>
              <w:ind w:left="-63" w:leftChars="-30" w:right="-88" w:rightChars="-42"/>
              <w:jc w:val="center"/>
              <w:rPr>
                <w:rFonts w:ascii="宋体" w:hAnsi="宋体" w:cs="宋体"/>
                <w:szCs w:val="21"/>
              </w:rPr>
            </w:pPr>
            <w:r>
              <w:rPr>
                <w:rFonts w:hint="eastAsia" w:ascii="宋体" w:hAnsi="宋体" w:cs="宋体"/>
                <w:szCs w:val="21"/>
              </w:rPr>
              <w:t>5%</w:t>
            </w:r>
          </w:p>
        </w:tc>
        <w:tc>
          <w:tcPr>
            <w:tcW w:w="444" w:type="pct"/>
            <w:tcBorders>
              <w:left w:val="single" w:color="auto" w:sz="4" w:space="0"/>
              <w:right w:val="single" w:color="auto" w:sz="12" w:space="0"/>
            </w:tcBorders>
            <w:vAlign w:val="center"/>
          </w:tcPr>
          <w:p>
            <w:pPr>
              <w:ind w:left="-78" w:leftChars="-37" w:right="-73" w:rightChars="-35"/>
              <w:jc w:val="center"/>
              <w:rPr>
                <w:rFonts w:ascii="宋体" w:hAnsi="宋体" w:cs="宋体"/>
                <w:szCs w:val="21"/>
              </w:rPr>
            </w:pPr>
            <w:r>
              <w:rPr>
                <w:rFonts w:hint="eastAsia" w:ascii="宋体" w:hAnsi="宋体" w:cs="宋体"/>
                <w:szCs w:val="21"/>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94" w:type="pct"/>
            <w:tcBorders>
              <w:left w:val="single" w:color="auto" w:sz="12" w:space="0"/>
              <w:bottom w:val="single" w:color="auto" w:sz="4" w:space="0"/>
            </w:tcBorders>
            <w:vAlign w:val="center"/>
          </w:tcPr>
          <w:p>
            <w:pPr>
              <w:jc w:val="center"/>
              <w:rPr>
                <w:rFonts w:ascii="宋体" w:hAnsi="宋体" w:cs="宋体"/>
                <w:bCs/>
              </w:rPr>
            </w:pPr>
            <w:r>
              <w:rPr>
                <w:rFonts w:hint="eastAsia" w:ascii="宋体" w:hAnsi="宋体" w:cs="宋体"/>
                <w:bCs/>
              </w:rPr>
              <w:t>2</w:t>
            </w:r>
          </w:p>
        </w:tc>
        <w:tc>
          <w:tcPr>
            <w:tcW w:w="919" w:type="pct"/>
            <w:vAlign w:val="center"/>
          </w:tcPr>
          <w:p>
            <w:pPr>
              <w:spacing w:line="240" w:lineRule="exact"/>
              <w:jc w:val="center"/>
              <w:rPr>
                <w:rFonts w:ascii="宋体" w:hAnsi="宋体" w:cs="宋体"/>
                <w:szCs w:val="21"/>
              </w:rPr>
            </w:pPr>
            <w:r>
              <w:rPr>
                <w:rFonts w:hint="eastAsia" w:ascii="宋体" w:hAnsi="宋体" w:cs="宋体"/>
                <w:szCs w:val="21"/>
              </w:rPr>
              <w:t>同类业绩</w:t>
            </w:r>
          </w:p>
        </w:tc>
        <w:tc>
          <w:tcPr>
            <w:tcW w:w="2825" w:type="pct"/>
            <w:vAlign w:val="center"/>
          </w:tcPr>
          <w:p>
            <w:pPr>
              <w:spacing w:line="276" w:lineRule="auto"/>
              <w:rPr>
                <w:rFonts w:ascii="宋体" w:hAnsi="宋体" w:cs="宋体"/>
                <w:szCs w:val="21"/>
              </w:rPr>
            </w:pPr>
            <w:r>
              <w:rPr>
                <w:rFonts w:hint="eastAsia" w:ascii="宋体" w:hAnsi="宋体" w:cs="宋体"/>
                <w:szCs w:val="21"/>
              </w:rPr>
              <w:t>评分内容</w:t>
            </w:r>
          </w:p>
          <w:p>
            <w:pPr>
              <w:spacing w:line="276" w:lineRule="auto"/>
              <w:rPr>
                <w:rFonts w:ascii="宋体" w:hAnsi="宋体" w:cs="宋体"/>
                <w:szCs w:val="21"/>
              </w:rPr>
            </w:pPr>
            <w:r>
              <w:rPr>
                <w:rFonts w:hint="eastAsia" w:ascii="宋体" w:hAnsi="宋体" w:cs="宋体"/>
                <w:szCs w:val="21"/>
              </w:rPr>
              <w:t>提供供应商自2021年1月1日起至本项目报价截止之日止（以合同或协议签订日期为准）同类项目业绩，每提供1个得</w:t>
            </w:r>
            <w:r>
              <w:rPr>
                <w:rFonts w:hint="eastAsia" w:ascii="宋体" w:hAnsi="宋体" w:cs="宋体"/>
                <w:szCs w:val="21"/>
                <w:u w:val="single"/>
              </w:rPr>
              <w:t xml:space="preserve"> 2 </w:t>
            </w:r>
            <w:r>
              <w:rPr>
                <w:rFonts w:hint="eastAsia" w:ascii="宋体" w:hAnsi="宋体" w:cs="宋体"/>
                <w:szCs w:val="21"/>
              </w:rPr>
              <w:t>分，最高得</w:t>
            </w:r>
            <w:r>
              <w:rPr>
                <w:rFonts w:hint="eastAsia" w:ascii="宋体" w:hAnsi="宋体" w:cs="宋体"/>
                <w:szCs w:val="21"/>
                <w:u w:val="single"/>
              </w:rPr>
              <w:t>10</w:t>
            </w:r>
            <w:r>
              <w:rPr>
                <w:rFonts w:hint="eastAsia" w:ascii="宋体" w:hAnsi="宋体" w:cs="宋体"/>
                <w:szCs w:val="21"/>
              </w:rPr>
              <w:t>分，未提供的不得分。</w:t>
            </w:r>
          </w:p>
          <w:p>
            <w:pPr>
              <w:spacing w:line="276" w:lineRule="auto"/>
              <w:rPr>
                <w:rFonts w:ascii="宋体" w:hAnsi="宋体" w:cs="宋体"/>
                <w:szCs w:val="21"/>
              </w:rPr>
            </w:pPr>
            <w:r>
              <w:rPr>
                <w:rFonts w:hint="eastAsia" w:ascii="宋体" w:hAnsi="宋体" w:cs="宋体"/>
                <w:szCs w:val="21"/>
              </w:rPr>
              <w:t>评分依据</w:t>
            </w:r>
          </w:p>
          <w:p>
            <w:pPr>
              <w:spacing w:line="276" w:lineRule="auto"/>
              <w:rPr>
                <w:rFonts w:ascii="宋体" w:hAnsi="宋体" w:cs="宋体"/>
                <w:szCs w:val="21"/>
              </w:rPr>
            </w:pPr>
            <w:r>
              <w:rPr>
                <w:rFonts w:hint="eastAsia" w:ascii="宋体" w:hAnsi="宋体" w:cs="宋体"/>
                <w:szCs w:val="21"/>
              </w:rPr>
              <w:t>（1）要求同时提供合同关键信息证明文件作为得分依据。</w:t>
            </w:r>
          </w:p>
          <w:p>
            <w:pPr>
              <w:spacing w:line="276" w:lineRule="auto"/>
              <w:rPr>
                <w:rFonts w:ascii="宋体" w:hAnsi="宋体" w:cs="宋体"/>
                <w:szCs w:val="21"/>
              </w:rPr>
            </w:pPr>
            <w:r>
              <w:rPr>
                <w:rFonts w:hint="eastAsia" w:ascii="宋体" w:hAnsi="宋体" w:cs="宋体"/>
                <w:szCs w:val="21"/>
              </w:rPr>
              <w:t>（2）以上资料均要求提供扫描件加盖供应商公章，原件备查。评分中出现无证明资料或专家无法凭所提供资料判断是否得分的情况，一律作不得分处理。</w:t>
            </w:r>
          </w:p>
        </w:tc>
        <w:tc>
          <w:tcPr>
            <w:tcW w:w="417" w:type="pct"/>
            <w:tcBorders>
              <w:right w:val="single" w:color="auto" w:sz="4" w:space="0"/>
            </w:tcBorders>
            <w:vAlign w:val="center"/>
          </w:tcPr>
          <w:p>
            <w:pPr>
              <w:ind w:left="-63" w:leftChars="-30" w:right="-88" w:rightChars="-42"/>
              <w:jc w:val="center"/>
              <w:rPr>
                <w:rFonts w:ascii="宋体" w:hAnsi="宋体" w:cs="宋体"/>
                <w:szCs w:val="21"/>
              </w:rPr>
            </w:pPr>
            <w:r>
              <w:rPr>
                <w:rFonts w:hint="eastAsia" w:ascii="宋体" w:hAnsi="宋体" w:cs="宋体"/>
                <w:color w:val="000000"/>
                <w:szCs w:val="21"/>
              </w:rPr>
              <w:t>10</w:t>
            </w:r>
            <w:r>
              <w:rPr>
                <w:rFonts w:hint="eastAsia" w:ascii="宋体" w:hAnsi="宋体" w:cs="宋体"/>
                <w:color w:val="000000"/>
                <w:szCs w:val="21"/>
                <w:lang w:val="zh-CN"/>
              </w:rPr>
              <w:t>%</w:t>
            </w:r>
          </w:p>
        </w:tc>
        <w:tc>
          <w:tcPr>
            <w:tcW w:w="444" w:type="pct"/>
            <w:tcBorders>
              <w:left w:val="single" w:color="auto" w:sz="4" w:space="0"/>
              <w:right w:val="single" w:color="auto" w:sz="12" w:space="0"/>
            </w:tcBorders>
            <w:vAlign w:val="center"/>
          </w:tcPr>
          <w:p>
            <w:pPr>
              <w:ind w:left="-78" w:leftChars="-37" w:right="-73" w:rightChars="-35"/>
              <w:jc w:val="center"/>
              <w:rPr>
                <w:rFonts w:ascii="宋体" w:hAnsi="宋体" w:cs="宋体"/>
                <w:szCs w:val="21"/>
              </w:rPr>
            </w:pPr>
            <w:r>
              <w:rPr>
                <w:rFonts w:hint="eastAsia" w:ascii="宋体" w:hAnsi="宋体" w:cs="宋体"/>
                <w:color w:val="000000"/>
                <w:szCs w:val="21"/>
              </w:rPr>
              <w:t>10</w:t>
            </w:r>
            <w:r>
              <w:rPr>
                <w:rFonts w:hint="eastAsia" w:ascii="宋体" w:hAnsi="宋体" w:cs="宋体"/>
                <w:color w:val="000000"/>
                <w:szCs w:val="21"/>
                <w:lang w:val="zh-CN"/>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94" w:type="pct"/>
            <w:tcBorders>
              <w:left w:val="single" w:color="auto" w:sz="12" w:space="0"/>
              <w:bottom w:val="single" w:color="auto" w:sz="4" w:space="0"/>
            </w:tcBorders>
            <w:vAlign w:val="center"/>
          </w:tcPr>
          <w:p>
            <w:pPr>
              <w:jc w:val="center"/>
              <w:rPr>
                <w:rFonts w:ascii="宋体" w:hAnsi="宋体" w:cs="宋体"/>
                <w:bCs/>
              </w:rPr>
            </w:pPr>
            <w:r>
              <w:rPr>
                <w:rFonts w:hint="eastAsia" w:ascii="宋体" w:hAnsi="宋体" w:cs="宋体"/>
                <w:bCs/>
              </w:rPr>
              <w:t>3</w:t>
            </w:r>
          </w:p>
        </w:tc>
        <w:tc>
          <w:tcPr>
            <w:tcW w:w="919" w:type="pct"/>
            <w:vAlign w:val="center"/>
          </w:tcPr>
          <w:p>
            <w:pPr>
              <w:spacing w:line="240" w:lineRule="exact"/>
              <w:jc w:val="center"/>
              <w:rPr>
                <w:rFonts w:ascii="宋体" w:hAnsi="宋体" w:cs="宋体"/>
                <w:szCs w:val="21"/>
              </w:rPr>
            </w:pPr>
            <w:r>
              <w:rPr>
                <w:rFonts w:hint="eastAsia" w:ascii="宋体" w:hAnsi="宋体" w:cs="宋体"/>
                <w:szCs w:val="21"/>
              </w:rPr>
              <w:t>服务网点</w:t>
            </w:r>
          </w:p>
        </w:tc>
        <w:tc>
          <w:tcPr>
            <w:tcW w:w="2825" w:type="pct"/>
            <w:vAlign w:val="center"/>
          </w:tcPr>
          <w:p>
            <w:pPr>
              <w:spacing w:line="276" w:lineRule="auto"/>
              <w:rPr>
                <w:rFonts w:ascii="宋体" w:hAnsi="宋体" w:cs="宋体"/>
                <w:szCs w:val="21"/>
              </w:rPr>
            </w:pPr>
            <w:r>
              <w:rPr>
                <w:rFonts w:hint="eastAsia" w:ascii="宋体" w:hAnsi="宋体" w:cs="宋体"/>
                <w:szCs w:val="21"/>
              </w:rPr>
              <w:t>广东省内供应商，或非广东省内供应商但在广东省内有合法注册的分公司（或售后服务中心）（分公司的必须提供分公司营业执照扫描件，售后服务中心必须同时提供售后服务合作合同及售后服务中心营业执照复印件作为得分依据）的，得5分；否则不得分。</w:t>
            </w:r>
          </w:p>
          <w:p>
            <w:pPr>
              <w:spacing w:line="276" w:lineRule="auto"/>
              <w:rPr>
                <w:rFonts w:ascii="宋体" w:hAnsi="宋体" w:cs="宋体"/>
                <w:szCs w:val="21"/>
              </w:rPr>
            </w:pPr>
            <w:r>
              <w:rPr>
                <w:rFonts w:hint="eastAsia" w:ascii="宋体" w:hAnsi="宋体" w:cs="宋体"/>
                <w:szCs w:val="21"/>
              </w:rPr>
              <w:t>外地供应商承诺：成交后设立本地经营（服务）网点的，提供承诺文件（格式自定）的，得2 分；未提供承诺或承诺内容不满足要求均不得分。</w:t>
            </w:r>
          </w:p>
        </w:tc>
        <w:tc>
          <w:tcPr>
            <w:tcW w:w="417" w:type="pct"/>
            <w:tcBorders>
              <w:right w:val="single" w:color="auto" w:sz="4" w:space="0"/>
            </w:tcBorders>
            <w:vAlign w:val="center"/>
          </w:tcPr>
          <w:p>
            <w:pPr>
              <w:ind w:left="-63" w:leftChars="-30" w:right="-88" w:rightChars="-42"/>
              <w:jc w:val="center"/>
              <w:rPr>
                <w:rFonts w:ascii="宋体" w:hAnsi="宋体" w:cs="宋体"/>
                <w:szCs w:val="21"/>
              </w:rPr>
            </w:pPr>
            <w:r>
              <w:rPr>
                <w:rFonts w:hint="eastAsia" w:ascii="宋体" w:hAnsi="宋体" w:cs="宋体"/>
                <w:szCs w:val="21"/>
              </w:rPr>
              <w:t>5%</w:t>
            </w:r>
          </w:p>
        </w:tc>
        <w:tc>
          <w:tcPr>
            <w:tcW w:w="444" w:type="pct"/>
            <w:tcBorders>
              <w:left w:val="single" w:color="auto" w:sz="4" w:space="0"/>
              <w:right w:val="single" w:color="auto" w:sz="12" w:space="0"/>
            </w:tcBorders>
            <w:vAlign w:val="center"/>
          </w:tcPr>
          <w:p>
            <w:pPr>
              <w:ind w:left="-78" w:leftChars="-37" w:right="-73" w:rightChars="-35"/>
              <w:jc w:val="center"/>
              <w:rPr>
                <w:rFonts w:ascii="宋体" w:hAnsi="宋体" w:cs="宋体"/>
                <w:szCs w:val="21"/>
              </w:rPr>
            </w:pPr>
            <w:r>
              <w:rPr>
                <w:rFonts w:hint="eastAsia" w:ascii="宋体" w:hAnsi="宋体" w:cs="宋体"/>
                <w:szCs w:val="21"/>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 w:hRule="atLeast"/>
        </w:trPr>
        <w:tc>
          <w:tcPr>
            <w:tcW w:w="394" w:type="pct"/>
            <w:tcBorders>
              <w:top w:val="single" w:color="auto" w:sz="4" w:space="0"/>
              <w:left w:val="single" w:color="auto" w:sz="12" w:space="0"/>
              <w:bottom w:val="single" w:color="auto" w:sz="4" w:space="0"/>
            </w:tcBorders>
            <w:vAlign w:val="center"/>
          </w:tcPr>
          <w:p>
            <w:pPr>
              <w:jc w:val="center"/>
              <w:rPr>
                <w:rFonts w:ascii="宋体" w:hAnsi="宋体" w:cs="宋体"/>
                <w:bCs/>
              </w:rPr>
            </w:pPr>
            <w:r>
              <w:rPr>
                <w:rFonts w:hint="eastAsia" w:ascii="宋体" w:hAnsi="宋体" w:cs="宋体"/>
                <w:bCs/>
              </w:rPr>
              <w:t>4</w:t>
            </w:r>
          </w:p>
        </w:tc>
        <w:tc>
          <w:tcPr>
            <w:tcW w:w="919" w:type="pct"/>
            <w:vAlign w:val="center"/>
          </w:tcPr>
          <w:p>
            <w:pPr>
              <w:adjustRightInd w:val="0"/>
              <w:snapToGrid w:val="0"/>
              <w:spacing w:line="300" w:lineRule="auto"/>
              <w:jc w:val="center"/>
              <w:rPr>
                <w:rFonts w:ascii="宋体" w:hAnsi="宋体" w:cs="宋体"/>
                <w:szCs w:val="21"/>
              </w:rPr>
            </w:pPr>
            <w:r>
              <w:rPr>
                <w:rFonts w:hint="eastAsia" w:ascii="宋体" w:hAnsi="宋体" w:cs="宋体"/>
                <w:szCs w:val="21"/>
              </w:rPr>
              <w:t>诚信</w:t>
            </w:r>
          </w:p>
        </w:tc>
        <w:tc>
          <w:tcPr>
            <w:tcW w:w="2825" w:type="pct"/>
            <w:vAlign w:val="center"/>
          </w:tcPr>
          <w:p>
            <w:pPr>
              <w:spacing w:line="360" w:lineRule="auto"/>
              <w:rPr>
                <w:rFonts w:ascii="宋体" w:hAnsi="宋体" w:cs="宋体"/>
                <w:szCs w:val="21"/>
              </w:rPr>
            </w:pPr>
            <w:r>
              <w:rPr>
                <w:rFonts w:hint="eastAsia" w:ascii="宋体" w:hAnsi="宋体" w:cs="宋体"/>
                <w:szCs w:val="21"/>
              </w:rPr>
              <w:t>根据《深圳市财政委员会关于印发〈深圳市政府采购供应商诚信管理暂行办法操作细则〉的通知》（深财购[2017]42号）的要求，供应商在参与政府采购活动中存在诚信相关问题且在主管部门相关处理措施实施期限内的，本项不得分，否则得满分。供应商需提供诚信承诺函，格式见附件。</w:t>
            </w:r>
          </w:p>
        </w:tc>
        <w:tc>
          <w:tcPr>
            <w:tcW w:w="417" w:type="pct"/>
            <w:tcBorders>
              <w:right w:val="single" w:color="auto" w:sz="4" w:space="0"/>
            </w:tcBorders>
            <w:vAlign w:val="center"/>
          </w:tcPr>
          <w:p>
            <w:pPr>
              <w:ind w:left="-63" w:leftChars="-30" w:right="-88" w:rightChars="-42"/>
              <w:jc w:val="center"/>
              <w:rPr>
                <w:rFonts w:ascii="宋体" w:hAnsi="宋体" w:cs="宋体"/>
                <w:szCs w:val="21"/>
              </w:rPr>
            </w:pPr>
            <w:r>
              <w:rPr>
                <w:rFonts w:hint="eastAsia" w:ascii="宋体" w:hAnsi="宋体" w:cs="宋体"/>
                <w:szCs w:val="21"/>
              </w:rPr>
              <w:t>5%</w:t>
            </w:r>
          </w:p>
        </w:tc>
        <w:tc>
          <w:tcPr>
            <w:tcW w:w="444" w:type="pct"/>
            <w:tcBorders>
              <w:left w:val="single" w:color="auto" w:sz="4" w:space="0"/>
              <w:right w:val="single" w:color="auto" w:sz="12" w:space="0"/>
            </w:tcBorders>
            <w:vAlign w:val="center"/>
          </w:tcPr>
          <w:p>
            <w:pPr>
              <w:ind w:left="-78" w:leftChars="-37" w:right="-73" w:rightChars="-35"/>
              <w:jc w:val="center"/>
              <w:rPr>
                <w:rFonts w:ascii="宋体" w:hAnsi="宋体" w:cs="宋体"/>
                <w:szCs w:val="21"/>
              </w:rPr>
            </w:pPr>
            <w:r>
              <w:rPr>
                <w:rFonts w:hint="eastAsia" w:ascii="宋体" w:hAnsi="宋体" w:cs="宋体"/>
                <w:szCs w:val="21"/>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394" w:type="pct"/>
            <w:tcBorders>
              <w:top w:val="single" w:color="auto" w:sz="4" w:space="0"/>
              <w:left w:val="single" w:color="auto" w:sz="12" w:space="0"/>
            </w:tcBorders>
            <w:vAlign w:val="center"/>
          </w:tcPr>
          <w:p>
            <w:pPr>
              <w:jc w:val="center"/>
              <w:rPr>
                <w:rFonts w:ascii="宋体" w:hAnsi="宋体" w:cs="宋体"/>
                <w:b/>
                <w:szCs w:val="21"/>
              </w:rPr>
            </w:pPr>
            <w:r>
              <w:rPr>
                <w:rFonts w:hint="eastAsia" w:ascii="宋体" w:hAnsi="宋体" w:cs="宋体"/>
                <w:b/>
                <w:szCs w:val="21"/>
              </w:rPr>
              <w:t>三</w:t>
            </w:r>
          </w:p>
        </w:tc>
        <w:tc>
          <w:tcPr>
            <w:tcW w:w="4605" w:type="pct"/>
            <w:gridSpan w:val="4"/>
            <w:tcBorders>
              <w:right w:val="single" w:color="auto" w:sz="12" w:space="0"/>
            </w:tcBorders>
            <w:vAlign w:val="center"/>
          </w:tcPr>
          <w:p>
            <w:pPr>
              <w:ind w:left="-78" w:leftChars="-37" w:right="-73" w:rightChars="-35"/>
              <w:jc w:val="center"/>
              <w:rPr>
                <w:rFonts w:ascii="宋体" w:hAnsi="宋体" w:cs="宋体"/>
                <w:b/>
                <w:szCs w:val="21"/>
              </w:rPr>
            </w:pPr>
            <w:r>
              <w:rPr>
                <w:rFonts w:hint="eastAsia" w:ascii="宋体" w:hAnsi="宋体" w:cs="宋体"/>
                <w:b/>
                <w:szCs w:val="21"/>
              </w:rPr>
              <w:t>价格部分（30分）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394" w:type="pct"/>
            <w:tcBorders>
              <w:left w:val="single" w:color="auto" w:sz="12" w:space="0"/>
            </w:tcBorders>
            <w:vAlign w:val="center"/>
          </w:tcPr>
          <w:p>
            <w:pPr>
              <w:jc w:val="center"/>
              <w:rPr>
                <w:rFonts w:ascii="宋体" w:hAnsi="宋体" w:cs="宋体"/>
                <w:bCs/>
                <w:szCs w:val="21"/>
              </w:rPr>
            </w:pPr>
            <w:r>
              <w:rPr>
                <w:rFonts w:hint="eastAsia" w:ascii="宋体" w:hAnsi="宋体" w:cs="宋体"/>
                <w:bCs/>
                <w:szCs w:val="21"/>
              </w:rPr>
              <w:t>1</w:t>
            </w:r>
          </w:p>
        </w:tc>
        <w:tc>
          <w:tcPr>
            <w:tcW w:w="919" w:type="pct"/>
            <w:vAlign w:val="center"/>
          </w:tcPr>
          <w:p>
            <w:pPr>
              <w:jc w:val="center"/>
              <w:rPr>
                <w:rFonts w:ascii="宋体" w:hAnsi="宋体" w:cs="宋体"/>
                <w:szCs w:val="21"/>
              </w:rPr>
            </w:pPr>
            <w:r>
              <w:rPr>
                <w:rFonts w:hint="eastAsia" w:ascii="宋体" w:hAnsi="宋体" w:cs="宋体"/>
                <w:szCs w:val="21"/>
              </w:rPr>
              <w:t>响应报价</w:t>
            </w:r>
          </w:p>
        </w:tc>
        <w:tc>
          <w:tcPr>
            <w:tcW w:w="2825" w:type="pct"/>
            <w:vAlign w:val="center"/>
          </w:tcPr>
          <w:p>
            <w:pPr>
              <w:snapToGrid w:val="0"/>
              <w:spacing w:line="360" w:lineRule="auto"/>
              <w:jc w:val="left"/>
              <w:rPr>
                <w:rFonts w:ascii="宋体" w:hAnsi="宋体" w:cs="宋体"/>
                <w:szCs w:val="21"/>
              </w:rPr>
            </w:pPr>
            <w:r>
              <w:rPr>
                <w:rFonts w:hint="eastAsia" w:ascii="宋体" w:hAnsi="宋体" w:cs="宋体"/>
                <w:szCs w:val="21"/>
              </w:rPr>
              <w:t>价格分统一采用低价优先法计算，即满足综合评审文件要求且报价最低的报价为基准价，其价格分为满分。其他响应供应商的价格分统一按照下列公式计算：</w:t>
            </w:r>
          </w:p>
          <w:p>
            <w:pPr>
              <w:snapToGrid w:val="0"/>
              <w:spacing w:line="360" w:lineRule="auto"/>
              <w:jc w:val="left"/>
              <w:rPr>
                <w:rFonts w:ascii="宋体" w:hAnsi="宋体" w:cs="宋体"/>
                <w:szCs w:val="21"/>
              </w:rPr>
            </w:pPr>
            <w:r>
              <w:rPr>
                <w:rFonts w:hint="eastAsia" w:ascii="宋体" w:hAnsi="宋体" w:cs="宋体"/>
                <w:szCs w:val="21"/>
              </w:rPr>
              <w:t>报价得分=(基准价／最后报价)×100×价格权重</w:t>
            </w:r>
          </w:p>
          <w:p>
            <w:pPr>
              <w:snapToGrid w:val="0"/>
              <w:spacing w:line="360" w:lineRule="auto"/>
              <w:jc w:val="left"/>
              <w:rPr>
                <w:rFonts w:ascii="宋体" w:hAnsi="宋体" w:cs="宋体"/>
                <w:szCs w:val="21"/>
              </w:rPr>
            </w:pPr>
            <w:r>
              <w:rPr>
                <w:rFonts w:hint="eastAsia" w:ascii="宋体" w:hAnsi="宋体" w:cs="宋体"/>
                <w:szCs w:val="21"/>
              </w:rPr>
              <w:t>备注：</w:t>
            </w:r>
          </w:p>
          <w:p>
            <w:pPr>
              <w:snapToGrid w:val="0"/>
              <w:spacing w:line="360" w:lineRule="auto"/>
              <w:jc w:val="left"/>
              <w:rPr>
                <w:rFonts w:ascii="宋体" w:hAnsi="宋体" w:cs="宋体"/>
                <w:szCs w:val="21"/>
              </w:rPr>
            </w:pPr>
            <w:r>
              <w:rPr>
                <w:rFonts w:hint="eastAsia" w:ascii="宋体" w:hAnsi="宋体" w:cs="宋体"/>
                <w:szCs w:val="21"/>
              </w:rPr>
              <w:t>1.报价得分四舍五入后，小数点后保留两位有效数；</w:t>
            </w:r>
          </w:p>
          <w:p>
            <w:pPr>
              <w:snapToGrid w:val="0"/>
              <w:spacing w:line="360" w:lineRule="auto"/>
              <w:jc w:val="left"/>
              <w:rPr>
                <w:rFonts w:ascii="宋体" w:hAnsi="宋体" w:cs="宋体"/>
                <w:szCs w:val="21"/>
              </w:rPr>
            </w:pPr>
            <w:r>
              <w:rPr>
                <w:rFonts w:hint="eastAsia" w:ascii="宋体" w:hAnsi="宋体" w:cs="宋体"/>
                <w:szCs w:val="21"/>
              </w:rPr>
              <w:t>2.供应商的报价明显低于其他供应商报价，有可能影响项目质量或者不能诚信履约的，平台将要求其在合理的时间内提供书面说明，必要时提交相关证明材料；供应商不能证明其报价合理性的，评审专家应当将其作为无效响应处理，取消其继续参与评审的资格。</w:t>
            </w:r>
          </w:p>
        </w:tc>
        <w:tc>
          <w:tcPr>
            <w:tcW w:w="417" w:type="pct"/>
            <w:tcBorders>
              <w:right w:val="single" w:color="auto" w:sz="4" w:space="0"/>
            </w:tcBorders>
            <w:vAlign w:val="center"/>
          </w:tcPr>
          <w:p>
            <w:pPr>
              <w:ind w:left="-78" w:leftChars="-37" w:right="-73" w:rightChars="-35"/>
              <w:jc w:val="center"/>
              <w:rPr>
                <w:rFonts w:ascii="宋体" w:hAnsi="宋体" w:cs="宋体"/>
                <w:szCs w:val="21"/>
              </w:rPr>
            </w:pPr>
            <w:r>
              <w:rPr>
                <w:rFonts w:hint="eastAsia" w:ascii="宋体" w:hAnsi="宋体" w:cs="宋体"/>
                <w:szCs w:val="21"/>
              </w:rPr>
              <w:t>30%</w:t>
            </w:r>
          </w:p>
        </w:tc>
        <w:tc>
          <w:tcPr>
            <w:tcW w:w="444" w:type="pct"/>
            <w:tcBorders>
              <w:left w:val="single" w:color="auto" w:sz="4" w:space="0"/>
              <w:right w:val="single" w:color="auto" w:sz="12" w:space="0"/>
            </w:tcBorders>
            <w:vAlign w:val="center"/>
          </w:tcPr>
          <w:p>
            <w:pPr>
              <w:ind w:left="-78" w:leftChars="-37" w:right="-73" w:rightChars="-35"/>
              <w:jc w:val="center"/>
              <w:rPr>
                <w:rFonts w:ascii="宋体" w:hAnsi="宋体" w:cs="宋体"/>
                <w:szCs w:val="21"/>
              </w:rPr>
            </w:pPr>
            <w:r>
              <w:rPr>
                <w:rFonts w:hint="eastAsia" w:ascii="宋体" w:hAnsi="宋体" w:cs="宋体"/>
                <w:szCs w:val="21"/>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4138" w:type="pct"/>
            <w:gridSpan w:val="3"/>
            <w:tcBorders>
              <w:left w:val="single" w:color="auto" w:sz="12" w:space="0"/>
              <w:bottom w:val="single" w:color="auto" w:sz="12" w:space="0"/>
            </w:tcBorders>
            <w:vAlign w:val="center"/>
          </w:tcPr>
          <w:p>
            <w:pPr>
              <w:ind w:left="-78" w:leftChars="-37" w:right="-73" w:rightChars="-35"/>
              <w:jc w:val="center"/>
              <w:rPr>
                <w:rFonts w:ascii="宋体" w:hAnsi="宋体" w:cs="宋体"/>
                <w:b/>
                <w:szCs w:val="21"/>
              </w:rPr>
            </w:pPr>
            <w:r>
              <w:rPr>
                <w:rFonts w:hint="eastAsia" w:ascii="宋体" w:hAnsi="宋体" w:cs="宋体"/>
                <w:b/>
                <w:szCs w:val="21"/>
              </w:rPr>
              <w:t>合计</w:t>
            </w:r>
          </w:p>
        </w:tc>
        <w:tc>
          <w:tcPr>
            <w:tcW w:w="417" w:type="pct"/>
            <w:tcBorders>
              <w:bottom w:val="single" w:color="auto" w:sz="12" w:space="0"/>
              <w:right w:val="single" w:color="auto" w:sz="4" w:space="0"/>
            </w:tcBorders>
            <w:vAlign w:val="center"/>
          </w:tcPr>
          <w:p>
            <w:pPr>
              <w:ind w:left="-78" w:leftChars="-37" w:right="-73" w:rightChars="-35"/>
              <w:jc w:val="center"/>
              <w:rPr>
                <w:rFonts w:ascii="宋体" w:hAnsi="宋体" w:cs="宋体"/>
                <w:szCs w:val="21"/>
              </w:rPr>
            </w:pPr>
            <w:r>
              <w:rPr>
                <w:rFonts w:hint="eastAsia" w:ascii="宋体" w:hAnsi="宋体" w:cs="宋体"/>
                <w:szCs w:val="21"/>
              </w:rPr>
              <w:t>100%</w:t>
            </w:r>
          </w:p>
        </w:tc>
        <w:tc>
          <w:tcPr>
            <w:tcW w:w="444" w:type="pct"/>
            <w:tcBorders>
              <w:left w:val="single" w:color="auto" w:sz="4" w:space="0"/>
              <w:bottom w:val="single" w:color="auto" w:sz="12" w:space="0"/>
              <w:right w:val="single" w:color="auto" w:sz="12" w:space="0"/>
            </w:tcBorders>
            <w:vAlign w:val="center"/>
          </w:tcPr>
          <w:p>
            <w:pPr>
              <w:ind w:left="-78" w:leftChars="-37" w:right="-73" w:rightChars="-35"/>
              <w:jc w:val="center"/>
              <w:rPr>
                <w:rFonts w:ascii="宋体" w:hAnsi="宋体" w:cs="宋体"/>
                <w:szCs w:val="21"/>
              </w:rPr>
            </w:pPr>
            <w:r>
              <w:rPr>
                <w:rFonts w:hint="eastAsia" w:ascii="宋体" w:hAnsi="宋体" w:cs="宋体"/>
                <w:szCs w:val="21"/>
              </w:rPr>
              <w:t>100分</w:t>
            </w:r>
          </w:p>
        </w:tc>
      </w:tr>
    </w:tbl>
    <w:p>
      <w:pPr>
        <w:rPr>
          <w:rFonts w:ascii="宋体" w:hAnsi="宋体" w:cs="宋体"/>
          <w:b/>
          <w:bCs/>
          <w:szCs w:val="21"/>
        </w:rPr>
      </w:pPr>
      <w:r>
        <w:rPr>
          <w:rFonts w:hint="eastAsia" w:ascii="宋体" w:hAnsi="宋体" w:cs="宋体"/>
          <w:b/>
          <w:color w:val="000000"/>
          <w:szCs w:val="21"/>
          <w:lang w:bidi="ar"/>
        </w:rPr>
        <w:br w:type="page"/>
      </w:r>
    </w:p>
    <w:p>
      <w:pPr>
        <w:widowControl/>
        <w:jc w:val="center"/>
        <w:outlineLvl w:val="0"/>
        <w:rPr>
          <w:rFonts w:ascii="宋体" w:hAnsi="宋体" w:cs="宋体"/>
          <w:b/>
          <w:bCs/>
          <w:sz w:val="44"/>
          <w:szCs w:val="44"/>
          <w:lang w:val="zh-CN"/>
        </w:rPr>
      </w:pPr>
      <w:r>
        <w:rPr>
          <w:rFonts w:hint="eastAsia" w:ascii="宋体" w:hAnsi="宋体" w:cs="宋体"/>
          <w:b/>
          <w:bCs/>
          <w:sz w:val="44"/>
          <w:szCs w:val="44"/>
          <w:lang w:val="zh-CN"/>
        </w:rPr>
        <w:t>第三章 响应文件附件</w:t>
      </w:r>
    </w:p>
    <w:p>
      <w:pPr>
        <w:pStyle w:val="19"/>
        <w:spacing w:before="0" w:after="0"/>
        <w:rPr>
          <w:rFonts w:ascii="宋体" w:hAnsi="宋体" w:cs="宋体"/>
          <w:lang w:val="zh-CN"/>
        </w:rPr>
      </w:pPr>
      <w:r>
        <w:rPr>
          <w:rFonts w:hint="eastAsia" w:ascii="宋体" w:hAnsi="宋体" w:cs="宋体"/>
        </w:rPr>
        <w:t>响应文件封面参考</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jc w:val="center"/>
        </w:trPr>
        <w:tc>
          <w:tcPr>
            <w:tcW w:w="9018" w:type="dxa"/>
          </w:tcPr>
          <w:p>
            <w:pPr>
              <w:pStyle w:val="10"/>
              <w:spacing w:line="360" w:lineRule="auto"/>
              <w:ind w:firstLine="482" w:firstLineChars="150"/>
              <w:rPr>
                <w:rFonts w:ascii="宋体" w:hAnsi="宋体" w:cs="宋体"/>
                <w:b/>
                <w:sz w:val="32"/>
              </w:rPr>
            </w:pPr>
          </w:p>
          <w:p>
            <w:pPr>
              <w:pStyle w:val="10"/>
              <w:spacing w:line="360" w:lineRule="auto"/>
              <w:rPr>
                <w:rFonts w:ascii="宋体" w:hAnsi="宋体" w:cs="宋体"/>
                <w:b/>
                <w:sz w:val="72"/>
                <w:szCs w:val="72"/>
              </w:rPr>
            </w:pPr>
          </w:p>
          <w:p>
            <w:pPr>
              <w:pStyle w:val="10"/>
              <w:spacing w:line="360" w:lineRule="auto"/>
              <w:ind w:firstLine="31"/>
              <w:jc w:val="center"/>
              <w:rPr>
                <w:rFonts w:ascii="宋体" w:hAnsi="宋体" w:cs="宋体"/>
                <w:b/>
                <w:sz w:val="72"/>
                <w:szCs w:val="72"/>
              </w:rPr>
            </w:pPr>
            <w:r>
              <w:rPr>
                <w:rFonts w:hint="eastAsia" w:ascii="宋体" w:hAnsi="宋体" w:cs="宋体"/>
                <w:b/>
                <w:sz w:val="72"/>
                <w:szCs w:val="72"/>
              </w:rPr>
              <w:t>响 应 文 件</w:t>
            </w:r>
          </w:p>
          <w:p>
            <w:pPr>
              <w:pStyle w:val="10"/>
              <w:spacing w:line="360" w:lineRule="auto"/>
              <w:ind w:firstLine="2091" w:firstLineChars="651"/>
              <w:rPr>
                <w:rFonts w:ascii="宋体" w:hAnsi="宋体" w:cs="宋体"/>
                <w:b/>
                <w:sz w:val="32"/>
              </w:rPr>
            </w:pPr>
          </w:p>
          <w:p>
            <w:pPr>
              <w:pStyle w:val="10"/>
              <w:spacing w:line="360" w:lineRule="auto"/>
              <w:ind w:firstLine="643"/>
              <w:rPr>
                <w:rFonts w:ascii="宋体" w:hAnsi="宋体" w:cs="宋体"/>
                <w:b/>
                <w:sz w:val="32"/>
              </w:rPr>
            </w:pPr>
          </w:p>
          <w:p>
            <w:pPr>
              <w:pStyle w:val="10"/>
              <w:spacing w:line="400" w:lineRule="exact"/>
              <w:rPr>
                <w:rFonts w:ascii="宋体" w:hAnsi="宋体" w:cs="宋体"/>
                <w:b/>
                <w:sz w:val="28"/>
                <w:szCs w:val="28"/>
              </w:rPr>
            </w:pPr>
            <w:r>
              <w:rPr>
                <w:rFonts w:hint="eastAsia" w:ascii="宋体" w:hAnsi="宋体" w:cs="宋体"/>
                <w:b/>
                <w:sz w:val="28"/>
                <w:szCs w:val="28"/>
              </w:rPr>
              <w:t>项目编号：</w:t>
            </w:r>
          </w:p>
          <w:p>
            <w:pPr>
              <w:ind w:left="1405" w:hanging="1405" w:hangingChars="500"/>
              <w:rPr>
                <w:rFonts w:ascii="宋体" w:hAnsi="宋体" w:cs="宋体"/>
                <w:szCs w:val="21"/>
              </w:rPr>
            </w:pPr>
            <w:r>
              <w:rPr>
                <w:rFonts w:hint="eastAsia" w:ascii="宋体" w:hAnsi="宋体" w:cs="宋体"/>
                <w:b/>
                <w:sz w:val="28"/>
                <w:szCs w:val="28"/>
              </w:rPr>
              <w:t>项目名称：</w:t>
            </w:r>
            <w:r>
              <w:rPr>
                <w:rFonts w:hint="eastAsia" w:ascii="宋体" w:hAnsi="宋体" w:cs="宋体"/>
                <w:b/>
                <w:kern w:val="0"/>
                <w:sz w:val="28"/>
                <w:szCs w:val="28"/>
              </w:rPr>
              <w:t>二氧化硫分析仪和耐腐蚀型氮吹仪小设备采购项目</w:t>
            </w:r>
          </w:p>
          <w:p>
            <w:pPr>
              <w:pStyle w:val="10"/>
              <w:spacing w:line="400" w:lineRule="exact"/>
              <w:rPr>
                <w:rFonts w:ascii="宋体" w:hAnsi="宋体" w:cs="宋体"/>
                <w:b/>
                <w:sz w:val="28"/>
                <w:szCs w:val="28"/>
              </w:rPr>
            </w:pPr>
            <w:r>
              <w:rPr>
                <w:rFonts w:hint="eastAsia" w:ascii="宋体" w:hAnsi="宋体" w:cs="宋体"/>
                <w:b/>
                <w:sz w:val="28"/>
                <w:szCs w:val="28"/>
              </w:rPr>
              <w:t>供应商名称：</w:t>
            </w:r>
          </w:p>
          <w:p>
            <w:pPr>
              <w:pStyle w:val="10"/>
              <w:spacing w:line="400" w:lineRule="exact"/>
              <w:rPr>
                <w:rFonts w:ascii="宋体" w:hAnsi="宋体" w:cs="宋体"/>
                <w:b/>
                <w:sz w:val="28"/>
                <w:szCs w:val="28"/>
              </w:rPr>
            </w:pPr>
            <w:r>
              <w:rPr>
                <w:rFonts w:hint="eastAsia" w:ascii="宋体" w:hAnsi="宋体" w:cs="宋体"/>
                <w:b/>
                <w:sz w:val="28"/>
                <w:szCs w:val="28"/>
              </w:rPr>
              <w:t>供应商地址：</w:t>
            </w:r>
          </w:p>
          <w:p>
            <w:pPr>
              <w:pStyle w:val="10"/>
              <w:spacing w:line="400" w:lineRule="exact"/>
              <w:ind w:firstLine="1028" w:firstLineChars="320"/>
              <w:rPr>
                <w:rFonts w:ascii="宋体" w:hAnsi="宋体" w:cs="宋体"/>
                <w:b/>
                <w:sz w:val="32"/>
              </w:rPr>
            </w:pPr>
          </w:p>
        </w:tc>
      </w:tr>
    </w:tbl>
    <w:p>
      <w:pPr>
        <w:pStyle w:val="13"/>
        <w:rPr>
          <w:rStyle w:val="26"/>
          <w:rFonts w:hAnsi="宋体" w:cs="宋体"/>
        </w:rPr>
      </w:pPr>
    </w:p>
    <w:p>
      <w:pPr>
        <w:rPr>
          <w:rFonts w:ascii="宋体" w:hAnsi="宋体" w:cs="宋体"/>
        </w:rPr>
      </w:pPr>
      <w:r>
        <w:rPr>
          <w:rFonts w:hint="eastAsia" w:ascii="宋体" w:hAnsi="宋体" w:cs="宋体"/>
        </w:rPr>
        <w:br w:type="page"/>
      </w:r>
    </w:p>
    <w:p>
      <w:pPr>
        <w:pStyle w:val="56"/>
        <w:ind w:firstLine="0" w:firstLineChars="0"/>
        <w:rPr>
          <w:rFonts w:ascii="宋体" w:hAnsi="宋体" w:cs="宋体"/>
          <w:color w:val="000000"/>
        </w:rPr>
      </w:pPr>
    </w:p>
    <w:p>
      <w:pPr>
        <w:pStyle w:val="4"/>
        <w:spacing w:line="360" w:lineRule="auto"/>
        <w:jc w:val="center"/>
        <w:rPr>
          <w:rFonts w:ascii="宋体" w:hAnsi="宋体" w:eastAsia="宋体" w:cs="宋体"/>
          <w:color w:val="000000"/>
        </w:rPr>
      </w:pPr>
      <w:r>
        <w:rPr>
          <w:rFonts w:hint="eastAsia" w:ascii="宋体" w:hAnsi="宋体" w:eastAsia="宋体" w:cs="宋体"/>
          <w:color w:val="000000"/>
        </w:rPr>
        <w:t>报名报价响应文件目录</w:t>
      </w:r>
    </w:p>
    <w:tbl>
      <w:tblPr>
        <w:tblStyle w:val="22"/>
        <w:tblW w:w="91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4"/>
        <w:gridCol w:w="175"/>
        <w:gridCol w:w="4115"/>
        <w:gridCol w:w="1456"/>
        <w:gridCol w:w="456"/>
        <w:gridCol w:w="2411"/>
        <w:gridCol w:w="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jc w:val="center"/>
        </w:trPr>
        <w:tc>
          <w:tcPr>
            <w:tcW w:w="504" w:type="dxa"/>
            <w:vAlign w:val="center"/>
          </w:tcPr>
          <w:p>
            <w:pPr>
              <w:snapToGrid w:val="0"/>
              <w:spacing w:line="264" w:lineRule="auto"/>
              <w:jc w:val="center"/>
              <w:rPr>
                <w:rFonts w:ascii="宋体" w:hAnsi="宋体" w:cs="宋体"/>
                <w:b/>
                <w:color w:val="000000"/>
                <w:szCs w:val="21"/>
              </w:rPr>
            </w:pPr>
            <w:r>
              <w:rPr>
                <w:rFonts w:hint="eastAsia" w:ascii="宋体" w:hAnsi="宋体" w:cs="宋体"/>
                <w:b/>
                <w:color w:val="000000"/>
                <w:szCs w:val="21"/>
              </w:rPr>
              <w:t>序号</w:t>
            </w:r>
          </w:p>
        </w:tc>
        <w:tc>
          <w:tcPr>
            <w:tcW w:w="4290" w:type="dxa"/>
            <w:gridSpan w:val="2"/>
            <w:vAlign w:val="center"/>
          </w:tcPr>
          <w:p>
            <w:pPr>
              <w:snapToGrid w:val="0"/>
              <w:spacing w:line="264" w:lineRule="auto"/>
              <w:jc w:val="center"/>
              <w:rPr>
                <w:rFonts w:ascii="宋体" w:hAnsi="宋体" w:cs="宋体"/>
                <w:b/>
                <w:color w:val="000000"/>
                <w:szCs w:val="21"/>
              </w:rPr>
            </w:pPr>
            <w:r>
              <w:rPr>
                <w:rFonts w:hint="eastAsia" w:ascii="宋体" w:hAnsi="宋体" w:cs="宋体"/>
                <w:b/>
                <w:color w:val="000000"/>
                <w:szCs w:val="21"/>
              </w:rPr>
              <w:t>评审因素</w:t>
            </w:r>
          </w:p>
        </w:tc>
        <w:tc>
          <w:tcPr>
            <w:tcW w:w="1912" w:type="dxa"/>
            <w:gridSpan w:val="2"/>
            <w:vAlign w:val="center"/>
          </w:tcPr>
          <w:p>
            <w:pPr>
              <w:snapToGrid w:val="0"/>
              <w:spacing w:line="264" w:lineRule="auto"/>
              <w:jc w:val="center"/>
              <w:rPr>
                <w:rFonts w:ascii="宋体" w:hAnsi="宋体" w:cs="宋体"/>
                <w:b/>
                <w:color w:val="000000"/>
                <w:szCs w:val="21"/>
              </w:rPr>
            </w:pPr>
            <w:r>
              <w:rPr>
                <w:rFonts w:hint="eastAsia" w:ascii="宋体" w:hAnsi="宋体" w:cs="宋体"/>
                <w:b/>
                <w:color w:val="000000"/>
                <w:szCs w:val="21"/>
              </w:rPr>
              <w:t>提交内容</w:t>
            </w:r>
          </w:p>
        </w:tc>
        <w:tc>
          <w:tcPr>
            <w:tcW w:w="2418" w:type="dxa"/>
            <w:gridSpan w:val="2"/>
            <w:vAlign w:val="center"/>
          </w:tcPr>
          <w:p>
            <w:pPr>
              <w:snapToGrid w:val="0"/>
              <w:spacing w:line="264" w:lineRule="auto"/>
              <w:jc w:val="center"/>
              <w:rPr>
                <w:rFonts w:ascii="宋体" w:hAnsi="宋体" w:cs="宋体"/>
                <w:b/>
                <w:color w:val="000000"/>
                <w:szCs w:val="21"/>
              </w:rPr>
            </w:pPr>
            <w:r>
              <w:rPr>
                <w:rFonts w:hint="eastAsia" w:ascii="宋体" w:hAnsi="宋体" w:cs="宋体"/>
                <w:b/>
                <w:color w:val="000000"/>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9124" w:type="dxa"/>
            <w:gridSpan w:val="7"/>
            <w:vAlign w:val="center"/>
          </w:tcPr>
          <w:p>
            <w:pPr>
              <w:snapToGrid w:val="0"/>
              <w:spacing w:line="264" w:lineRule="auto"/>
              <w:jc w:val="center"/>
              <w:rPr>
                <w:rFonts w:ascii="宋体" w:hAnsi="宋体" w:cs="宋体"/>
                <w:b/>
                <w:bCs/>
                <w:color w:val="000000"/>
                <w:szCs w:val="21"/>
              </w:rPr>
            </w:pPr>
            <w:r>
              <w:rPr>
                <w:rFonts w:hint="eastAsia" w:ascii="宋体" w:hAnsi="宋体" w:cs="宋体"/>
                <w:b/>
                <w:bCs/>
                <w:color w:val="000000"/>
                <w:szCs w:val="21"/>
              </w:rPr>
              <w:t>报名条件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504" w:type="dxa"/>
            <w:vAlign w:val="center"/>
          </w:tcPr>
          <w:p>
            <w:pPr>
              <w:numPr>
                <w:ilvl w:val="0"/>
                <w:numId w:val="22"/>
              </w:numPr>
              <w:adjustRightInd w:val="0"/>
              <w:snapToGrid w:val="0"/>
              <w:spacing w:line="264" w:lineRule="auto"/>
              <w:jc w:val="center"/>
              <w:textAlignment w:val="baseline"/>
              <w:rPr>
                <w:rFonts w:ascii="宋体" w:hAnsi="宋体" w:cs="宋体"/>
                <w:color w:val="000000"/>
                <w:szCs w:val="21"/>
              </w:rPr>
            </w:pPr>
          </w:p>
        </w:tc>
        <w:tc>
          <w:tcPr>
            <w:tcW w:w="4290" w:type="dxa"/>
            <w:gridSpan w:val="2"/>
            <w:vAlign w:val="center"/>
          </w:tcPr>
          <w:p>
            <w:pPr>
              <w:pStyle w:val="50"/>
              <w:widowControl/>
              <w:spacing w:line="360" w:lineRule="auto"/>
              <w:ind w:firstLine="0" w:firstLineChars="0"/>
              <w:jc w:val="left"/>
              <w:rPr>
                <w:rFonts w:ascii="宋体" w:hAnsi="宋体" w:cs="宋体"/>
                <w:bCs/>
                <w:kern w:val="0"/>
                <w:szCs w:val="21"/>
              </w:rPr>
            </w:pPr>
            <w:r>
              <w:rPr>
                <w:rFonts w:hint="eastAsia" w:ascii="宋体" w:hAnsi="宋体" w:cs="宋体"/>
                <w:bCs/>
                <w:kern w:val="0"/>
                <w:szCs w:val="21"/>
              </w:rPr>
              <w:t>提供在中华人民共和国境内注册的法人或其他组织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tc>
        <w:tc>
          <w:tcPr>
            <w:tcW w:w="1912" w:type="dxa"/>
            <w:gridSpan w:val="2"/>
            <w:vAlign w:val="center"/>
          </w:tcPr>
          <w:p>
            <w:pPr>
              <w:jc w:val="center"/>
              <w:rPr>
                <w:rFonts w:ascii="宋体" w:hAnsi="宋体" w:cs="宋体"/>
                <w:color w:val="000000"/>
                <w:szCs w:val="21"/>
              </w:rPr>
            </w:pPr>
            <w:r>
              <w:rPr>
                <w:rFonts w:hint="eastAsia" w:ascii="宋体" w:hAnsi="宋体" w:cs="宋体"/>
                <w:color w:val="000000"/>
                <w:kern w:val="0"/>
                <w:szCs w:val="21"/>
              </w:rPr>
              <w:t>提供营业执照</w:t>
            </w:r>
          </w:p>
        </w:tc>
        <w:tc>
          <w:tcPr>
            <w:tcW w:w="2418" w:type="dxa"/>
            <w:gridSpan w:val="2"/>
            <w:vAlign w:val="center"/>
          </w:tcPr>
          <w:p>
            <w:pPr>
              <w:snapToGrid w:val="0"/>
              <w:spacing w:line="36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504" w:type="dxa"/>
            <w:vAlign w:val="center"/>
          </w:tcPr>
          <w:p>
            <w:pPr>
              <w:numPr>
                <w:ilvl w:val="0"/>
                <w:numId w:val="22"/>
              </w:numPr>
              <w:adjustRightInd w:val="0"/>
              <w:snapToGrid w:val="0"/>
              <w:spacing w:line="264" w:lineRule="auto"/>
              <w:jc w:val="center"/>
              <w:textAlignment w:val="baseline"/>
              <w:rPr>
                <w:rFonts w:ascii="宋体" w:hAnsi="宋体" w:cs="宋体"/>
                <w:color w:val="000000"/>
                <w:szCs w:val="21"/>
              </w:rPr>
            </w:pPr>
          </w:p>
        </w:tc>
        <w:tc>
          <w:tcPr>
            <w:tcW w:w="4290" w:type="dxa"/>
            <w:gridSpan w:val="2"/>
            <w:vAlign w:val="center"/>
          </w:tcPr>
          <w:p>
            <w:pPr>
              <w:pStyle w:val="50"/>
              <w:widowControl/>
              <w:spacing w:line="360" w:lineRule="auto"/>
              <w:ind w:firstLine="0" w:firstLineChars="0"/>
              <w:jc w:val="left"/>
              <w:rPr>
                <w:rFonts w:ascii="宋体" w:hAnsi="宋体" w:cs="宋体"/>
                <w:bCs/>
                <w:kern w:val="0"/>
                <w:szCs w:val="21"/>
              </w:rPr>
            </w:pPr>
            <w:r>
              <w:rPr>
                <w:rFonts w:hint="eastAsia" w:ascii="宋体" w:hAnsi="宋体" w:cs="宋体"/>
                <w:bCs/>
                <w:kern w:val="0"/>
                <w:szCs w:val="21"/>
              </w:rPr>
              <w:t>经办人如是法定代表人，需提供法定代表人证明书及法定代表人身份证复印件，</w:t>
            </w:r>
            <w:r>
              <w:rPr>
                <w:rFonts w:hint="eastAsia" w:ascii="宋体" w:hAnsi="宋体" w:cs="宋体"/>
                <w:b/>
                <w:kern w:val="0"/>
                <w:szCs w:val="21"/>
              </w:rPr>
              <w:t>格式详见附件</w:t>
            </w:r>
            <w:r>
              <w:rPr>
                <w:rFonts w:hint="eastAsia" w:ascii="宋体" w:hAnsi="宋体" w:cs="宋体"/>
                <w:bCs/>
                <w:szCs w:val="21"/>
                <w:lang w:bidi="ar"/>
              </w:rPr>
              <w:t>，</w:t>
            </w:r>
            <w:r>
              <w:rPr>
                <w:rFonts w:hint="eastAsia" w:ascii="宋体" w:hAnsi="宋体" w:cs="宋体"/>
                <w:b/>
                <w:szCs w:val="21"/>
                <w:lang w:bidi="ar"/>
              </w:rPr>
              <w:t>格式详见附件，且须提供法定代表人近三个月（</w:t>
            </w:r>
            <w:r>
              <w:rPr>
                <w:rStyle w:val="78"/>
                <w:sz w:val="21"/>
                <w:szCs w:val="21"/>
                <w:lang w:bidi="ar"/>
              </w:rPr>
              <w:t>2024年01月至2024年03月</w:t>
            </w:r>
            <w:r>
              <w:rPr>
                <w:rFonts w:hint="eastAsia" w:ascii="宋体" w:hAnsi="宋体" w:cs="宋体"/>
                <w:b/>
                <w:szCs w:val="21"/>
                <w:lang w:bidi="ar"/>
              </w:rPr>
              <w:t>）任意一月的缴纳社保材料证明</w:t>
            </w:r>
            <w:r>
              <w:rPr>
                <w:rFonts w:hint="eastAsia" w:ascii="宋体" w:hAnsi="宋体" w:cs="宋体"/>
                <w:bCs/>
                <w:kern w:val="0"/>
                <w:szCs w:val="21"/>
              </w:rPr>
              <w:t>；经办人如是供应商授权代表，需提供法定代表人证明书、法定代表人身份证复印件、法定代表人授权委托书、授权代表身份证复印件，</w:t>
            </w:r>
            <w:r>
              <w:rPr>
                <w:rFonts w:hint="eastAsia" w:ascii="宋体" w:hAnsi="宋体" w:cs="宋体"/>
                <w:b/>
                <w:kern w:val="0"/>
                <w:szCs w:val="21"/>
              </w:rPr>
              <w:t>格式详见附件</w:t>
            </w:r>
            <w:r>
              <w:rPr>
                <w:rFonts w:hint="eastAsia" w:ascii="宋体" w:hAnsi="宋体" w:cs="宋体"/>
                <w:b/>
                <w:szCs w:val="21"/>
                <w:lang w:bidi="ar"/>
              </w:rPr>
              <w:t>，且须提供供应商授权代表近三个月（</w:t>
            </w:r>
            <w:r>
              <w:rPr>
                <w:rStyle w:val="78"/>
                <w:sz w:val="21"/>
                <w:szCs w:val="21"/>
                <w:lang w:bidi="ar"/>
              </w:rPr>
              <w:t>2024年01月至2024年03月</w:t>
            </w:r>
            <w:r>
              <w:rPr>
                <w:rFonts w:hint="eastAsia" w:ascii="宋体" w:hAnsi="宋体" w:cs="宋体"/>
                <w:b/>
                <w:szCs w:val="21"/>
                <w:lang w:bidi="ar"/>
              </w:rPr>
              <w:t>）任意一月的缴纳社保材料证明</w:t>
            </w:r>
            <w:r>
              <w:rPr>
                <w:rFonts w:hint="eastAsia" w:ascii="宋体" w:hAnsi="宋体" w:cs="宋体"/>
                <w:b/>
                <w:kern w:val="0"/>
                <w:szCs w:val="21"/>
              </w:rPr>
              <w:t>；</w:t>
            </w:r>
          </w:p>
        </w:tc>
        <w:tc>
          <w:tcPr>
            <w:tcW w:w="1912" w:type="dxa"/>
            <w:gridSpan w:val="2"/>
            <w:vAlign w:val="center"/>
          </w:tcPr>
          <w:p>
            <w:pPr>
              <w:jc w:val="center"/>
              <w:rPr>
                <w:rFonts w:ascii="宋体" w:hAnsi="宋体" w:cs="宋体"/>
                <w:color w:val="000000"/>
                <w:kern w:val="0"/>
                <w:szCs w:val="21"/>
              </w:rPr>
            </w:pPr>
            <w:r>
              <w:rPr>
                <w:rFonts w:hint="eastAsia" w:ascii="宋体" w:hAnsi="宋体" w:cs="宋体"/>
                <w:color w:val="000000"/>
                <w:kern w:val="0"/>
                <w:szCs w:val="21"/>
              </w:rPr>
              <w:t>提供附件文件</w:t>
            </w:r>
          </w:p>
        </w:tc>
        <w:tc>
          <w:tcPr>
            <w:tcW w:w="2418" w:type="dxa"/>
            <w:gridSpan w:val="2"/>
            <w:vAlign w:val="center"/>
          </w:tcPr>
          <w:p>
            <w:pPr>
              <w:snapToGrid w:val="0"/>
              <w:spacing w:line="36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504" w:type="dxa"/>
            <w:vAlign w:val="center"/>
          </w:tcPr>
          <w:p>
            <w:pPr>
              <w:numPr>
                <w:ilvl w:val="0"/>
                <w:numId w:val="22"/>
              </w:numPr>
              <w:adjustRightInd w:val="0"/>
              <w:snapToGrid w:val="0"/>
              <w:spacing w:line="264" w:lineRule="auto"/>
              <w:jc w:val="center"/>
              <w:textAlignment w:val="baseline"/>
              <w:rPr>
                <w:rFonts w:ascii="宋体" w:hAnsi="宋体" w:cs="宋体"/>
                <w:color w:val="000000"/>
                <w:szCs w:val="21"/>
              </w:rPr>
            </w:pPr>
          </w:p>
        </w:tc>
        <w:tc>
          <w:tcPr>
            <w:tcW w:w="4290" w:type="dxa"/>
            <w:gridSpan w:val="2"/>
            <w:vAlign w:val="center"/>
          </w:tcPr>
          <w:p>
            <w:pPr>
              <w:pStyle w:val="50"/>
              <w:widowControl/>
              <w:spacing w:line="360" w:lineRule="auto"/>
              <w:ind w:firstLine="0" w:firstLineChars="0"/>
              <w:jc w:val="left"/>
              <w:rPr>
                <w:rFonts w:ascii="宋体" w:hAnsi="宋体" w:cs="宋体"/>
                <w:bCs/>
                <w:kern w:val="0"/>
                <w:szCs w:val="21"/>
              </w:rPr>
            </w:pPr>
            <w:r>
              <w:rPr>
                <w:rFonts w:hint="eastAsia" w:ascii="宋体" w:hAnsi="宋体" w:cs="宋体"/>
                <w:bCs/>
                <w:kern w:val="0"/>
                <w:szCs w:val="21"/>
              </w:rPr>
              <w:t>满足《中华人民共和国政府采购法》第二十二条规定；本项目不允许联合参与评审；不允许分包转包；为采购项目提供整体设计、规范编制或者项目管理、监理、检测等服务的供应商，不得再参加该采购项目同一合同项下的其他采购活动；法定代表人或单位负责人与所参投的本项目其他供应商的法定代表人或单位负责人不为同一人且与其他供应商之间不存在直接控股、管理关系；（提供《供应商资格声明函》，</w:t>
            </w:r>
            <w:r>
              <w:rPr>
                <w:rFonts w:hint="eastAsia" w:ascii="宋体" w:hAnsi="宋体" w:cs="宋体"/>
                <w:b/>
                <w:kern w:val="0"/>
                <w:szCs w:val="21"/>
              </w:rPr>
              <w:t>格式见附件</w:t>
            </w:r>
            <w:r>
              <w:rPr>
                <w:rFonts w:hint="eastAsia" w:ascii="宋体" w:hAnsi="宋体" w:cs="宋体"/>
                <w:bCs/>
                <w:kern w:val="0"/>
                <w:szCs w:val="21"/>
              </w:rPr>
              <w:t>）；</w:t>
            </w:r>
          </w:p>
        </w:tc>
        <w:tc>
          <w:tcPr>
            <w:tcW w:w="1912" w:type="dxa"/>
            <w:gridSpan w:val="2"/>
            <w:vAlign w:val="center"/>
          </w:tcPr>
          <w:p>
            <w:pPr>
              <w:jc w:val="center"/>
              <w:rPr>
                <w:rFonts w:ascii="宋体" w:hAnsi="宋体" w:cs="宋体"/>
                <w:color w:val="000000"/>
                <w:kern w:val="0"/>
                <w:szCs w:val="21"/>
              </w:rPr>
            </w:pPr>
            <w:r>
              <w:rPr>
                <w:rFonts w:hint="eastAsia" w:ascii="宋体" w:hAnsi="宋体" w:cs="宋体"/>
                <w:color w:val="000000"/>
                <w:kern w:val="0"/>
                <w:szCs w:val="21"/>
              </w:rPr>
              <w:t>提供供应商资格声明函</w:t>
            </w:r>
          </w:p>
        </w:tc>
        <w:tc>
          <w:tcPr>
            <w:tcW w:w="2418" w:type="dxa"/>
            <w:gridSpan w:val="2"/>
            <w:vAlign w:val="center"/>
          </w:tcPr>
          <w:p>
            <w:pPr>
              <w:snapToGrid w:val="0"/>
              <w:spacing w:line="36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504" w:type="dxa"/>
            <w:vAlign w:val="center"/>
          </w:tcPr>
          <w:p>
            <w:pPr>
              <w:numPr>
                <w:ilvl w:val="0"/>
                <w:numId w:val="22"/>
              </w:numPr>
              <w:adjustRightInd w:val="0"/>
              <w:snapToGrid w:val="0"/>
              <w:spacing w:line="264" w:lineRule="auto"/>
              <w:jc w:val="center"/>
              <w:textAlignment w:val="baseline"/>
              <w:rPr>
                <w:rFonts w:ascii="宋体" w:hAnsi="宋体" w:cs="宋体"/>
                <w:color w:val="000000"/>
                <w:szCs w:val="21"/>
              </w:rPr>
            </w:pPr>
          </w:p>
        </w:tc>
        <w:tc>
          <w:tcPr>
            <w:tcW w:w="4290" w:type="dxa"/>
            <w:gridSpan w:val="2"/>
            <w:vAlign w:val="center"/>
          </w:tcPr>
          <w:p>
            <w:pPr>
              <w:pStyle w:val="18"/>
              <w:spacing w:before="0" w:beforeAutospacing="0" w:after="0" w:afterAutospacing="0" w:line="360" w:lineRule="auto"/>
              <w:rPr>
                <w:bCs/>
                <w:szCs w:val="21"/>
              </w:rPr>
            </w:pPr>
            <w:r>
              <w:rPr>
                <w:rFonts w:hint="eastAsia"/>
                <w:bCs/>
                <w:sz w:val="21"/>
                <w:szCs w:val="21"/>
                <w:lang w:bidi="ar"/>
              </w:rPr>
              <w:t>供应商知悉政府采购违法行为风险，提供采购违法行为风险知悉确认书，</w:t>
            </w:r>
            <w:r>
              <w:rPr>
                <w:rFonts w:hint="eastAsia"/>
                <w:b/>
                <w:sz w:val="21"/>
                <w:szCs w:val="21"/>
                <w:lang w:bidi="ar"/>
              </w:rPr>
              <w:t>格式详见附件。</w:t>
            </w:r>
          </w:p>
        </w:tc>
        <w:tc>
          <w:tcPr>
            <w:tcW w:w="1912" w:type="dxa"/>
            <w:gridSpan w:val="2"/>
            <w:vAlign w:val="center"/>
          </w:tcPr>
          <w:p>
            <w:pPr>
              <w:jc w:val="center"/>
              <w:rPr>
                <w:rFonts w:ascii="宋体" w:hAnsi="宋体" w:cs="宋体"/>
                <w:color w:val="000000"/>
                <w:kern w:val="0"/>
                <w:szCs w:val="21"/>
              </w:rPr>
            </w:pPr>
            <w:r>
              <w:rPr>
                <w:rFonts w:hint="eastAsia" w:ascii="宋体" w:hAnsi="宋体" w:cs="宋体"/>
                <w:bCs/>
                <w:kern w:val="0"/>
                <w:szCs w:val="21"/>
                <w:lang w:bidi="ar"/>
              </w:rPr>
              <w:t>提供采购违法行为风险知悉确认书</w:t>
            </w:r>
          </w:p>
        </w:tc>
        <w:tc>
          <w:tcPr>
            <w:tcW w:w="2418" w:type="dxa"/>
            <w:gridSpan w:val="2"/>
            <w:vAlign w:val="center"/>
          </w:tcPr>
          <w:p>
            <w:pPr>
              <w:snapToGrid w:val="0"/>
              <w:spacing w:line="36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560" w:hRule="atLeast"/>
          <w:jc w:val="center"/>
        </w:trPr>
        <w:tc>
          <w:tcPr>
            <w:tcW w:w="9117" w:type="dxa"/>
            <w:gridSpan w:val="6"/>
            <w:tcBorders>
              <w:top w:val="single" w:color="auto" w:sz="12" w:space="0"/>
              <w:left w:val="single" w:color="auto" w:sz="12" w:space="0"/>
              <w:bottom w:val="single" w:color="auto" w:sz="6" w:space="0"/>
              <w:right w:val="single" w:color="auto" w:sz="12" w:space="0"/>
            </w:tcBorders>
            <w:vAlign w:val="center"/>
          </w:tcPr>
          <w:p>
            <w:pPr>
              <w:adjustRightInd w:val="0"/>
              <w:snapToGrid w:val="0"/>
              <w:spacing w:line="360" w:lineRule="auto"/>
              <w:jc w:val="center"/>
              <w:textAlignment w:val="baseline"/>
              <w:rPr>
                <w:rFonts w:ascii="宋体" w:hAnsi="宋体" w:cs="宋体"/>
                <w:b/>
                <w:color w:val="000000"/>
                <w:szCs w:val="21"/>
              </w:rPr>
            </w:pPr>
            <w:r>
              <w:rPr>
                <w:rFonts w:hint="eastAsia" w:ascii="宋体" w:hAnsi="宋体" w:cs="宋体"/>
                <w:b/>
                <w:color w:val="000000"/>
                <w:szCs w:val="21"/>
              </w:rPr>
              <w:t>价格评审自查表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542" w:hRule="atLeast"/>
          <w:jc w:val="center"/>
        </w:trPr>
        <w:tc>
          <w:tcPr>
            <w:tcW w:w="679"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64" w:lineRule="auto"/>
              <w:ind w:left="-88" w:leftChars="-42" w:right="-82" w:rightChars="-39"/>
              <w:jc w:val="center"/>
              <w:rPr>
                <w:rFonts w:ascii="宋体" w:hAnsi="宋体" w:cs="宋体"/>
                <w:b/>
                <w:color w:val="000000"/>
                <w:szCs w:val="21"/>
              </w:rPr>
            </w:pPr>
            <w:r>
              <w:rPr>
                <w:rFonts w:hint="eastAsia" w:ascii="宋体" w:hAnsi="宋体" w:cs="宋体"/>
                <w:b/>
                <w:color w:val="000000"/>
                <w:szCs w:val="21"/>
              </w:rPr>
              <w:t>序号</w:t>
            </w:r>
          </w:p>
        </w:tc>
        <w:tc>
          <w:tcPr>
            <w:tcW w:w="5571"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rFonts w:ascii="宋体" w:hAnsi="宋体" w:cs="宋体"/>
                <w:b/>
                <w:color w:val="000000"/>
                <w:szCs w:val="21"/>
              </w:rPr>
            </w:pPr>
            <w:r>
              <w:rPr>
                <w:rFonts w:hint="eastAsia" w:ascii="宋体" w:hAnsi="宋体" w:cs="宋体"/>
                <w:b/>
                <w:color w:val="000000"/>
                <w:szCs w:val="21"/>
              </w:rPr>
              <w:t>文件要求</w:t>
            </w:r>
          </w:p>
        </w:tc>
        <w:tc>
          <w:tcPr>
            <w:tcW w:w="2867" w:type="dxa"/>
            <w:gridSpan w:val="2"/>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rFonts w:ascii="宋体" w:hAnsi="宋体" w:cs="宋体"/>
                <w:b/>
                <w:color w:val="000000"/>
                <w:szCs w:val="21"/>
              </w:rPr>
            </w:pPr>
            <w:r>
              <w:rPr>
                <w:rFonts w:hint="eastAsia" w:ascii="宋体" w:hAnsi="宋体" w:cs="宋体"/>
                <w:b/>
                <w:color w:val="000000"/>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7" w:type="dxa"/>
          <w:trHeight w:val="444" w:hRule="atLeast"/>
          <w:jc w:val="center"/>
        </w:trPr>
        <w:tc>
          <w:tcPr>
            <w:tcW w:w="679"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line="264" w:lineRule="auto"/>
              <w:jc w:val="center"/>
              <w:textAlignment w:val="baseline"/>
              <w:rPr>
                <w:rFonts w:ascii="宋体" w:hAnsi="宋体" w:cs="宋体"/>
                <w:color w:val="000000"/>
                <w:szCs w:val="21"/>
              </w:rPr>
            </w:pPr>
            <w:r>
              <w:rPr>
                <w:rFonts w:hint="eastAsia" w:ascii="宋体" w:hAnsi="宋体" w:cs="宋体"/>
                <w:color w:val="000000"/>
                <w:szCs w:val="21"/>
              </w:rPr>
              <w:t>1.</w:t>
            </w:r>
          </w:p>
        </w:tc>
        <w:tc>
          <w:tcPr>
            <w:tcW w:w="5571"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64" w:lineRule="auto"/>
              <w:rPr>
                <w:rFonts w:ascii="宋体" w:hAnsi="宋体" w:cs="宋体"/>
                <w:color w:val="000000"/>
                <w:szCs w:val="21"/>
              </w:rPr>
            </w:pPr>
            <w:r>
              <w:rPr>
                <w:rFonts w:hint="eastAsia" w:ascii="宋体" w:hAnsi="宋体" w:cs="宋体"/>
                <w:color w:val="000000"/>
                <w:szCs w:val="21"/>
              </w:rPr>
              <w:t>报价表</w:t>
            </w:r>
          </w:p>
        </w:tc>
        <w:tc>
          <w:tcPr>
            <w:tcW w:w="2867"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第（）页</w:t>
            </w:r>
          </w:p>
        </w:tc>
      </w:tr>
    </w:tbl>
    <w:p>
      <w:pPr>
        <w:pStyle w:val="56"/>
        <w:spacing w:line="360" w:lineRule="auto"/>
        <w:ind w:firstLine="0" w:firstLineChars="0"/>
        <w:rPr>
          <w:rFonts w:ascii="宋体" w:hAnsi="宋体" w:cs="宋体"/>
          <w:color w:val="000000"/>
        </w:rPr>
      </w:pPr>
    </w:p>
    <w:p>
      <w:pPr>
        <w:adjustRightInd w:val="0"/>
        <w:snapToGrid w:val="0"/>
        <w:spacing w:line="360" w:lineRule="auto"/>
        <w:textAlignment w:val="baseline"/>
        <w:rPr>
          <w:rFonts w:ascii="宋体" w:hAnsi="宋体" w:cs="宋体"/>
          <w:b/>
          <w:color w:val="000000"/>
          <w:sz w:val="28"/>
          <w:szCs w:val="28"/>
        </w:rPr>
      </w:pPr>
      <w:r>
        <w:rPr>
          <w:rFonts w:hint="eastAsia" w:ascii="宋体" w:hAnsi="宋体" w:cs="宋体"/>
          <w:b/>
          <w:color w:val="000000"/>
          <w:sz w:val="28"/>
          <w:szCs w:val="28"/>
        </w:rPr>
        <w:br w:type="page"/>
      </w:r>
    </w:p>
    <w:p>
      <w:pPr>
        <w:rPr>
          <w:rFonts w:ascii="宋体" w:hAnsi="宋体" w:cs="宋体"/>
        </w:rPr>
      </w:pPr>
    </w:p>
    <w:p>
      <w:pPr>
        <w:pStyle w:val="4"/>
        <w:spacing w:line="360" w:lineRule="auto"/>
        <w:jc w:val="center"/>
        <w:rPr>
          <w:rFonts w:ascii="宋体" w:hAnsi="宋体" w:eastAsia="宋体" w:cs="宋体"/>
          <w:color w:val="000000"/>
        </w:rPr>
      </w:pPr>
      <w:r>
        <w:rPr>
          <w:rFonts w:hint="eastAsia" w:ascii="宋体" w:hAnsi="宋体" w:eastAsia="宋体" w:cs="宋体"/>
          <w:color w:val="000000"/>
        </w:rPr>
        <w:t>技术、商务评审目录</w:t>
      </w:r>
    </w:p>
    <w:tbl>
      <w:tblPr>
        <w:tblStyle w:val="22"/>
        <w:tblW w:w="98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3"/>
        <w:gridCol w:w="2390"/>
        <w:gridCol w:w="3533"/>
        <w:gridCol w:w="3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773" w:type="dxa"/>
            <w:vAlign w:val="center"/>
          </w:tcPr>
          <w:p>
            <w:pPr>
              <w:snapToGrid w:val="0"/>
              <w:jc w:val="center"/>
              <w:rPr>
                <w:rFonts w:ascii="宋体" w:hAnsi="宋体" w:cs="宋体"/>
                <w:b/>
                <w:szCs w:val="21"/>
              </w:rPr>
            </w:pPr>
            <w:r>
              <w:rPr>
                <w:rFonts w:hint="eastAsia" w:ascii="宋体" w:hAnsi="宋体" w:cs="宋体"/>
                <w:b/>
                <w:szCs w:val="21"/>
              </w:rPr>
              <w:t>序号</w:t>
            </w:r>
          </w:p>
        </w:tc>
        <w:tc>
          <w:tcPr>
            <w:tcW w:w="2390" w:type="dxa"/>
            <w:vAlign w:val="center"/>
          </w:tcPr>
          <w:p>
            <w:pPr>
              <w:snapToGrid w:val="0"/>
              <w:jc w:val="center"/>
              <w:rPr>
                <w:rFonts w:ascii="宋体" w:hAnsi="宋体" w:cs="宋体"/>
                <w:b/>
                <w:szCs w:val="21"/>
              </w:rPr>
            </w:pPr>
            <w:r>
              <w:rPr>
                <w:rFonts w:hint="eastAsia" w:ascii="宋体" w:hAnsi="宋体" w:cs="宋体"/>
                <w:b/>
                <w:szCs w:val="21"/>
              </w:rPr>
              <w:t>评审因素</w:t>
            </w:r>
          </w:p>
        </w:tc>
        <w:tc>
          <w:tcPr>
            <w:tcW w:w="3533" w:type="dxa"/>
            <w:vAlign w:val="center"/>
          </w:tcPr>
          <w:p>
            <w:pPr>
              <w:snapToGrid w:val="0"/>
              <w:jc w:val="center"/>
              <w:rPr>
                <w:rFonts w:ascii="宋体" w:hAnsi="宋体" w:cs="宋体"/>
                <w:b/>
                <w:szCs w:val="21"/>
              </w:rPr>
            </w:pPr>
            <w:r>
              <w:rPr>
                <w:rFonts w:hint="eastAsia" w:ascii="宋体" w:hAnsi="宋体" w:cs="宋体"/>
                <w:b/>
                <w:szCs w:val="21"/>
              </w:rPr>
              <w:t>提交内容</w:t>
            </w:r>
          </w:p>
        </w:tc>
        <w:tc>
          <w:tcPr>
            <w:tcW w:w="3133" w:type="dxa"/>
            <w:vAlign w:val="center"/>
          </w:tcPr>
          <w:p>
            <w:pPr>
              <w:snapToGrid w:val="0"/>
              <w:jc w:val="center"/>
              <w:rPr>
                <w:rFonts w:ascii="宋体" w:hAnsi="宋体" w:cs="宋体"/>
                <w:b/>
                <w:szCs w:val="21"/>
              </w:rPr>
            </w:pPr>
            <w:r>
              <w:rPr>
                <w:rFonts w:hint="eastAsia" w:ascii="宋体" w:hAnsi="宋体" w:cs="宋体"/>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9829" w:type="dxa"/>
            <w:gridSpan w:val="4"/>
            <w:vAlign w:val="center"/>
          </w:tcPr>
          <w:p>
            <w:pPr>
              <w:snapToGrid w:val="0"/>
              <w:jc w:val="center"/>
              <w:rPr>
                <w:rFonts w:ascii="宋体" w:hAnsi="宋体" w:cs="宋体"/>
                <w:b/>
                <w:szCs w:val="21"/>
              </w:rPr>
            </w:pPr>
            <w:r>
              <w:rPr>
                <w:rFonts w:hint="eastAsia" w:ascii="宋体" w:hAnsi="宋体" w:cs="宋体"/>
                <w:b/>
                <w:szCs w:val="21"/>
              </w:rPr>
              <w:t>实质性条款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773" w:type="dxa"/>
            <w:vAlign w:val="center"/>
          </w:tcPr>
          <w:p>
            <w:pPr>
              <w:snapToGrid w:val="0"/>
              <w:jc w:val="center"/>
              <w:rPr>
                <w:rFonts w:ascii="宋体" w:hAnsi="宋体" w:cs="宋体"/>
                <w:b/>
                <w:szCs w:val="21"/>
              </w:rPr>
            </w:pPr>
            <w:r>
              <w:rPr>
                <w:rFonts w:hint="eastAsia" w:ascii="宋体" w:hAnsi="宋体" w:cs="宋体"/>
                <w:b/>
                <w:szCs w:val="21"/>
              </w:rPr>
              <w:t>1.</w:t>
            </w:r>
          </w:p>
        </w:tc>
        <w:tc>
          <w:tcPr>
            <w:tcW w:w="2390" w:type="dxa"/>
            <w:vAlign w:val="center"/>
          </w:tcPr>
          <w:p>
            <w:pPr>
              <w:snapToGrid w:val="0"/>
              <w:jc w:val="center"/>
              <w:rPr>
                <w:rFonts w:ascii="宋体" w:hAnsi="宋体" w:cs="宋体"/>
                <w:b/>
                <w:szCs w:val="21"/>
              </w:rPr>
            </w:pPr>
            <w:r>
              <w:rPr>
                <w:rFonts w:hint="eastAsia" w:ascii="宋体" w:hAnsi="宋体" w:cs="宋体"/>
                <w:b/>
                <w:szCs w:val="21"/>
              </w:rPr>
              <w:t>★实质性条款</w:t>
            </w:r>
          </w:p>
        </w:tc>
        <w:tc>
          <w:tcPr>
            <w:tcW w:w="3533" w:type="dxa"/>
            <w:vAlign w:val="center"/>
          </w:tcPr>
          <w:p>
            <w:pPr>
              <w:snapToGrid w:val="0"/>
              <w:jc w:val="center"/>
              <w:rPr>
                <w:rFonts w:ascii="宋体" w:hAnsi="宋体" w:cs="宋体"/>
                <w:szCs w:val="21"/>
              </w:rPr>
            </w:pPr>
            <w:r>
              <w:rPr>
                <w:rFonts w:hint="eastAsia" w:ascii="宋体" w:hAnsi="宋体" w:cs="宋体"/>
              </w:rPr>
              <w:t>按照评分标准提供相关证明</w:t>
            </w:r>
            <w:r>
              <w:rPr>
                <w:rFonts w:hint="eastAsia" w:ascii="宋体" w:hAnsi="宋体" w:cs="宋体"/>
                <w:szCs w:val="21"/>
              </w:rPr>
              <w:t>。</w:t>
            </w:r>
          </w:p>
        </w:tc>
        <w:tc>
          <w:tcPr>
            <w:tcW w:w="3133" w:type="dxa"/>
            <w:vAlign w:val="center"/>
          </w:tcPr>
          <w:p>
            <w:pPr>
              <w:snapToGrid w:val="0"/>
              <w:spacing w:line="360" w:lineRule="auto"/>
              <w:jc w:val="center"/>
              <w:rPr>
                <w:rFonts w:ascii="宋体" w:hAnsi="宋体" w:cs="宋体"/>
                <w:szCs w:val="20"/>
              </w:rPr>
            </w:pPr>
            <w:r>
              <w:rPr>
                <w:rFonts w:hint="eastAsia" w:ascii="宋体" w:hAnsi="宋体" w:cs="宋体"/>
                <w:szCs w:val="20"/>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9829" w:type="dxa"/>
            <w:gridSpan w:val="4"/>
            <w:vAlign w:val="center"/>
          </w:tcPr>
          <w:p>
            <w:pPr>
              <w:snapToGrid w:val="0"/>
              <w:jc w:val="center"/>
              <w:rPr>
                <w:rFonts w:ascii="宋体" w:hAnsi="宋体" w:cs="宋体"/>
                <w:b/>
                <w:bCs/>
                <w:sz w:val="24"/>
              </w:rPr>
            </w:pPr>
            <w:r>
              <w:rPr>
                <w:rFonts w:hint="eastAsia" w:ascii="宋体" w:hAnsi="宋体" w:cs="宋体"/>
                <w:b/>
                <w:bCs/>
                <w:szCs w:val="20"/>
              </w:rPr>
              <w:t>技术评审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773" w:type="dxa"/>
            <w:vAlign w:val="center"/>
          </w:tcPr>
          <w:p>
            <w:pPr>
              <w:numPr>
                <w:ilvl w:val="0"/>
                <w:numId w:val="23"/>
              </w:numPr>
              <w:adjustRightInd w:val="0"/>
              <w:snapToGrid w:val="0"/>
              <w:spacing w:line="360" w:lineRule="auto"/>
              <w:jc w:val="center"/>
              <w:textAlignment w:val="baseline"/>
              <w:rPr>
                <w:rFonts w:ascii="宋体" w:hAnsi="宋体" w:cs="宋体"/>
                <w:sz w:val="24"/>
              </w:rPr>
            </w:pPr>
          </w:p>
        </w:tc>
        <w:tc>
          <w:tcPr>
            <w:tcW w:w="2390" w:type="dxa"/>
            <w:vAlign w:val="center"/>
          </w:tcPr>
          <w:p>
            <w:pPr>
              <w:widowControl/>
              <w:spacing w:line="360" w:lineRule="auto"/>
              <w:jc w:val="center"/>
              <w:rPr>
                <w:rFonts w:ascii="宋体" w:hAnsi="宋体" w:cs="宋体"/>
                <w:kern w:val="0"/>
                <w:sz w:val="24"/>
                <w:szCs w:val="24"/>
              </w:rPr>
            </w:pPr>
            <w:r>
              <w:rPr>
                <w:rFonts w:hint="eastAsia" w:ascii="宋体" w:hAnsi="宋体" w:cs="宋体"/>
                <w:szCs w:val="21"/>
              </w:rPr>
              <w:t>技术参数响应情况</w:t>
            </w:r>
          </w:p>
        </w:tc>
        <w:tc>
          <w:tcPr>
            <w:tcW w:w="3533" w:type="dxa"/>
            <w:vAlign w:val="center"/>
          </w:tcPr>
          <w:p>
            <w:pPr>
              <w:snapToGrid w:val="0"/>
              <w:jc w:val="center"/>
              <w:rPr>
                <w:rFonts w:ascii="宋体" w:hAnsi="宋体" w:cs="宋体"/>
                <w:szCs w:val="21"/>
              </w:rPr>
            </w:pPr>
            <w:r>
              <w:rPr>
                <w:rFonts w:hint="eastAsia" w:ascii="宋体" w:hAnsi="宋体" w:cs="宋体"/>
              </w:rPr>
              <w:t>按照评分标准提供相关证明</w:t>
            </w:r>
            <w:r>
              <w:rPr>
                <w:rFonts w:hint="eastAsia" w:ascii="宋体" w:hAnsi="宋体" w:cs="宋体"/>
                <w:szCs w:val="21"/>
              </w:rPr>
              <w:t>。</w:t>
            </w:r>
          </w:p>
        </w:tc>
        <w:tc>
          <w:tcPr>
            <w:tcW w:w="3133" w:type="dxa"/>
            <w:vAlign w:val="center"/>
          </w:tcPr>
          <w:p>
            <w:pPr>
              <w:snapToGrid w:val="0"/>
              <w:spacing w:line="360" w:lineRule="auto"/>
              <w:jc w:val="center"/>
              <w:rPr>
                <w:rFonts w:ascii="宋体" w:hAnsi="宋体" w:cs="宋体"/>
                <w:szCs w:val="20"/>
              </w:rPr>
            </w:pPr>
            <w:r>
              <w:rPr>
                <w:rFonts w:hint="eastAsia" w:ascii="宋体" w:hAnsi="宋体" w:cs="宋体"/>
                <w:szCs w:val="20"/>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773" w:type="dxa"/>
            <w:vAlign w:val="center"/>
          </w:tcPr>
          <w:p>
            <w:pPr>
              <w:numPr>
                <w:ilvl w:val="0"/>
                <w:numId w:val="23"/>
              </w:numPr>
              <w:adjustRightInd w:val="0"/>
              <w:snapToGrid w:val="0"/>
              <w:spacing w:line="360" w:lineRule="auto"/>
              <w:jc w:val="center"/>
              <w:textAlignment w:val="baseline"/>
              <w:rPr>
                <w:rFonts w:ascii="宋体" w:hAnsi="宋体" w:cs="宋体"/>
                <w:sz w:val="24"/>
              </w:rPr>
            </w:pPr>
          </w:p>
        </w:tc>
        <w:tc>
          <w:tcPr>
            <w:tcW w:w="2390" w:type="dxa"/>
            <w:vAlign w:val="center"/>
          </w:tcPr>
          <w:p>
            <w:pPr>
              <w:spacing w:line="360" w:lineRule="auto"/>
              <w:jc w:val="center"/>
              <w:rPr>
                <w:rFonts w:ascii="宋体" w:hAnsi="宋体" w:cs="宋体"/>
                <w:color w:val="000000"/>
                <w:szCs w:val="21"/>
              </w:rPr>
            </w:pPr>
            <w:r>
              <w:rPr>
                <w:rFonts w:hint="eastAsia" w:ascii="宋体" w:hAnsi="宋体" w:cs="宋体"/>
                <w:szCs w:val="21"/>
              </w:rPr>
              <w:t>技术保障措施</w:t>
            </w:r>
          </w:p>
        </w:tc>
        <w:tc>
          <w:tcPr>
            <w:tcW w:w="3533" w:type="dxa"/>
            <w:vAlign w:val="center"/>
          </w:tcPr>
          <w:p>
            <w:pPr>
              <w:snapToGrid w:val="0"/>
              <w:jc w:val="center"/>
              <w:rPr>
                <w:rFonts w:ascii="宋体" w:hAnsi="宋体" w:cs="宋体"/>
              </w:rPr>
            </w:pPr>
            <w:r>
              <w:rPr>
                <w:rFonts w:hint="eastAsia" w:ascii="宋体" w:hAnsi="宋体" w:cs="宋体"/>
              </w:rPr>
              <w:t>按照评分标准提供相关证明</w:t>
            </w:r>
            <w:r>
              <w:rPr>
                <w:rFonts w:hint="eastAsia" w:ascii="宋体" w:hAnsi="宋体" w:cs="宋体"/>
                <w:szCs w:val="21"/>
              </w:rPr>
              <w:t>。</w:t>
            </w:r>
          </w:p>
        </w:tc>
        <w:tc>
          <w:tcPr>
            <w:tcW w:w="3133" w:type="dxa"/>
            <w:vAlign w:val="center"/>
          </w:tcPr>
          <w:p>
            <w:pPr>
              <w:snapToGrid w:val="0"/>
              <w:spacing w:line="360" w:lineRule="auto"/>
              <w:jc w:val="center"/>
              <w:rPr>
                <w:rFonts w:ascii="宋体" w:hAnsi="宋体" w:cs="宋体"/>
                <w:szCs w:val="20"/>
              </w:rPr>
            </w:pPr>
            <w:r>
              <w:rPr>
                <w:rFonts w:hint="eastAsia" w:ascii="宋体" w:hAnsi="宋体" w:cs="宋体"/>
                <w:szCs w:val="20"/>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773" w:type="dxa"/>
            <w:vAlign w:val="center"/>
          </w:tcPr>
          <w:p>
            <w:pPr>
              <w:numPr>
                <w:ilvl w:val="0"/>
                <w:numId w:val="23"/>
              </w:numPr>
              <w:adjustRightInd w:val="0"/>
              <w:snapToGrid w:val="0"/>
              <w:spacing w:line="360" w:lineRule="auto"/>
              <w:jc w:val="center"/>
              <w:textAlignment w:val="baseline"/>
              <w:rPr>
                <w:rFonts w:ascii="宋体" w:hAnsi="宋体" w:cs="宋体"/>
                <w:sz w:val="24"/>
              </w:rPr>
            </w:pPr>
          </w:p>
        </w:tc>
        <w:tc>
          <w:tcPr>
            <w:tcW w:w="2390" w:type="dxa"/>
            <w:vAlign w:val="center"/>
          </w:tcPr>
          <w:p>
            <w:pPr>
              <w:spacing w:line="240" w:lineRule="exact"/>
              <w:jc w:val="center"/>
              <w:rPr>
                <w:rFonts w:ascii="宋体" w:hAnsi="宋体" w:cs="宋体"/>
                <w:szCs w:val="21"/>
              </w:rPr>
            </w:pPr>
            <w:r>
              <w:rPr>
                <w:rFonts w:hint="eastAsia" w:ascii="宋体" w:hAnsi="宋体" w:cs="宋体"/>
                <w:color w:val="000000"/>
                <w:szCs w:val="21"/>
                <w:shd w:val="clear" w:color="auto" w:fill="FFFFFF"/>
              </w:rPr>
              <w:t>售后服务方案</w:t>
            </w:r>
          </w:p>
        </w:tc>
        <w:tc>
          <w:tcPr>
            <w:tcW w:w="3533" w:type="dxa"/>
            <w:vAlign w:val="center"/>
          </w:tcPr>
          <w:p>
            <w:pPr>
              <w:snapToGrid w:val="0"/>
              <w:jc w:val="center"/>
              <w:rPr>
                <w:rFonts w:ascii="宋体" w:hAnsi="宋体" w:cs="宋体"/>
              </w:rPr>
            </w:pPr>
            <w:r>
              <w:rPr>
                <w:rFonts w:hint="eastAsia" w:ascii="宋体" w:hAnsi="宋体" w:cs="宋体"/>
              </w:rPr>
              <w:t>按照评分标准提供相关证明</w:t>
            </w:r>
            <w:r>
              <w:rPr>
                <w:rFonts w:hint="eastAsia" w:ascii="宋体" w:hAnsi="宋体" w:cs="宋体"/>
                <w:szCs w:val="21"/>
              </w:rPr>
              <w:t>。</w:t>
            </w:r>
          </w:p>
        </w:tc>
        <w:tc>
          <w:tcPr>
            <w:tcW w:w="3133" w:type="dxa"/>
            <w:vAlign w:val="center"/>
          </w:tcPr>
          <w:p>
            <w:pPr>
              <w:snapToGrid w:val="0"/>
              <w:spacing w:line="360" w:lineRule="auto"/>
              <w:jc w:val="center"/>
              <w:rPr>
                <w:rFonts w:ascii="宋体" w:hAnsi="宋体" w:cs="宋体"/>
                <w:szCs w:val="20"/>
              </w:rPr>
            </w:pPr>
            <w:r>
              <w:rPr>
                <w:rFonts w:hint="eastAsia" w:ascii="宋体" w:hAnsi="宋体" w:cs="宋体"/>
                <w:szCs w:val="20"/>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9829" w:type="dxa"/>
            <w:gridSpan w:val="4"/>
            <w:vAlign w:val="center"/>
          </w:tcPr>
          <w:p>
            <w:pPr>
              <w:snapToGrid w:val="0"/>
              <w:jc w:val="center"/>
              <w:rPr>
                <w:rFonts w:ascii="宋体" w:hAnsi="宋体" w:cs="宋体"/>
                <w:sz w:val="24"/>
              </w:rPr>
            </w:pPr>
            <w:r>
              <w:rPr>
                <w:rFonts w:hint="eastAsia" w:ascii="宋体" w:hAnsi="宋体" w:cs="宋体"/>
                <w:b/>
                <w:szCs w:val="21"/>
              </w:rPr>
              <w:t>商务评审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773" w:type="dxa"/>
            <w:vAlign w:val="center"/>
          </w:tcPr>
          <w:p>
            <w:pPr>
              <w:numPr>
                <w:ilvl w:val="0"/>
                <w:numId w:val="24"/>
              </w:numPr>
              <w:adjustRightInd w:val="0"/>
              <w:snapToGrid w:val="0"/>
              <w:spacing w:line="360" w:lineRule="auto"/>
              <w:jc w:val="center"/>
              <w:textAlignment w:val="baseline"/>
              <w:rPr>
                <w:rFonts w:ascii="宋体" w:hAnsi="宋体" w:cs="宋体"/>
                <w:sz w:val="24"/>
              </w:rPr>
            </w:pPr>
          </w:p>
        </w:tc>
        <w:tc>
          <w:tcPr>
            <w:tcW w:w="2390" w:type="dxa"/>
            <w:vAlign w:val="center"/>
          </w:tcPr>
          <w:p>
            <w:pPr>
              <w:spacing w:line="360" w:lineRule="auto"/>
              <w:jc w:val="center"/>
              <w:rPr>
                <w:rFonts w:ascii="宋体" w:hAnsi="宋体" w:cs="宋体"/>
                <w:bCs/>
                <w:szCs w:val="21"/>
              </w:rPr>
            </w:pPr>
            <w:r>
              <w:rPr>
                <w:rFonts w:hint="eastAsia" w:ascii="宋体" w:hAnsi="宋体" w:cs="宋体"/>
                <w:szCs w:val="21"/>
              </w:rPr>
              <w:t>商务需求响应情况</w:t>
            </w:r>
          </w:p>
        </w:tc>
        <w:tc>
          <w:tcPr>
            <w:tcW w:w="3533" w:type="dxa"/>
            <w:vAlign w:val="center"/>
          </w:tcPr>
          <w:p>
            <w:pPr>
              <w:jc w:val="center"/>
              <w:rPr>
                <w:rFonts w:ascii="宋体" w:hAnsi="宋体" w:cs="宋体"/>
                <w:bCs/>
                <w:szCs w:val="21"/>
              </w:rPr>
            </w:pPr>
            <w:r>
              <w:rPr>
                <w:rFonts w:hint="eastAsia" w:ascii="宋体" w:hAnsi="宋体" w:cs="宋体"/>
              </w:rPr>
              <w:t>按照评分标准提供相关证明</w:t>
            </w:r>
            <w:r>
              <w:rPr>
                <w:rFonts w:hint="eastAsia" w:ascii="宋体" w:hAnsi="宋体" w:cs="宋体"/>
                <w:szCs w:val="21"/>
              </w:rPr>
              <w:t>。</w:t>
            </w:r>
          </w:p>
        </w:tc>
        <w:tc>
          <w:tcPr>
            <w:tcW w:w="3133" w:type="dxa"/>
            <w:vAlign w:val="center"/>
          </w:tcPr>
          <w:p>
            <w:pPr>
              <w:snapToGrid w:val="0"/>
              <w:spacing w:line="360" w:lineRule="auto"/>
              <w:jc w:val="center"/>
              <w:rPr>
                <w:rFonts w:ascii="宋体" w:hAnsi="宋体" w:cs="宋体"/>
                <w:szCs w:val="20"/>
              </w:rPr>
            </w:pPr>
            <w:r>
              <w:rPr>
                <w:rFonts w:hint="eastAsia" w:ascii="宋体" w:hAnsi="宋体" w:cs="宋体"/>
                <w:szCs w:val="20"/>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773" w:type="dxa"/>
            <w:vAlign w:val="center"/>
          </w:tcPr>
          <w:p>
            <w:pPr>
              <w:numPr>
                <w:ilvl w:val="0"/>
                <w:numId w:val="24"/>
              </w:numPr>
              <w:adjustRightInd w:val="0"/>
              <w:snapToGrid w:val="0"/>
              <w:spacing w:line="360" w:lineRule="auto"/>
              <w:jc w:val="center"/>
              <w:textAlignment w:val="baseline"/>
              <w:rPr>
                <w:rFonts w:ascii="宋体" w:hAnsi="宋体" w:cs="宋体"/>
                <w:sz w:val="24"/>
              </w:rPr>
            </w:pPr>
          </w:p>
        </w:tc>
        <w:tc>
          <w:tcPr>
            <w:tcW w:w="2390" w:type="dxa"/>
            <w:vAlign w:val="center"/>
          </w:tcPr>
          <w:p>
            <w:pPr>
              <w:pStyle w:val="17"/>
              <w:tabs>
                <w:tab w:val="right" w:leader="dot" w:pos="9060"/>
              </w:tabs>
              <w:spacing w:after="78"/>
              <w:jc w:val="center"/>
              <w:rPr>
                <w:rFonts w:ascii="宋体" w:hAnsi="宋体" w:cs="宋体"/>
                <w:bCs/>
                <w:szCs w:val="21"/>
              </w:rPr>
            </w:pPr>
            <w:r>
              <w:rPr>
                <w:rFonts w:hint="eastAsia" w:ascii="宋体" w:hAnsi="宋体" w:cs="宋体"/>
                <w:szCs w:val="21"/>
              </w:rPr>
              <w:t>同类业绩</w:t>
            </w:r>
          </w:p>
        </w:tc>
        <w:tc>
          <w:tcPr>
            <w:tcW w:w="3533" w:type="dxa"/>
            <w:vAlign w:val="center"/>
          </w:tcPr>
          <w:p>
            <w:pPr>
              <w:jc w:val="center"/>
              <w:rPr>
                <w:rFonts w:ascii="宋体" w:hAnsi="宋体" w:cs="宋体"/>
                <w:bCs/>
                <w:szCs w:val="21"/>
              </w:rPr>
            </w:pPr>
            <w:r>
              <w:rPr>
                <w:rFonts w:hint="eastAsia" w:ascii="宋体" w:hAnsi="宋体" w:cs="宋体"/>
              </w:rPr>
              <w:t>按照评分标准提供相关证明</w:t>
            </w:r>
            <w:r>
              <w:rPr>
                <w:rFonts w:hint="eastAsia" w:ascii="宋体" w:hAnsi="宋体" w:cs="宋体"/>
                <w:szCs w:val="21"/>
              </w:rPr>
              <w:t>。</w:t>
            </w:r>
          </w:p>
        </w:tc>
        <w:tc>
          <w:tcPr>
            <w:tcW w:w="3133" w:type="dxa"/>
            <w:vAlign w:val="center"/>
          </w:tcPr>
          <w:p>
            <w:pPr>
              <w:snapToGrid w:val="0"/>
              <w:spacing w:line="360" w:lineRule="auto"/>
              <w:jc w:val="center"/>
              <w:rPr>
                <w:rFonts w:ascii="宋体" w:hAnsi="宋体" w:cs="宋体"/>
                <w:szCs w:val="20"/>
              </w:rPr>
            </w:pPr>
            <w:r>
              <w:rPr>
                <w:rFonts w:hint="eastAsia" w:ascii="宋体" w:hAnsi="宋体" w:cs="宋体"/>
                <w:szCs w:val="20"/>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773" w:type="dxa"/>
            <w:vAlign w:val="center"/>
          </w:tcPr>
          <w:p>
            <w:pPr>
              <w:numPr>
                <w:ilvl w:val="0"/>
                <w:numId w:val="24"/>
              </w:numPr>
              <w:adjustRightInd w:val="0"/>
              <w:snapToGrid w:val="0"/>
              <w:spacing w:line="360" w:lineRule="auto"/>
              <w:jc w:val="center"/>
              <w:textAlignment w:val="baseline"/>
              <w:rPr>
                <w:rFonts w:ascii="宋体" w:hAnsi="宋体" w:cs="宋体"/>
                <w:sz w:val="24"/>
              </w:rPr>
            </w:pPr>
          </w:p>
        </w:tc>
        <w:tc>
          <w:tcPr>
            <w:tcW w:w="2390" w:type="dxa"/>
            <w:vAlign w:val="center"/>
          </w:tcPr>
          <w:p>
            <w:pPr>
              <w:pStyle w:val="17"/>
              <w:tabs>
                <w:tab w:val="right" w:leader="dot" w:pos="9060"/>
              </w:tabs>
              <w:spacing w:after="78"/>
              <w:jc w:val="center"/>
              <w:rPr>
                <w:rFonts w:ascii="宋体" w:hAnsi="宋体" w:cs="宋体"/>
                <w:szCs w:val="21"/>
              </w:rPr>
            </w:pPr>
            <w:r>
              <w:rPr>
                <w:rFonts w:hint="eastAsia" w:ascii="宋体" w:hAnsi="宋体" w:cs="宋体"/>
                <w:szCs w:val="21"/>
              </w:rPr>
              <w:t>服务网点</w:t>
            </w:r>
          </w:p>
        </w:tc>
        <w:tc>
          <w:tcPr>
            <w:tcW w:w="3533" w:type="dxa"/>
            <w:vAlign w:val="center"/>
          </w:tcPr>
          <w:p>
            <w:pPr>
              <w:jc w:val="center"/>
              <w:rPr>
                <w:rFonts w:ascii="宋体" w:hAnsi="宋体" w:cs="宋体"/>
                <w:bCs/>
                <w:szCs w:val="21"/>
              </w:rPr>
            </w:pPr>
            <w:r>
              <w:rPr>
                <w:rFonts w:hint="eastAsia" w:ascii="宋体" w:hAnsi="宋体" w:cs="宋体"/>
              </w:rPr>
              <w:t>按照评分标准提供相关证明</w:t>
            </w:r>
            <w:r>
              <w:rPr>
                <w:rFonts w:hint="eastAsia" w:ascii="宋体" w:hAnsi="宋体" w:cs="宋体"/>
                <w:szCs w:val="21"/>
              </w:rPr>
              <w:t>。</w:t>
            </w:r>
          </w:p>
        </w:tc>
        <w:tc>
          <w:tcPr>
            <w:tcW w:w="3133" w:type="dxa"/>
            <w:vAlign w:val="center"/>
          </w:tcPr>
          <w:p>
            <w:pPr>
              <w:snapToGrid w:val="0"/>
              <w:spacing w:line="360" w:lineRule="auto"/>
              <w:jc w:val="center"/>
              <w:rPr>
                <w:rFonts w:ascii="宋体" w:hAnsi="宋体" w:cs="宋体"/>
                <w:szCs w:val="20"/>
              </w:rPr>
            </w:pPr>
            <w:r>
              <w:rPr>
                <w:rFonts w:hint="eastAsia" w:ascii="宋体" w:hAnsi="宋体" w:cs="宋体"/>
                <w:szCs w:val="20"/>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773" w:type="dxa"/>
            <w:vAlign w:val="center"/>
          </w:tcPr>
          <w:p>
            <w:pPr>
              <w:numPr>
                <w:ilvl w:val="0"/>
                <w:numId w:val="24"/>
              </w:numPr>
              <w:adjustRightInd w:val="0"/>
              <w:snapToGrid w:val="0"/>
              <w:spacing w:line="360" w:lineRule="auto"/>
              <w:jc w:val="center"/>
              <w:textAlignment w:val="baseline"/>
              <w:rPr>
                <w:rFonts w:ascii="宋体" w:hAnsi="宋体" w:cs="宋体"/>
                <w:sz w:val="24"/>
              </w:rPr>
            </w:pPr>
          </w:p>
        </w:tc>
        <w:tc>
          <w:tcPr>
            <w:tcW w:w="2390" w:type="dxa"/>
            <w:vAlign w:val="center"/>
          </w:tcPr>
          <w:p>
            <w:pPr>
              <w:pStyle w:val="17"/>
              <w:tabs>
                <w:tab w:val="right" w:leader="dot" w:pos="9060"/>
              </w:tabs>
              <w:spacing w:after="78"/>
              <w:jc w:val="center"/>
              <w:rPr>
                <w:rFonts w:ascii="宋体" w:hAnsi="宋体" w:cs="宋体"/>
                <w:szCs w:val="21"/>
              </w:rPr>
            </w:pPr>
            <w:r>
              <w:rPr>
                <w:rFonts w:hint="eastAsia" w:ascii="宋体" w:hAnsi="宋体" w:cs="宋体"/>
                <w:szCs w:val="21"/>
              </w:rPr>
              <w:t>诚信</w:t>
            </w:r>
          </w:p>
        </w:tc>
        <w:tc>
          <w:tcPr>
            <w:tcW w:w="3533" w:type="dxa"/>
            <w:vAlign w:val="center"/>
          </w:tcPr>
          <w:p>
            <w:pPr>
              <w:jc w:val="center"/>
              <w:rPr>
                <w:rFonts w:ascii="宋体" w:hAnsi="宋体" w:cs="宋体"/>
              </w:rPr>
            </w:pPr>
            <w:r>
              <w:rPr>
                <w:rFonts w:hint="eastAsia" w:ascii="宋体" w:hAnsi="宋体" w:cs="宋体"/>
              </w:rPr>
              <w:t>按照评分标准提供相关证明</w:t>
            </w:r>
            <w:r>
              <w:rPr>
                <w:rFonts w:hint="eastAsia" w:ascii="宋体" w:hAnsi="宋体" w:cs="宋体"/>
                <w:szCs w:val="21"/>
              </w:rPr>
              <w:t>。</w:t>
            </w:r>
          </w:p>
        </w:tc>
        <w:tc>
          <w:tcPr>
            <w:tcW w:w="3133" w:type="dxa"/>
            <w:vAlign w:val="center"/>
          </w:tcPr>
          <w:p>
            <w:pPr>
              <w:snapToGrid w:val="0"/>
              <w:spacing w:line="360" w:lineRule="auto"/>
              <w:jc w:val="center"/>
              <w:rPr>
                <w:rFonts w:ascii="宋体" w:hAnsi="宋体" w:cs="宋体"/>
                <w:szCs w:val="20"/>
              </w:rPr>
            </w:pPr>
            <w:r>
              <w:rPr>
                <w:rFonts w:hint="eastAsia" w:ascii="宋体" w:hAnsi="宋体" w:cs="宋体"/>
                <w:szCs w:val="20"/>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773" w:type="dxa"/>
            <w:vAlign w:val="center"/>
          </w:tcPr>
          <w:p>
            <w:pPr>
              <w:numPr>
                <w:ilvl w:val="0"/>
                <w:numId w:val="24"/>
              </w:numPr>
              <w:adjustRightInd w:val="0"/>
              <w:snapToGrid w:val="0"/>
              <w:spacing w:line="360" w:lineRule="auto"/>
              <w:jc w:val="center"/>
              <w:textAlignment w:val="baseline"/>
              <w:rPr>
                <w:rFonts w:ascii="宋体" w:hAnsi="宋体" w:cs="宋体"/>
                <w:sz w:val="24"/>
              </w:rPr>
            </w:pPr>
          </w:p>
        </w:tc>
        <w:tc>
          <w:tcPr>
            <w:tcW w:w="2390" w:type="dxa"/>
            <w:vAlign w:val="center"/>
          </w:tcPr>
          <w:p>
            <w:pPr>
              <w:snapToGrid w:val="0"/>
              <w:spacing w:line="360" w:lineRule="auto"/>
              <w:jc w:val="center"/>
              <w:rPr>
                <w:rFonts w:ascii="宋体" w:hAnsi="宋体" w:cs="宋体"/>
                <w:szCs w:val="21"/>
              </w:rPr>
            </w:pPr>
            <w:r>
              <w:rPr>
                <w:rFonts w:hint="eastAsia" w:ascii="宋体" w:hAnsi="宋体" w:cs="宋体"/>
                <w:bCs/>
                <w:szCs w:val="20"/>
              </w:rPr>
              <w:t>供应商认为需要提供的其他材料</w:t>
            </w:r>
          </w:p>
        </w:tc>
        <w:tc>
          <w:tcPr>
            <w:tcW w:w="3533" w:type="dxa"/>
            <w:vAlign w:val="center"/>
          </w:tcPr>
          <w:p>
            <w:pPr>
              <w:snapToGrid w:val="0"/>
              <w:spacing w:line="360" w:lineRule="auto"/>
              <w:jc w:val="center"/>
              <w:rPr>
                <w:rFonts w:ascii="宋体" w:hAnsi="宋体" w:cs="宋体"/>
                <w:sz w:val="24"/>
              </w:rPr>
            </w:pPr>
          </w:p>
        </w:tc>
        <w:tc>
          <w:tcPr>
            <w:tcW w:w="3133" w:type="dxa"/>
            <w:vAlign w:val="center"/>
          </w:tcPr>
          <w:p>
            <w:pPr>
              <w:snapToGrid w:val="0"/>
              <w:spacing w:line="360" w:lineRule="auto"/>
              <w:jc w:val="center"/>
              <w:rPr>
                <w:rFonts w:ascii="宋体" w:hAnsi="宋体" w:cs="宋体"/>
                <w:szCs w:val="20"/>
              </w:rPr>
            </w:pPr>
          </w:p>
        </w:tc>
      </w:tr>
    </w:tbl>
    <w:p>
      <w:pPr>
        <w:pStyle w:val="9"/>
        <w:rPr>
          <w:rFonts w:ascii="宋体" w:hAnsi="宋体" w:cs="宋体"/>
          <w:color w:val="000000"/>
          <w:lang w:val="zh-CN"/>
        </w:rPr>
      </w:pPr>
    </w:p>
    <w:p>
      <w:pPr>
        <w:pStyle w:val="9"/>
        <w:rPr>
          <w:rFonts w:ascii="宋体" w:hAnsi="宋体" w:cs="宋体"/>
          <w:color w:val="000000"/>
          <w:lang w:val="zh-CN"/>
        </w:rPr>
      </w:pPr>
      <w:r>
        <w:rPr>
          <w:rFonts w:hint="eastAsia" w:ascii="宋体" w:hAnsi="宋体" w:cs="宋体"/>
          <w:color w:val="000000"/>
          <w:lang w:val="zh-CN"/>
        </w:rPr>
        <w:t>以上内容与用户需求的综合评分表内容不一致的，以用户需求内容为准。</w:t>
      </w:r>
    </w:p>
    <w:p>
      <w:pPr>
        <w:pStyle w:val="21"/>
        <w:ind w:left="0" w:leftChars="0" w:firstLine="0" w:firstLineChars="0"/>
        <w:rPr>
          <w:rFonts w:ascii="宋体" w:hAnsi="宋体" w:cs="宋体"/>
        </w:rPr>
      </w:pPr>
    </w:p>
    <w:p>
      <w:pPr>
        <w:rPr>
          <w:rFonts w:ascii="宋体" w:hAnsi="宋体" w:cs="宋体"/>
        </w:rPr>
      </w:pPr>
    </w:p>
    <w:p>
      <w:pPr>
        <w:widowControl/>
        <w:jc w:val="left"/>
        <w:rPr>
          <w:rFonts w:ascii="宋体" w:hAnsi="宋体" w:cs="宋体"/>
          <w:b/>
          <w:bCs/>
          <w:sz w:val="32"/>
          <w:szCs w:val="32"/>
        </w:rPr>
      </w:pPr>
      <w:r>
        <w:rPr>
          <w:rFonts w:hint="eastAsia" w:ascii="宋体" w:hAnsi="宋体" w:cs="宋体"/>
          <w:b/>
          <w:bCs/>
          <w:sz w:val="32"/>
          <w:szCs w:val="32"/>
        </w:rPr>
        <w:br w:type="page"/>
      </w:r>
    </w:p>
    <w:p>
      <w:pPr>
        <w:pStyle w:val="13"/>
        <w:tabs>
          <w:tab w:val="left" w:pos="540"/>
        </w:tabs>
        <w:adjustRightInd w:val="0"/>
        <w:snapToGrid w:val="0"/>
        <w:spacing w:line="360" w:lineRule="auto"/>
        <w:rPr>
          <w:rFonts w:hAnsi="宋体" w:cs="宋体"/>
          <w:b/>
          <w:bCs/>
          <w:sz w:val="21"/>
        </w:rPr>
      </w:pPr>
    </w:p>
    <w:p>
      <w:pPr>
        <w:pStyle w:val="13"/>
        <w:tabs>
          <w:tab w:val="left" w:pos="540"/>
        </w:tabs>
        <w:adjustRightInd w:val="0"/>
        <w:snapToGrid w:val="0"/>
        <w:spacing w:line="360" w:lineRule="auto"/>
        <w:jc w:val="center"/>
        <w:rPr>
          <w:rFonts w:hAnsi="宋体" w:cs="宋体"/>
          <w:b/>
          <w:bCs/>
          <w:color w:val="000000"/>
          <w:kern w:val="2"/>
          <w:sz w:val="32"/>
          <w:szCs w:val="32"/>
        </w:rPr>
      </w:pPr>
      <w:r>
        <w:rPr>
          <w:rFonts w:hint="eastAsia" w:hAnsi="宋体" w:cs="宋体"/>
          <w:b/>
          <w:bCs/>
          <w:color w:val="000000"/>
          <w:kern w:val="2"/>
          <w:sz w:val="32"/>
          <w:szCs w:val="32"/>
        </w:rPr>
        <w:t>报价表</w:t>
      </w:r>
    </w:p>
    <w:p>
      <w:pPr>
        <w:pStyle w:val="13"/>
        <w:tabs>
          <w:tab w:val="left" w:pos="540"/>
        </w:tabs>
        <w:adjustRightInd w:val="0"/>
        <w:snapToGrid w:val="0"/>
        <w:spacing w:line="360" w:lineRule="auto"/>
        <w:jc w:val="center"/>
        <w:rPr>
          <w:rFonts w:hAnsi="宋体" w:cs="宋体"/>
          <w:b/>
          <w:bCs/>
          <w:color w:val="000000"/>
          <w:kern w:val="2"/>
          <w:sz w:val="21"/>
        </w:rPr>
      </w:pPr>
    </w:p>
    <w:tbl>
      <w:tblPr>
        <w:tblStyle w:val="22"/>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350"/>
        <w:gridCol w:w="885"/>
        <w:gridCol w:w="780"/>
        <w:gridCol w:w="1230"/>
        <w:gridCol w:w="1065"/>
        <w:gridCol w:w="1095"/>
        <w:gridCol w:w="1140"/>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7"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序号</w:t>
            </w:r>
          </w:p>
        </w:tc>
        <w:tc>
          <w:tcPr>
            <w:tcW w:w="1350"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采购内容</w:t>
            </w:r>
          </w:p>
        </w:tc>
        <w:tc>
          <w:tcPr>
            <w:tcW w:w="885"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单位</w:t>
            </w:r>
          </w:p>
        </w:tc>
        <w:tc>
          <w:tcPr>
            <w:tcW w:w="780"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数量</w:t>
            </w:r>
          </w:p>
        </w:tc>
        <w:tc>
          <w:tcPr>
            <w:tcW w:w="1230"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最高限价（元）</w:t>
            </w:r>
          </w:p>
        </w:tc>
        <w:tc>
          <w:tcPr>
            <w:tcW w:w="1065"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品牌型号</w:t>
            </w:r>
          </w:p>
        </w:tc>
        <w:tc>
          <w:tcPr>
            <w:tcW w:w="1095"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单价报价（元）</w:t>
            </w:r>
          </w:p>
        </w:tc>
        <w:tc>
          <w:tcPr>
            <w:tcW w:w="1140"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小计报价（元）</w:t>
            </w:r>
          </w:p>
        </w:tc>
        <w:tc>
          <w:tcPr>
            <w:tcW w:w="727"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7"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1</w:t>
            </w:r>
          </w:p>
        </w:tc>
        <w:tc>
          <w:tcPr>
            <w:tcW w:w="1350" w:type="dxa"/>
            <w:vAlign w:val="center"/>
          </w:tcPr>
          <w:p>
            <w:pPr>
              <w:pStyle w:val="13"/>
              <w:tabs>
                <w:tab w:val="left" w:pos="420"/>
                <w:tab w:val="left" w:pos="540"/>
              </w:tabs>
              <w:adjustRightInd w:val="0"/>
              <w:snapToGrid w:val="0"/>
              <w:jc w:val="center"/>
              <w:rPr>
                <w:rFonts w:hAnsi="宋体" w:cs="宋体"/>
                <w:bCs/>
                <w:color w:val="000000"/>
                <w:sz w:val="21"/>
              </w:rPr>
            </w:pPr>
            <w:r>
              <w:rPr>
                <w:rFonts w:hint="eastAsia" w:hAnsi="宋体" w:cs="宋体"/>
                <w:bCs/>
                <w:color w:val="000000"/>
                <w:sz w:val="21"/>
              </w:rPr>
              <w:t>二氧化硫分析仪</w:t>
            </w:r>
          </w:p>
        </w:tc>
        <w:tc>
          <w:tcPr>
            <w:tcW w:w="885" w:type="dxa"/>
            <w:vAlign w:val="center"/>
          </w:tcPr>
          <w:p>
            <w:pPr>
              <w:pStyle w:val="13"/>
              <w:tabs>
                <w:tab w:val="left" w:pos="420"/>
                <w:tab w:val="left" w:pos="540"/>
              </w:tabs>
              <w:adjustRightInd w:val="0"/>
              <w:snapToGrid w:val="0"/>
              <w:jc w:val="center"/>
              <w:rPr>
                <w:rFonts w:hAnsi="宋体" w:cs="宋体"/>
                <w:color w:val="000000"/>
                <w:sz w:val="21"/>
              </w:rPr>
            </w:pPr>
            <w:r>
              <w:rPr>
                <w:rFonts w:hint="eastAsia" w:hAnsi="宋体" w:cs="宋体"/>
                <w:color w:val="000000"/>
                <w:sz w:val="21"/>
              </w:rPr>
              <w:t>台</w:t>
            </w:r>
          </w:p>
        </w:tc>
        <w:tc>
          <w:tcPr>
            <w:tcW w:w="780" w:type="dxa"/>
            <w:vAlign w:val="center"/>
          </w:tcPr>
          <w:p>
            <w:pPr>
              <w:pStyle w:val="13"/>
              <w:tabs>
                <w:tab w:val="left" w:pos="420"/>
                <w:tab w:val="left" w:pos="540"/>
              </w:tabs>
              <w:adjustRightInd w:val="0"/>
              <w:snapToGrid w:val="0"/>
              <w:jc w:val="center"/>
              <w:rPr>
                <w:rFonts w:hAnsi="宋体" w:cs="宋体"/>
                <w:color w:val="000000"/>
                <w:sz w:val="21"/>
              </w:rPr>
            </w:pPr>
            <w:r>
              <w:rPr>
                <w:rFonts w:hint="eastAsia" w:hAnsi="宋体" w:cs="宋体"/>
                <w:color w:val="000000"/>
                <w:sz w:val="21"/>
              </w:rPr>
              <w:t>1</w:t>
            </w:r>
          </w:p>
        </w:tc>
        <w:tc>
          <w:tcPr>
            <w:tcW w:w="1230" w:type="dxa"/>
            <w:vAlign w:val="center"/>
          </w:tcPr>
          <w:p>
            <w:pPr>
              <w:pStyle w:val="13"/>
              <w:tabs>
                <w:tab w:val="left" w:pos="420"/>
                <w:tab w:val="left" w:pos="540"/>
              </w:tabs>
              <w:adjustRightInd w:val="0"/>
              <w:snapToGrid w:val="0"/>
              <w:jc w:val="center"/>
              <w:rPr>
                <w:rFonts w:hAnsi="宋体" w:cs="宋体"/>
                <w:color w:val="000000"/>
                <w:sz w:val="21"/>
              </w:rPr>
            </w:pPr>
            <w:r>
              <w:rPr>
                <w:rFonts w:hint="eastAsia" w:hAnsi="宋体" w:cs="宋体"/>
                <w:color w:val="000000"/>
                <w:sz w:val="21"/>
              </w:rPr>
              <w:t>58000</w:t>
            </w:r>
          </w:p>
        </w:tc>
        <w:tc>
          <w:tcPr>
            <w:tcW w:w="1065" w:type="dxa"/>
            <w:vAlign w:val="center"/>
          </w:tcPr>
          <w:p>
            <w:pPr>
              <w:pStyle w:val="13"/>
              <w:tabs>
                <w:tab w:val="left" w:pos="420"/>
                <w:tab w:val="left" w:pos="540"/>
              </w:tabs>
              <w:adjustRightInd w:val="0"/>
              <w:snapToGrid w:val="0"/>
              <w:jc w:val="center"/>
              <w:rPr>
                <w:rFonts w:hAnsi="宋体" w:cs="宋体"/>
                <w:b/>
                <w:color w:val="000000"/>
                <w:sz w:val="21"/>
              </w:rPr>
            </w:pPr>
          </w:p>
        </w:tc>
        <w:tc>
          <w:tcPr>
            <w:tcW w:w="1095" w:type="dxa"/>
            <w:vAlign w:val="center"/>
          </w:tcPr>
          <w:p>
            <w:pPr>
              <w:pStyle w:val="13"/>
              <w:tabs>
                <w:tab w:val="left" w:pos="420"/>
                <w:tab w:val="left" w:pos="540"/>
              </w:tabs>
              <w:adjustRightInd w:val="0"/>
              <w:snapToGrid w:val="0"/>
              <w:jc w:val="center"/>
              <w:rPr>
                <w:rFonts w:hAnsi="宋体" w:cs="宋体"/>
                <w:b/>
                <w:color w:val="000000"/>
                <w:sz w:val="21"/>
              </w:rPr>
            </w:pPr>
          </w:p>
        </w:tc>
        <w:tc>
          <w:tcPr>
            <w:tcW w:w="1140" w:type="dxa"/>
            <w:vAlign w:val="center"/>
          </w:tcPr>
          <w:p>
            <w:pPr>
              <w:pStyle w:val="13"/>
              <w:tabs>
                <w:tab w:val="left" w:pos="420"/>
                <w:tab w:val="left" w:pos="540"/>
              </w:tabs>
              <w:adjustRightInd w:val="0"/>
              <w:snapToGrid w:val="0"/>
              <w:jc w:val="center"/>
              <w:rPr>
                <w:rFonts w:hAnsi="宋体" w:cs="宋体"/>
                <w:b/>
                <w:color w:val="000000"/>
                <w:sz w:val="21"/>
              </w:rPr>
            </w:pPr>
          </w:p>
        </w:tc>
        <w:tc>
          <w:tcPr>
            <w:tcW w:w="727" w:type="dxa"/>
            <w:vAlign w:val="center"/>
          </w:tcPr>
          <w:p>
            <w:pPr>
              <w:pStyle w:val="13"/>
              <w:tabs>
                <w:tab w:val="left" w:pos="420"/>
                <w:tab w:val="left" w:pos="540"/>
              </w:tabs>
              <w:adjustRightInd w:val="0"/>
              <w:snapToGrid w:val="0"/>
              <w:jc w:val="center"/>
              <w:rPr>
                <w:rFonts w:hAnsi="宋体" w:cs="宋体"/>
                <w:b/>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7" w:type="dxa"/>
            <w:vAlign w:val="center"/>
          </w:tcPr>
          <w:p>
            <w:pPr>
              <w:pStyle w:val="13"/>
              <w:tabs>
                <w:tab w:val="left" w:pos="420"/>
                <w:tab w:val="left" w:pos="540"/>
              </w:tabs>
              <w:adjustRightInd w:val="0"/>
              <w:snapToGrid w:val="0"/>
              <w:jc w:val="center"/>
              <w:rPr>
                <w:rFonts w:hAnsi="宋体" w:cs="宋体"/>
                <w:b/>
                <w:color w:val="000000"/>
                <w:sz w:val="21"/>
              </w:rPr>
            </w:pPr>
            <w:r>
              <w:rPr>
                <w:rFonts w:hint="eastAsia" w:hAnsi="宋体" w:cs="宋体"/>
                <w:b/>
                <w:color w:val="000000"/>
                <w:sz w:val="21"/>
              </w:rPr>
              <w:t>2</w:t>
            </w:r>
          </w:p>
        </w:tc>
        <w:tc>
          <w:tcPr>
            <w:tcW w:w="1350" w:type="dxa"/>
            <w:vAlign w:val="center"/>
          </w:tcPr>
          <w:p>
            <w:pPr>
              <w:pStyle w:val="13"/>
              <w:tabs>
                <w:tab w:val="left" w:pos="420"/>
                <w:tab w:val="left" w:pos="540"/>
              </w:tabs>
              <w:adjustRightInd w:val="0"/>
              <w:snapToGrid w:val="0"/>
              <w:jc w:val="center"/>
              <w:rPr>
                <w:rFonts w:hAnsi="宋体" w:cs="宋体"/>
                <w:bCs/>
                <w:color w:val="000000"/>
                <w:sz w:val="21"/>
              </w:rPr>
            </w:pPr>
            <w:r>
              <w:rPr>
                <w:rFonts w:hint="eastAsia" w:hAnsi="宋体" w:cs="宋体"/>
                <w:bCs/>
                <w:color w:val="000000"/>
                <w:sz w:val="21"/>
              </w:rPr>
              <w:t>耐腐蚀型氮吹仪</w:t>
            </w:r>
          </w:p>
        </w:tc>
        <w:tc>
          <w:tcPr>
            <w:tcW w:w="885" w:type="dxa"/>
            <w:vAlign w:val="center"/>
          </w:tcPr>
          <w:p>
            <w:pPr>
              <w:pStyle w:val="13"/>
              <w:tabs>
                <w:tab w:val="left" w:pos="420"/>
                <w:tab w:val="left" w:pos="540"/>
              </w:tabs>
              <w:adjustRightInd w:val="0"/>
              <w:snapToGrid w:val="0"/>
              <w:jc w:val="center"/>
              <w:rPr>
                <w:rFonts w:hAnsi="宋体" w:cs="宋体"/>
                <w:color w:val="000000"/>
                <w:sz w:val="21"/>
              </w:rPr>
            </w:pPr>
            <w:r>
              <w:rPr>
                <w:rFonts w:hint="eastAsia" w:hAnsi="宋体" w:cs="宋体"/>
                <w:color w:val="000000"/>
                <w:sz w:val="21"/>
              </w:rPr>
              <w:t>台</w:t>
            </w:r>
          </w:p>
        </w:tc>
        <w:tc>
          <w:tcPr>
            <w:tcW w:w="780" w:type="dxa"/>
            <w:vAlign w:val="center"/>
          </w:tcPr>
          <w:p>
            <w:pPr>
              <w:pStyle w:val="13"/>
              <w:tabs>
                <w:tab w:val="left" w:pos="420"/>
                <w:tab w:val="left" w:pos="540"/>
              </w:tabs>
              <w:adjustRightInd w:val="0"/>
              <w:snapToGrid w:val="0"/>
              <w:jc w:val="center"/>
              <w:rPr>
                <w:rFonts w:hAnsi="宋体" w:cs="宋体"/>
                <w:color w:val="000000"/>
                <w:sz w:val="21"/>
              </w:rPr>
            </w:pPr>
            <w:r>
              <w:rPr>
                <w:rFonts w:hint="eastAsia" w:hAnsi="宋体" w:cs="宋体"/>
                <w:color w:val="000000"/>
                <w:sz w:val="21"/>
              </w:rPr>
              <w:t>1</w:t>
            </w:r>
          </w:p>
        </w:tc>
        <w:tc>
          <w:tcPr>
            <w:tcW w:w="1230" w:type="dxa"/>
            <w:vAlign w:val="center"/>
          </w:tcPr>
          <w:p>
            <w:pPr>
              <w:pStyle w:val="13"/>
              <w:tabs>
                <w:tab w:val="left" w:pos="420"/>
                <w:tab w:val="left" w:pos="540"/>
              </w:tabs>
              <w:adjustRightInd w:val="0"/>
              <w:snapToGrid w:val="0"/>
              <w:jc w:val="center"/>
              <w:rPr>
                <w:rFonts w:hAnsi="宋体" w:cs="宋体"/>
                <w:color w:val="000000"/>
                <w:sz w:val="21"/>
              </w:rPr>
            </w:pPr>
            <w:r>
              <w:rPr>
                <w:rFonts w:hint="eastAsia" w:hAnsi="宋体" w:cs="宋体"/>
                <w:color w:val="000000"/>
                <w:sz w:val="21"/>
              </w:rPr>
              <w:t>9000</w:t>
            </w:r>
          </w:p>
        </w:tc>
        <w:tc>
          <w:tcPr>
            <w:tcW w:w="1065" w:type="dxa"/>
            <w:vAlign w:val="center"/>
          </w:tcPr>
          <w:p>
            <w:pPr>
              <w:pStyle w:val="13"/>
              <w:tabs>
                <w:tab w:val="left" w:pos="420"/>
                <w:tab w:val="left" w:pos="540"/>
              </w:tabs>
              <w:adjustRightInd w:val="0"/>
              <w:snapToGrid w:val="0"/>
              <w:jc w:val="center"/>
              <w:rPr>
                <w:rFonts w:hAnsi="宋体" w:cs="宋体"/>
                <w:b/>
                <w:color w:val="000000"/>
                <w:sz w:val="21"/>
              </w:rPr>
            </w:pPr>
          </w:p>
        </w:tc>
        <w:tc>
          <w:tcPr>
            <w:tcW w:w="1095" w:type="dxa"/>
            <w:vAlign w:val="center"/>
          </w:tcPr>
          <w:p>
            <w:pPr>
              <w:pStyle w:val="13"/>
              <w:tabs>
                <w:tab w:val="left" w:pos="420"/>
                <w:tab w:val="left" w:pos="540"/>
              </w:tabs>
              <w:adjustRightInd w:val="0"/>
              <w:snapToGrid w:val="0"/>
              <w:jc w:val="center"/>
              <w:rPr>
                <w:rFonts w:hAnsi="宋体" w:cs="宋体"/>
                <w:b/>
                <w:color w:val="000000"/>
                <w:sz w:val="21"/>
              </w:rPr>
            </w:pPr>
          </w:p>
        </w:tc>
        <w:tc>
          <w:tcPr>
            <w:tcW w:w="1140" w:type="dxa"/>
            <w:vAlign w:val="center"/>
          </w:tcPr>
          <w:p>
            <w:pPr>
              <w:pStyle w:val="13"/>
              <w:tabs>
                <w:tab w:val="left" w:pos="420"/>
                <w:tab w:val="left" w:pos="540"/>
              </w:tabs>
              <w:adjustRightInd w:val="0"/>
              <w:snapToGrid w:val="0"/>
              <w:jc w:val="center"/>
              <w:rPr>
                <w:rFonts w:hAnsi="宋体" w:cs="宋体"/>
                <w:b/>
                <w:color w:val="000000"/>
                <w:sz w:val="21"/>
              </w:rPr>
            </w:pPr>
          </w:p>
        </w:tc>
        <w:tc>
          <w:tcPr>
            <w:tcW w:w="727" w:type="dxa"/>
            <w:vAlign w:val="center"/>
          </w:tcPr>
          <w:p>
            <w:pPr>
              <w:pStyle w:val="13"/>
              <w:tabs>
                <w:tab w:val="left" w:pos="420"/>
                <w:tab w:val="left" w:pos="540"/>
              </w:tabs>
              <w:adjustRightInd w:val="0"/>
              <w:snapToGrid w:val="0"/>
              <w:jc w:val="center"/>
              <w:rPr>
                <w:rFonts w:hAnsi="宋体" w:cs="宋体"/>
                <w:b/>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9" w:type="dxa"/>
            <w:gridSpan w:val="9"/>
            <w:vAlign w:val="center"/>
          </w:tcPr>
          <w:p>
            <w:pPr>
              <w:pStyle w:val="13"/>
              <w:tabs>
                <w:tab w:val="left" w:pos="420"/>
                <w:tab w:val="left" w:pos="540"/>
              </w:tabs>
              <w:adjustRightInd w:val="0"/>
              <w:snapToGrid w:val="0"/>
              <w:jc w:val="left"/>
              <w:rPr>
                <w:rFonts w:hAnsi="宋体" w:cs="宋体"/>
                <w:b/>
                <w:color w:val="000000"/>
                <w:sz w:val="21"/>
              </w:rPr>
            </w:pPr>
            <w:r>
              <w:rPr>
                <w:rFonts w:hint="eastAsia" w:hAnsi="宋体" w:cs="宋体"/>
                <w:b/>
                <w:color w:val="000000"/>
                <w:sz w:val="21"/>
              </w:rPr>
              <w:t>合计（各项小计报价之和）：人民币___元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9" w:type="dxa"/>
            <w:gridSpan w:val="9"/>
            <w:vAlign w:val="center"/>
          </w:tcPr>
          <w:p>
            <w:pPr>
              <w:pStyle w:val="13"/>
              <w:tabs>
                <w:tab w:val="left" w:pos="420"/>
                <w:tab w:val="left" w:pos="540"/>
              </w:tabs>
              <w:adjustRightInd w:val="0"/>
              <w:snapToGrid w:val="0"/>
              <w:jc w:val="left"/>
              <w:rPr>
                <w:rFonts w:hint="eastAsia" w:hAnsi="宋体" w:cs="宋体"/>
                <w:b/>
                <w:color w:val="000000"/>
                <w:sz w:val="21"/>
                <w:szCs w:val="21"/>
              </w:rPr>
            </w:pPr>
            <w:r>
              <w:rPr>
                <w:rFonts w:hint="eastAsia" w:ascii="宋体"/>
                <w:b/>
                <w:color w:val="auto"/>
                <w:sz w:val="21"/>
                <w:szCs w:val="21"/>
                <w:highlight w:val="none"/>
                <w:lang w:eastAsia="zh-CN"/>
              </w:rPr>
              <w:t>是否属于中小微企业</w:t>
            </w:r>
            <w:r>
              <w:rPr>
                <w:rFonts w:hint="eastAsia"/>
                <w:b/>
                <w:color w:val="auto"/>
                <w:sz w:val="21"/>
                <w:szCs w:val="21"/>
                <w:highlight w:val="none"/>
                <w:lang w:eastAsia="zh-CN"/>
              </w:rPr>
              <w:t>：</w:t>
            </w:r>
          </w:p>
        </w:tc>
      </w:tr>
    </w:tbl>
    <w:p>
      <w:pPr>
        <w:pStyle w:val="13"/>
        <w:tabs>
          <w:tab w:val="left" w:pos="540"/>
        </w:tabs>
        <w:adjustRightInd w:val="0"/>
        <w:snapToGrid w:val="0"/>
        <w:spacing w:line="360" w:lineRule="auto"/>
        <w:rPr>
          <w:rFonts w:hAnsi="宋体" w:cs="宋体"/>
          <w:b/>
          <w:bCs/>
          <w:sz w:val="21"/>
        </w:rPr>
      </w:pPr>
      <w:r>
        <w:rPr>
          <w:rFonts w:hint="eastAsia" w:hAnsi="宋体" w:cs="宋体"/>
          <w:b/>
          <w:bCs/>
          <w:sz w:val="21"/>
        </w:rPr>
        <w:t xml:space="preserve"> </w:t>
      </w:r>
    </w:p>
    <w:p>
      <w:pPr>
        <w:pStyle w:val="2"/>
        <w:rPr>
          <w:rFonts w:ascii="宋体" w:hAnsi="宋体" w:cs="宋体"/>
        </w:rPr>
      </w:pPr>
      <w:r>
        <w:rPr>
          <w:rFonts w:hint="eastAsia" w:ascii="宋体" w:hAnsi="宋体" w:cs="宋体"/>
        </w:rPr>
        <w:t xml:space="preserve"> </w:t>
      </w:r>
      <w:bookmarkStart w:id="0" w:name="_GoBack"/>
      <w:bookmarkEnd w:id="0"/>
    </w:p>
    <w:p>
      <w:pPr>
        <w:spacing w:line="500" w:lineRule="exact"/>
        <w:rPr>
          <w:rFonts w:ascii="宋体" w:hAnsi="宋体" w:cs="宋体"/>
          <w:b/>
          <w:spacing w:val="4"/>
          <w:szCs w:val="21"/>
        </w:rPr>
      </w:pPr>
      <w:r>
        <w:rPr>
          <w:rFonts w:hint="eastAsia" w:ascii="宋体" w:hAnsi="宋体" w:cs="宋体"/>
          <w:b/>
          <w:spacing w:val="4"/>
          <w:szCs w:val="21"/>
        </w:rPr>
        <w:t>注：</w:t>
      </w:r>
    </w:p>
    <w:p>
      <w:pPr>
        <w:pStyle w:val="50"/>
        <w:numPr>
          <w:ilvl w:val="0"/>
          <w:numId w:val="25"/>
        </w:numPr>
        <w:spacing w:line="360" w:lineRule="auto"/>
        <w:ind w:left="422" w:hanging="422" w:hangingChars="200"/>
        <w:rPr>
          <w:rFonts w:ascii="宋体" w:hAnsi="宋体" w:cs="宋体"/>
          <w:b/>
          <w:bCs/>
          <w:kern w:val="0"/>
          <w:szCs w:val="21"/>
          <w:u w:val="single"/>
        </w:rPr>
      </w:pPr>
      <w:r>
        <w:rPr>
          <w:rFonts w:hint="eastAsia" w:ascii="宋体" w:hAnsi="宋体" w:cs="宋体"/>
          <w:b/>
          <w:bCs/>
          <w:kern w:val="0"/>
          <w:szCs w:val="21"/>
          <w:u w:val="single"/>
        </w:rPr>
        <w:t>供应商必须按报价表的格式填写，不得增加或删除表格内容。除单价、金额或项目要求填写的内容外，不得擅自改动报价表内容，否则将有可能影响成交结果，不推荐为成交候选人；</w:t>
      </w:r>
    </w:p>
    <w:p>
      <w:pPr>
        <w:widowControl/>
        <w:numPr>
          <w:ilvl w:val="0"/>
          <w:numId w:val="25"/>
        </w:numPr>
        <w:spacing w:line="360" w:lineRule="auto"/>
        <w:ind w:left="438" w:hanging="438" w:hangingChars="200"/>
        <w:rPr>
          <w:rFonts w:ascii="宋体" w:hAnsi="宋体" w:cs="宋体"/>
          <w:b/>
          <w:bCs/>
          <w:kern w:val="0"/>
          <w:szCs w:val="21"/>
          <w:u w:val="single"/>
        </w:rPr>
      </w:pPr>
      <w:r>
        <w:rPr>
          <w:rFonts w:hint="eastAsia" w:ascii="宋体" w:hAnsi="宋体" w:cs="宋体"/>
          <w:b/>
          <w:color w:val="000000"/>
          <w:spacing w:val="4"/>
          <w:szCs w:val="21"/>
        </w:rPr>
        <w:t>所有价格均系用人民币表示，单位为元，均为含税价；</w:t>
      </w:r>
    </w:p>
    <w:p>
      <w:pPr>
        <w:widowControl/>
        <w:numPr>
          <w:ilvl w:val="0"/>
          <w:numId w:val="25"/>
        </w:numPr>
        <w:spacing w:line="360" w:lineRule="auto"/>
        <w:ind w:left="422" w:hanging="422" w:hangingChars="200"/>
        <w:rPr>
          <w:rFonts w:ascii="宋体" w:hAnsi="宋体" w:cs="宋体"/>
          <w:b/>
          <w:bCs/>
          <w:kern w:val="0"/>
          <w:szCs w:val="21"/>
          <w:u w:val="single"/>
        </w:rPr>
      </w:pPr>
      <w:r>
        <w:rPr>
          <w:rFonts w:hint="eastAsia" w:ascii="宋体" w:hAnsi="宋体" w:cs="宋体"/>
          <w:b/>
          <w:bCs/>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widowControl/>
        <w:numPr>
          <w:ilvl w:val="0"/>
          <w:numId w:val="25"/>
        </w:numPr>
        <w:spacing w:line="360" w:lineRule="auto"/>
        <w:ind w:left="438" w:hanging="438" w:hangingChars="200"/>
        <w:rPr>
          <w:rFonts w:ascii="宋体" w:hAnsi="宋体" w:cs="宋体"/>
          <w:b/>
          <w:bCs/>
          <w:kern w:val="0"/>
          <w:szCs w:val="21"/>
          <w:u w:val="single"/>
        </w:rPr>
      </w:pPr>
      <w:r>
        <w:rPr>
          <w:rFonts w:hint="eastAsia" w:ascii="宋体" w:hAnsi="宋体" w:cs="宋体"/>
          <w:b/>
          <w:color w:val="000000"/>
          <w:spacing w:val="4"/>
          <w:szCs w:val="21"/>
        </w:rPr>
        <w:t>平台上报价与上表合计不一致的，以报价表合计（经价格核准后的价格）为准。</w:t>
      </w:r>
    </w:p>
    <w:p>
      <w:pPr>
        <w:widowControl/>
        <w:numPr>
          <w:ilvl w:val="0"/>
          <w:numId w:val="25"/>
        </w:numPr>
        <w:spacing w:line="360" w:lineRule="auto"/>
        <w:ind w:left="438" w:hanging="438" w:hangingChars="200"/>
        <w:rPr>
          <w:rFonts w:hint="eastAsia" w:ascii="宋体" w:hAnsi="宋体" w:cs="宋体"/>
          <w:b/>
          <w:color w:val="000000"/>
          <w:spacing w:val="4"/>
          <w:szCs w:val="21"/>
        </w:rPr>
      </w:pPr>
      <w:r>
        <w:rPr>
          <w:rFonts w:hint="eastAsia" w:ascii="宋体" w:hAnsi="宋体" w:cs="宋体"/>
          <w:b/>
          <w:color w:val="000000"/>
          <w:spacing w:val="4"/>
          <w:szCs w:val="21"/>
        </w:rPr>
        <w:t>供应商报价表必须加盖公章，否则视作无效报价。</w:t>
      </w:r>
    </w:p>
    <w:p>
      <w:pPr>
        <w:widowControl/>
        <w:numPr>
          <w:ilvl w:val="0"/>
          <w:numId w:val="25"/>
        </w:numPr>
        <w:spacing w:line="360" w:lineRule="auto"/>
        <w:ind w:left="438" w:hanging="438" w:hangingChars="200"/>
        <w:rPr>
          <w:rFonts w:hint="eastAsia" w:ascii="宋体" w:hAnsi="宋体" w:cs="宋体"/>
          <w:b/>
          <w:color w:val="000000"/>
          <w:spacing w:val="4"/>
          <w:szCs w:val="21"/>
        </w:rPr>
      </w:pPr>
      <w:r>
        <w:rPr>
          <w:rFonts w:hint="eastAsia" w:ascii="宋体" w:hAnsi="宋体" w:cs="宋体"/>
          <w:b/>
          <w:color w:val="000000"/>
          <w:spacing w:val="4"/>
          <w:szCs w:val="21"/>
          <w:lang w:val="en-US" w:eastAsia="zh-CN"/>
        </w:rPr>
        <w:t xml:space="preserve">我司（单位）承诺以上“是否属于中小微企业” 填写情况属实，如有虚假，愿依照国家相关法律处理，并承担由此给采购人带来的损失。 </w:t>
      </w:r>
      <w:r>
        <w:rPr>
          <w:rFonts w:hint="eastAsia" w:ascii="宋体" w:hAnsi="宋体" w:cs="宋体"/>
          <w:b/>
          <w:color w:val="000000"/>
          <w:spacing w:val="4"/>
          <w:szCs w:val="21"/>
        </w:rPr>
        <w:t xml:space="preserve"> </w:t>
      </w:r>
    </w:p>
    <w:p>
      <w:pPr>
        <w:pStyle w:val="18"/>
        <w:shd w:val="clear" w:color="auto" w:fill="FFFFFF"/>
        <w:spacing w:before="0" w:beforeAutospacing="0" w:after="0" w:afterAutospacing="0" w:line="276" w:lineRule="auto"/>
        <w:ind w:left="420"/>
        <w:rPr>
          <w:b/>
          <w:sz w:val="21"/>
          <w:szCs w:val="21"/>
        </w:rPr>
      </w:pPr>
    </w:p>
    <w:p>
      <w:pPr>
        <w:spacing w:line="360" w:lineRule="auto"/>
        <w:rPr>
          <w:rFonts w:ascii="宋体" w:hAnsi="宋体" w:cs="宋体"/>
          <w:spacing w:val="4"/>
          <w:szCs w:val="21"/>
          <w:u w:val="single"/>
        </w:rPr>
      </w:pPr>
      <w:r>
        <w:rPr>
          <w:rFonts w:hint="eastAsia" w:ascii="宋体" w:hAnsi="宋体" w:cs="宋体"/>
          <w:spacing w:val="4"/>
          <w:szCs w:val="21"/>
        </w:rPr>
        <w:t>供应商名称（</w:t>
      </w:r>
      <w:r>
        <w:rPr>
          <w:rFonts w:hint="eastAsia" w:ascii="宋体" w:hAnsi="宋体" w:cs="宋体"/>
          <w:szCs w:val="21"/>
        </w:rPr>
        <w:t>单位盖</w:t>
      </w:r>
      <w:r>
        <w:rPr>
          <w:rFonts w:hint="eastAsia" w:ascii="宋体" w:hAnsi="宋体" w:cs="宋体"/>
          <w:spacing w:val="4"/>
          <w:szCs w:val="21"/>
        </w:rPr>
        <w:t>公章）：</w:t>
      </w:r>
      <w:r>
        <w:rPr>
          <w:rFonts w:hint="eastAsia" w:ascii="宋体" w:hAnsi="宋体" w:cs="宋体"/>
          <w:spacing w:val="4"/>
          <w:szCs w:val="21"/>
          <w:u w:val="single"/>
        </w:rPr>
        <w:t xml:space="preserve">                     </w:t>
      </w:r>
    </w:p>
    <w:p>
      <w:pPr>
        <w:pStyle w:val="21"/>
        <w:ind w:left="0" w:leftChars="0" w:firstLine="0" w:firstLineChars="0"/>
        <w:rPr>
          <w:rFonts w:ascii="宋体" w:hAnsi="宋体" w:cs="宋体"/>
        </w:rPr>
      </w:pPr>
      <w:r>
        <w:rPr>
          <w:rFonts w:hint="eastAsia" w:ascii="宋体" w:hAnsi="宋体" w:cs="宋体"/>
        </w:rPr>
        <w:t>日期：</w:t>
      </w:r>
    </w:p>
    <w:p>
      <w:pPr>
        <w:rPr>
          <w:rFonts w:ascii="宋体" w:hAnsi="宋体" w:cs="宋体"/>
        </w:rPr>
      </w:pPr>
      <w:r>
        <w:rPr>
          <w:rFonts w:hint="eastAsia" w:ascii="宋体" w:hAnsi="宋体" w:cs="宋体"/>
        </w:rPr>
        <w:br w:type="page"/>
      </w:r>
    </w:p>
    <w:p>
      <w:pPr>
        <w:pStyle w:val="4"/>
        <w:spacing w:before="156" w:beforeLines="50" w:after="0" w:line="360" w:lineRule="auto"/>
        <w:jc w:val="center"/>
        <w:rPr>
          <w:rFonts w:ascii="宋体" w:hAnsi="宋体" w:eastAsia="宋体" w:cs="宋体"/>
        </w:rPr>
      </w:pPr>
      <w:r>
        <w:rPr>
          <w:rFonts w:hint="eastAsia" w:ascii="宋体" w:hAnsi="宋体" w:eastAsia="宋体" w:cs="宋体"/>
        </w:rPr>
        <w:t>供应商资格声明函</w:t>
      </w:r>
    </w:p>
    <w:p>
      <w:pPr>
        <w:autoSpaceDE w:val="0"/>
        <w:autoSpaceDN w:val="0"/>
        <w:adjustRightInd w:val="0"/>
        <w:spacing w:before="156" w:beforeLines="50" w:after="312" w:afterLines="100" w:line="360" w:lineRule="auto"/>
        <w:jc w:val="left"/>
        <w:rPr>
          <w:rFonts w:ascii="宋体" w:hAnsi="宋体" w:cs="宋体"/>
          <w:b/>
          <w:kern w:val="0"/>
          <w:szCs w:val="21"/>
        </w:rPr>
      </w:pPr>
      <w:r>
        <w:rPr>
          <w:rFonts w:hint="eastAsia" w:ascii="宋体" w:hAnsi="宋体" w:cs="宋体"/>
          <w:b/>
          <w:kern w:val="0"/>
          <w:szCs w:val="21"/>
        </w:rPr>
        <w:t>致： 深圳市疾病预防控制中心、采联国际招标采购集团有限公司</w:t>
      </w:r>
    </w:p>
    <w:p>
      <w:pPr>
        <w:snapToGrid w:val="0"/>
        <w:spacing w:before="156" w:beforeLines="50" w:line="360" w:lineRule="auto"/>
        <w:ind w:firstLine="424" w:firstLineChars="202"/>
        <w:rPr>
          <w:rFonts w:ascii="宋体" w:hAnsi="宋体" w:cs="宋体"/>
        </w:rPr>
      </w:pPr>
      <w:r>
        <w:rPr>
          <w:rFonts w:hint="eastAsia" w:ascii="宋体" w:hAnsi="宋体" w:cs="宋体"/>
          <w:szCs w:val="21"/>
        </w:rPr>
        <w:t>关于贵单位、贵司发布</w:t>
      </w:r>
      <w:r>
        <w:rPr>
          <w:rFonts w:hint="eastAsia" w:ascii="宋体" w:hAnsi="宋体" w:cs="宋体"/>
          <w:b/>
          <w:szCs w:val="21"/>
          <w:u w:val="single"/>
        </w:rPr>
        <w:t>二氧化硫分析仪和耐腐蚀型氮吹仪小设备采购项目</w:t>
      </w:r>
      <w:r>
        <w:rPr>
          <w:rFonts w:hint="eastAsia" w:ascii="宋体" w:hAnsi="宋体" w:cs="宋体"/>
          <w:szCs w:val="24"/>
        </w:rPr>
        <w:t>的采购公告</w:t>
      </w:r>
      <w:r>
        <w:rPr>
          <w:rFonts w:hint="eastAsia" w:ascii="宋体" w:hAnsi="宋体" w:cs="宋体"/>
        </w:rPr>
        <w:t>，本公司（企业）愿意参加综合评审，并声明：</w:t>
      </w:r>
    </w:p>
    <w:p>
      <w:pPr>
        <w:numPr>
          <w:ilvl w:val="0"/>
          <w:numId w:val="26"/>
        </w:numPr>
        <w:snapToGrid w:val="0"/>
        <w:spacing w:before="156" w:beforeLines="50" w:line="360" w:lineRule="auto"/>
        <w:rPr>
          <w:rFonts w:ascii="宋体" w:hAnsi="宋体" w:cs="宋体"/>
          <w:bCs/>
          <w:szCs w:val="20"/>
        </w:rPr>
      </w:pPr>
      <w:r>
        <w:rPr>
          <w:rFonts w:hint="eastAsia" w:ascii="宋体" w:hAnsi="宋体" w:cs="宋体"/>
        </w:rPr>
        <w:t>本公司（企业）</w:t>
      </w:r>
      <w:r>
        <w:rPr>
          <w:rFonts w:hint="eastAsia" w:ascii="宋体" w:hAnsi="宋体" w:cs="宋体"/>
          <w:bCs/>
          <w:szCs w:val="20"/>
        </w:rPr>
        <w:t>具备《中华人民共和国政府采购法》第二十二条规定的条件：</w:t>
      </w:r>
    </w:p>
    <w:p>
      <w:pPr>
        <w:widowControl/>
        <w:spacing w:before="156" w:beforeLines="50" w:line="360" w:lineRule="auto"/>
        <w:ind w:firstLine="360"/>
        <w:rPr>
          <w:rFonts w:ascii="宋体" w:hAnsi="宋体" w:cs="宋体"/>
          <w:kern w:val="0"/>
          <w:szCs w:val="21"/>
        </w:rPr>
      </w:pPr>
      <w:r>
        <w:rPr>
          <w:rFonts w:hint="eastAsia" w:ascii="宋体" w:hAnsi="宋体" w:cs="宋体"/>
          <w:kern w:val="0"/>
          <w:szCs w:val="21"/>
        </w:rPr>
        <w:t>（一）具有独立承担民事责任的能力；</w:t>
      </w:r>
    </w:p>
    <w:p>
      <w:pPr>
        <w:widowControl/>
        <w:spacing w:before="156" w:beforeLines="50" w:line="360" w:lineRule="auto"/>
        <w:ind w:firstLine="360"/>
        <w:rPr>
          <w:rFonts w:ascii="宋体" w:hAnsi="宋体" w:cs="宋体"/>
          <w:kern w:val="0"/>
          <w:szCs w:val="21"/>
        </w:rPr>
      </w:pPr>
      <w:r>
        <w:rPr>
          <w:rFonts w:hint="eastAsia" w:ascii="宋体" w:hAnsi="宋体" w:cs="宋体"/>
          <w:kern w:val="0"/>
          <w:szCs w:val="21"/>
        </w:rPr>
        <w:t xml:space="preserve">（二）具有良好的商业信誉和健全的财务会计制度； </w:t>
      </w:r>
    </w:p>
    <w:p>
      <w:pPr>
        <w:widowControl/>
        <w:spacing w:before="156" w:beforeLines="50" w:line="360" w:lineRule="auto"/>
        <w:ind w:firstLine="360"/>
        <w:rPr>
          <w:rFonts w:ascii="宋体" w:hAnsi="宋体" w:cs="宋体"/>
          <w:kern w:val="0"/>
          <w:szCs w:val="21"/>
        </w:rPr>
      </w:pPr>
      <w:r>
        <w:rPr>
          <w:rFonts w:hint="eastAsia" w:ascii="宋体" w:hAnsi="宋体" w:cs="宋体"/>
          <w:kern w:val="0"/>
          <w:szCs w:val="21"/>
        </w:rPr>
        <w:t>（三）具有履行合同所必需的设备和专业技术能力；</w:t>
      </w:r>
    </w:p>
    <w:p>
      <w:pPr>
        <w:widowControl/>
        <w:spacing w:before="156" w:beforeLines="50" w:line="360" w:lineRule="auto"/>
        <w:ind w:firstLine="360"/>
        <w:rPr>
          <w:rFonts w:ascii="宋体" w:hAnsi="宋体" w:cs="宋体"/>
          <w:kern w:val="0"/>
          <w:szCs w:val="21"/>
        </w:rPr>
      </w:pPr>
      <w:r>
        <w:rPr>
          <w:rFonts w:hint="eastAsia" w:ascii="宋体" w:hAnsi="宋体" w:cs="宋体"/>
          <w:kern w:val="0"/>
          <w:szCs w:val="21"/>
        </w:rPr>
        <w:t>（四）有依法缴纳税收和社会保障资金的良好记录；</w:t>
      </w:r>
    </w:p>
    <w:p>
      <w:pPr>
        <w:widowControl/>
        <w:spacing w:before="156" w:beforeLines="50" w:line="360" w:lineRule="auto"/>
        <w:ind w:firstLine="360"/>
        <w:rPr>
          <w:rFonts w:ascii="宋体" w:hAnsi="宋体" w:cs="宋体"/>
          <w:kern w:val="0"/>
          <w:szCs w:val="21"/>
        </w:rPr>
      </w:pPr>
      <w:r>
        <w:rPr>
          <w:rFonts w:hint="eastAsia" w:ascii="宋体" w:hAnsi="宋体" w:cs="宋体"/>
          <w:kern w:val="0"/>
          <w:szCs w:val="21"/>
        </w:rPr>
        <w:t>（五）参加政府采购活动前三年内，在经营活动中没有重大违法记录；</w:t>
      </w:r>
    </w:p>
    <w:p>
      <w:pPr>
        <w:widowControl/>
        <w:spacing w:before="156" w:beforeLines="50" w:line="360" w:lineRule="auto"/>
        <w:ind w:firstLine="360"/>
        <w:rPr>
          <w:rFonts w:ascii="宋体" w:hAnsi="宋体" w:cs="宋体"/>
          <w:kern w:val="0"/>
          <w:szCs w:val="21"/>
        </w:rPr>
      </w:pPr>
      <w:r>
        <w:rPr>
          <w:rFonts w:hint="eastAsia" w:ascii="宋体" w:hAnsi="宋体" w:cs="宋体"/>
          <w:kern w:val="0"/>
          <w:szCs w:val="21"/>
        </w:rPr>
        <w:t>（六）法律、行政法规规定的其他条件。</w:t>
      </w:r>
    </w:p>
    <w:p>
      <w:pPr>
        <w:numPr>
          <w:ilvl w:val="0"/>
          <w:numId w:val="26"/>
        </w:numPr>
        <w:snapToGrid w:val="0"/>
        <w:spacing w:before="156" w:beforeLines="50" w:line="360" w:lineRule="auto"/>
        <w:rPr>
          <w:rFonts w:ascii="宋体" w:hAnsi="宋体" w:cs="宋体"/>
        </w:rPr>
      </w:pPr>
      <w:r>
        <w:rPr>
          <w:rFonts w:hint="eastAsia" w:ascii="宋体" w:hAnsi="宋体" w:cs="宋体"/>
        </w:rPr>
        <w:t>本公司（企业）具有本次采购项目服务能力。</w:t>
      </w:r>
    </w:p>
    <w:p>
      <w:pPr>
        <w:numPr>
          <w:ilvl w:val="0"/>
          <w:numId w:val="26"/>
        </w:numPr>
        <w:snapToGrid w:val="0"/>
        <w:spacing w:before="156" w:beforeLines="50" w:line="360" w:lineRule="auto"/>
        <w:rPr>
          <w:rFonts w:ascii="宋体" w:hAnsi="宋体" w:cs="宋体"/>
        </w:rPr>
      </w:pPr>
      <w:r>
        <w:rPr>
          <w:rFonts w:hint="eastAsia" w:ascii="宋体" w:hAnsi="宋体" w:cs="宋体"/>
        </w:rPr>
        <w:t>本公司（企业）有固定的经营场所，信誉良好、售后维护服务好，并且在经营活动中无不良信用信息记录。</w:t>
      </w:r>
    </w:p>
    <w:p>
      <w:pPr>
        <w:numPr>
          <w:ilvl w:val="0"/>
          <w:numId w:val="26"/>
        </w:numPr>
        <w:snapToGrid w:val="0"/>
        <w:spacing w:before="156" w:beforeLines="50" w:line="360" w:lineRule="auto"/>
        <w:rPr>
          <w:rFonts w:ascii="宋体" w:hAnsi="宋体" w:cs="宋体"/>
        </w:rPr>
      </w:pPr>
      <w:r>
        <w:rPr>
          <w:rFonts w:hint="eastAsia" w:ascii="宋体" w:hAnsi="宋体" w:cs="宋体"/>
        </w:rPr>
        <w:t>本公司（企业）在本项目中不转包分包且不联合参与评审。</w:t>
      </w:r>
    </w:p>
    <w:p>
      <w:pPr>
        <w:numPr>
          <w:ilvl w:val="0"/>
          <w:numId w:val="26"/>
        </w:numPr>
        <w:snapToGrid w:val="0"/>
        <w:spacing w:before="156" w:beforeLines="50" w:line="360" w:lineRule="auto"/>
        <w:rPr>
          <w:rFonts w:ascii="宋体" w:hAnsi="宋体" w:cs="宋体"/>
        </w:rPr>
      </w:pPr>
      <w:r>
        <w:rPr>
          <w:rFonts w:hint="eastAsia" w:ascii="宋体" w:hAnsi="宋体" w:cs="宋体"/>
        </w:rPr>
        <w:t>本公司（企业）没有为采购项目同一合同项下提供整体设计、规范编制或者项目管理、监理、检测等服务。</w:t>
      </w:r>
    </w:p>
    <w:p>
      <w:pPr>
        <w:snapToGrid w:val="0"/>
        <w:spacing w:line="360" w:lineRule="auto"/>
        <w:ind w:firstLine="424" w:firstLineChars="202"/>
        <w:rPr>
          <w:rFonts w:ascii="宋体" w:hAnsi="宋体" w:cs="宋体"/>
        </w:rPr>
      </w:pPr>
      <w:r>
        <w:rPr>
          <w:rFonts w:hint="eastAsia" w:ascii="宋体" w:hAnsi="宋体" w:cs="宋体"/>
        </w:rPr>
        <w:t>本公司（企业）承诺在本次采购活动中，如有违法、违规</w:t>
      </w:r>
      <w:r>
        <w:rPr>
          <w:rFonts w:hint="eastAsia" w:ascii="宋体" w:hAnsi="宋体" w:cs="宋体"/>
          <w:szCs w:val="21"/>
        </w:rPr>
        <w:t>、</w:t>
      </w:r>
      <w:r>
        <w:rPr>
          <w:rFonts w:hint="eastAsia" w:ascii="宋体" w:hAnsi="宋体" w:cs="宋体"/>
        </w:rPr>
        <w:t>弄虚作假行为，所造成的损失、不良后果及法律责任，一律由我公司（企业）承担。</w:t>
      </w:r>
    </w:p>
    <w:p>
      <w:pPr>
        <w:spacing w:line="360" w:lineRule="auto"/>
        <w:ind w:firstLine="420"/>
        <w:rPr>
          <w:rFonts w:ascii="宋体" w:hAnsi="宋体" w:cs="宋体"/>
        </w:rPr>
      </w:pPr>
      <w:r>
        <w:rPr>
          <w:rFonts w:hint="eastAsia" w:ascii="宋体" w:hAnsi="宋体" w:cs="宋体"/>
        </w:rPr>
        <w:t>特此声明！</w:t>
      </w:r>
    </w:p>
    <w:p>
      <w:pPr>
        <w:autoSpaceDE w:val="0"/>
        <w:autoSpaceDN w:val="0"/>
        <w:adjustRightInd w:val="0"/>
        <w:spacing w:line="360" w:lineRule="auto"/>
        <w:ind w:firstLine="413" w:firstLineChars="196"/>
        <w:rPr>
          <w:rFonts w:ascii="宋体" w:hAnsi="宋体" w:cs="宋体"/>
          <w:b/>
        </w:rPr>
      </w:pPr>
      <w:r>
        <w:rPr>
          <w:rFonts w:hint="eastAsia" w:ascii="宋体" w:hAnsi="宋体" w:cs="宋体"/>
          <w:b/>
        </w:rPr>
        <w:t>备注：</w:t>
      </w:r>
    </w:p>
    <w:p>
      <w:pPr>
        <w:pStyle w:val="50"/>
        <w:numPr>
          <w:ilvl w:val="0"/>
          <w:numId w:val="27"/>
        </w:numPr>
        <w:autoSpaceDE w:val="0"/>
        <w:autoSpaceDN w:val="0"/>
        <w:adjustRightInd w:val="0"/>
        <w:spacing w:before="156" w:beforeLines="50" w:line="360" w:lineRule="auto"/>
        <w:ind w:firstLineChars="0"/>
        <w:rPr>
          <w:rFonts w:ascii="宋体" w:hAnsi="宋体" w:cs="宋体"/>
        </w:rPr>
      </w:pPr>
      <w:r>
        <w:rPr>
          <w:rFonts w:hint="eastAsia" w:ascii="宋体" w:hAnsi="宋体" w:cs="宋体"/>
        </w:rPr>
        <w:t>本声明函必须提供且内容不得擅自删改，否则视为响应无效。</w:t>
      </w:r>
    </w:p>
    <w:p>
      <w:pPr>
        <w:pStyle w:val="50"/>
        <w:numPr>
          <w:ilvl w:val="0"/>
          <w:numId w:val="27"/>
        </w:numPr>
        <w:snapToGrid w:val="0"/>
        <w:spacing w:before="156" w:beforeLines="50" w:line="360" w:lineRule="auto"/>
        <w:ind w:firstLineChars="0"/>
        <w:rPr>
          <w:rFonts w:ascii="宋体" w:hAnsi="宋体" w:cs="宋体"/>
          <w:szCs w:val="21"/>
        </w:rPr>
      </w:pPr>
      <w:r>
        <w:rPr>
          <w:rFonts w:hint="eastAsia" w:ascii="宋体" w:hAnsi="宋体" w:cs="宋体"/>
          <w:szCs w:val="21"/>
        </w:rPr>
        <w:t>本声明函如有虚假或与事实不符的，作无效报价处理。</w:t>
      </w:r>
    </w:p>
    <w:p>
      <w:pPr>
        <w:spacing w:line="360" w:lineRule="auto"/>
        <w:ind w:firstLine="5040" w:firstLineChars="2400"/>
        <w:rPr>
          <w:rFonts w:ascii="宋体" w:hAnsi="宋体" w:cs="宋体"/>
          <w:u w:val="single"/>
        </w:rPr>
      </w:pPr>
      <w:r>
        <w:rPr>
          <w:rFonts w:hint="eastAsia" w:ascii="宋体" w:hAnsi="宋体" w:cs="宋体"/>
        </w:rPr>
        <w:t>供应商名称（单位盖</w:t>
      </w:r>
      <w:r>
        <w:rPr>
          <w:rFonts w:hint="eastAsia" w:ascii="宋体" w:hAnsi="宋体" w:cs="宋体"/>
          <w:spacing w:val="4"/>
        </w:rPr>
        <w:t>公章</w:t>
      </w:r>
      <w:r>
        <w:rPr>
          <w:rFonts w:hint="eastAsia" w:ascii="宋体" w:hAnsi="宋体" w:cs="宋体"/>
        </w:rPr>
        <w:t>）：</w:t>
      </w:r>
      <w:r>
        <w:rPr>
          <w:rFonts w:hint="eastAsia" w:ascii="宋体" w:hAnsi="宋体" w:cs="宋体"/>
          <w:u w:val="single"/>
        </w:rPr>
        <w:t xml:space="preserve"> </w:t>
      </w:r>
    </w:p>
    <w:p>
      <w:pPr>
        <w:spacing w:line="360" w:lineRule="auto"/>
        <w:ind w:firstLine="5040" w:firstLineChars="2400"/>
        <w:rPr>
          <w:rFonts w:ascii="宋体" w:hAnsi="宋体" w:cs="宋体"/>
        </w:rPr>
      </w:pPr>
      <w:r>
        <w:rPr>
          <w:rFonts w:hint="eastAsia" w:ascii="宋体" w:hAnsi="宋体" w:cs="宋体"/>
        </w:rPr>
        <w:t xml:space="preserve">日期： </w:t>
      </w:r>
    </w:p>
    <w:p>
      <w:pPr>
        <w:rPr>
          <w:rFonts w:ascii="宋体" w:hAnsi="宋体" w:cs="宋体"/>
          <w:color w:val="000000" w:themeColor="text1"/>
          <w:szCs w:val="21"/>
          <w14:textFill>
            <w14:solidFill>
              <w14:schemeClr w14:val="tx1"/>
            </w14:solidFill>
          </w14:textFill>
        </w:rPr>
      </w:pPr>
      <w:r>
        <w:rPr>
          <w:rFonts w:hint="eastAsia" w:ascii="宋体" w:hAnsi="宋体" w:cs="宋体"/>
        </w:rPr>
        <w:br w:type="page"/>
      </w:r>
    </w:p>
    <w:p>
      <w:pPr>
        <w:pStyle w:val="4"/>
        <w:pageBreakBefore/>
        <w:adjustRightInd w:val="0"/>
        <w:snapToGrid w:val="0"/>
        <w:spacing w:before="0" w:after="0" w:line="360" w:lineRule="auto"/>
        <w:jc w:val="center"/>
        <w:rPr>
          <w:rFonts w:ascii="宋体" w:hAnsi="宋体" w:eastAsia="宋体" w:cs="宋体"/>
          <w:b w:val="0"/>
          <w:color w:val="000000" w:themeColor="text1"/>
          <w14:textFill>
            <w14:solidFill>
              <w14:schemeClr w14:val="tx1"/>
            </w14:solidFill>
          </w14:textFill>
        </w:rPr>
      </w:pPr>
      <w:r>
        <w:rPr>
          <w:rFonts w:hint="eastAsia" w:ascii="宋体" w:hAnsi="宋体" w:eastAsia="宋体" w:cs="宋体"/>
          <w:b w:val="0"/>
          <w:color w:val="000000" w:themeColor="text1"/>
          <w14:textFill>
            <w14:solidFill>
              <w14:schemeClr w14:val="tx1"/>
            </w14:solidFill>
          </w14:textFill>
        </w:rPr>
        <w:t>法定代表人授权委托书</w:t>
      </w:r>
    </w:p>
    <w:p>
      <w:pPr>
        <w:pStyle w:val="13"/>
        <w:spacing w:line="360" w:lineRule="auto"/>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本授权委托书声明：注册于</w:t>
      </w:r>
      <w:r>
        <w:rPr>
          <w:rFonts w:hint="eastAsia" w:hAnsi="宋体" w:cs="宋体"/>
          <w:color w:val="000000" w:themeColor="text1"/>
          <w:sz w:val="21"/>
          <w:u w:val="single"/>
          <w14:textFill>
            <w14:solidFill>
              <w14:schemeClr w14:val="tx1"/>
            </w14:solidFill>
          </w14:textFill>
        </w:rPr>
        <w:t xml:space="preserve"> （供应商地址）  </w:t>
      </w:r>
      <w:r>
        <w:rPr>
          <w:rFonts w:hint="eastAsia" w:hAnsi="宋体" w:cs="宋体"/>
          <w:color w:val="000000" w:themeColor="text1"/>
          <w:sz w:val="21"/>
          <w14:textFill>
            <w14:solidFill>
              <w14:schemeClr w14:val="tx1"/>
            </w14:solidFill>
          </w14:textFill>
        </w:rPr>
        <w:t>的</w:t>
      </w:r>
      <w:r>
        <w:rPr>
          <w:rFonts w:hint="eastAsia" w:hAnsi="宋体" w:cs="宋体"/>
          <w:color w:val="000000" w:themeColor="text1"/>
          <w:sz w:val="21"/>
          <w:u w:val="single"/>
          <w14:textFill>
            <w14:solidFill>
              <w14:schemeClr w14:val="tx1"/>
            </w14:solidFill>
          </w14:textFill>
        </w:rPr>
        <w:t xml:space="preserve">  （供应商名称）    </w:t>
      </w:r>
      <w:r>
        <w:rPr>
          <w:rFonts w:hint="eastAsia" w:hAnsi="宋体" w:cs="宋体"/>
          <w:color w:val="000000" w:themeColor="text1"/>
          <w:sz w:val="21"/>
          <w14:textFill>
            <w14:solidFill>
              <w14:schemeClr w14:val="tx1"/>
            </w14:solidFill>
          </w14:textFill>
        </w:rPr>
        <w:t>在下面签名的</w:t>
      </w:r>
      <w:r>
        <w:rPr>
          <w:rFonts w:hint="eastAsia" w:hAnsi="宋体" w:cs="宋体"/>
          <w:color w:val="000000" w:themeColor="text1"/>
          <w:sz w:val="21"/>
          <w:u w:val="single"/>
          <w14:textFill>
            <w14:solidFill>
              <w14:schemeClr w14:val="tx1"/>
            </w14:solidFill>
          </w14:textFill>
        </w:rPr>
        <w:t>（法定代表人姓名、职务）</w:t>
      </w:r>
      <w:r>
        <w:rPr>
          <w:rFonts w:hint="eastAsia" w:hAnsi="宋体" w:cs="宋体"/>
          <w:color w:val="000000" w:themeColor="text1"/>
          <w:sz w:val="21"/>
          <w14:textFill>
            <w14:solidFill>
              <w14:schemeClr w14:val="tx1"/>
            </w14:solidFill>
          </w14:textFill>
        </w:rPr>
        <w:t>在此授权本公司</w:t>
      </w:r>
      <w:r>
        <w:rPr>
          <w:rFonts w:hint="eastAsia" w:hAnsi="宋体" w:cs="宋体"/>
          <w:color w:val="000000" w:themeColor="text1"/>
          <w:sz w:val="21"/>
          <w:u w:val="single"/>
          <w14:textFill>
            <w14:solidFill>
              <w14:schemeClr w14:val="tx1"/>
            </w14:solidFill>
          </w14:textFill>
        </w:rPr>
        <w:t>（被授权人姓名、职务）</w:t>
      </w:r>
      <w:r>
        <w:rPr>
          <w:rFonts w:hint="eastAsia" w:hAnsi="宋体" w:cs="宋体"/>
          <w:color w:val="000000" w:themeColor="text1"/>
          <w:sz w:val="21"/>
          <w14:textFill>
            <w14:solidFill>
              <w14:schemeClr w14:val="tx1"/>
            </w14:solidFill>
          </w14:textFill>
        </w:rPr>
        <w:t>作为我公司的合法代理人，就</w:t>
      </w:r>
      <w:r>
        <w:rPr>
          <w:rFonts w:hint="eastAsia" w:hAnsi="宋体" w:cs="宋体"/>
          <w:b/>
          <w:bCs/>
          <w:color w:val="000000" w:themeColor="text1"/>
          <w:sz w:val="21"/>
          <w:u w:val="single"/>
          <w14:textFill>
            <w14:solidFill>
              <w14:schemeClr w14:val="tx1"/>
            </w14:solidFill>
          </w14:textFill>
        </w:rPr>
        <w:t>二氧化硫分析仪和耐腐蚀型氮吹仪小设备采购项目</w:t>
      </w:r>
      <w:r>
        <w:rPr>
          <w:rFonts w:hint="eastAsia" w:hAnsi="宋体" w:cs="宋体"/>
          <w:color w:val="000000" w:themeColor="text1"/>
          <w:sz w:val="21"/>
          <w14:textFill>
            <w14:solidFill>
              <w14:schemeClr w14:val="tx1"/>
            </w14:solidFill>
          </w14:textFill>
        </w:rPr>
        <w:t>的综合评审采购活动，采购合同的签订、执行、完成和售后服务，作为供应商代表以我方的名义处理一切与之有关的事务。</w:t>
      </w:r>
    </w:p>
    <w:p>
      <w:pPr>
        <w:pStyle w:val="13"/>
        <w:spacing w:line="360" w:lineRule="auto"/>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被授权人（供应商授权代表）无转委托权限。</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本授权书自法定代表人签字之日起生效，特此声明。</w:t>
      </w: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随附1、《法定代表人证明书》；</w:t>
      </w: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供应商名称（盖公章）：</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      址：</w:t>
      </w:r>
    </w:p>
    <w:p>
      <w:pPr>
        <w:tabs>
          <w:tab w:val="left" w:pos="3780"/>
        </w:tabs>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法定代表人（签字或盖章）：                         签字日期：</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651500" cy="1593215"/>
                <wp:effectExtent l="4445" t="4445" r="13335" b="17780"/>
                <wp:wrapNone/>
                <wp:docPr id="3" name="组合 3"/>
                <wp:cNvGraphicFramePr/>
                <a:graphic xmlns:a="http://schemas.openxmlformats.org/drawingml/2006/main">
                  <a:graphicData uri="http://schemas.microsoft.com/office/word/2010/wordprocessingGroup">
                    <wpg:wgp>
                      <wpg:cNvGrpSpPr/>
                      <wpg:grpSpPr>
                        <a:xfrm>
                          <a:off x="0" y="0"/>
                          <a:ext cx="5651500" cy="1593215"/>
                          <a:chOff x="1080" y="8670"/>
                          <a:chExt cx="8900" cy="2509"/>
                        </a:xfrm>
                      </wpg:grpSpPr>
                      <wps:wsp>
                        <wps:cNvPr id="4" name="矩形 1"/>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身份证（正面）</w:t>
                              </w:r>
                            </w:p>
                          </w:txbxContent>
                        </wps:txbx>
                        <wps:bodyPr upright="1"/>
                      </wps:wsp>
                      <wps:wsp>
                        <wps:cNvPr id="5" name="矩形 2"/>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身份证（反面）</w:t>
                              </w:r>
                            </w:p>
                            <w:p/>
                          </w:txbxContent>
                        </wps:txbx>
                        <wps:bodyPr upright="1"/>
                      </wps:wsp>
                    </wpg:wgp>
                  </a:graphicData>
                </a:graphic>
              </wp:anchor>
            </w:drawing>
          </mc:Choice>
          <mc:Fallback>
            <w:pict>
              <v:group id="_x0000_s1026" o:spid="_x0000_s1026" o:spt="203" style="position:absolute;left:0pt;margin-left:0pt;margin-top:12pt;height:125.45pt;width:445pt;z-index:251659264;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8w8d2dcAAAAHAQAADwAAAAAAAAABACAAAAAiAAAAZHJzL2Rvd25yZXYueG1sUEsBAhQAFAAA&#10;AAgAh07iQM02B9ibAgAApwcAAA4AAAAAAAAAAQAgAAAAJgEAAGRycy9lMm9Eb2MueG1sUEsFBgAA&#10;AAAGAAYAWQEAADMGAAAAAA==&#10;">
                <o:lock v:ext="edit" aspectratio="f"/>
                <v:rect id="矩形 1" o:spid="_x0000_s1026" o:spt="1" style="position:absolute;left:1080;top:8670;height:2509;width:4218;"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身份证（正面）</w:t>
                        </w:r>
                      </w:p>
                    </w:txbxContent>
                  </v:textbox>
                </v:rect>
                <v:rect id="矩形 2" o:spid="_x0000_s1026" o:spt="1" style="position:absolute;left:5761;top:8670;height:2509;width:4219;"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txbxContent>
                  </v:textbox>
                </v:rect>
              </v:group>
            </w:pict>
          </mc:Fallback>
        </mc:AlternateContent>
      </w: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br w:type="page"/>
      </w:r>
    </w:p>
    <w:p>
      <w:pPr>
        <w:pStyle w:val="4"/>
        <w:adjustRightInd w:val="0"/>
        <w:snapToGrid w:val="0"/>
        <w:spacing w:before="0" w:after="0" w:line="360" w:lineRule="auto"/>
        <w:jc w:val="center"/>
        <w:rPr>
          <w:rFonts w:ascii="宋体" w:hAnsi="宋体" w:eastAsia="宋体" w:cs="宋体"/>
          <w:b w:val="0"/>
          <w:color w:val="000000" w:themeColor="text1"/>
          <w14:textFill>
            <w14:solidFill>
              <w14:schemeClr w14:val="tx1"/>
            </w14:solidFill>
          </w14:textFill>
        </w:rPr>
      </w:pPr>
      <w:r>
        <w:rPr>
          <w:rFonts w:hint="eastAsia" w:ascii="宋体" w:hAnsi="宋体" w:eastAsia="宋体" w:cs="宋体"/>
          <w:b w:val="0"/>
          <w:color w:val="000000" w:themeColor="text1"/>
          <w14:textFill>
            <w14:solidFill>
              <w14:schemeClr w14:val="tx1"/>
            </w14:solidFill>
          </w14:textFill>
        </w:rPr>
        <w:t>法定代表人证明书</w:t>
      </w:r>
    </w:p>
    <w:p>
      <w:pPr>
        <w:tabs>
          <w:tab w:val="left" w:pos="900"/>
        </w:tabs>
        <w:spacing w:line="480" w:lineRule="auto"/>
        <w:ind w:firstLine="945" w:firstLineChars="4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同志，现任我单位</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职务，为法定代表人，特此证明。</w:t>
      </w:r>
    </w:p>
    <w:p>
      <w:pPr>
        <w:spacing w:line="48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本证明书自签发之日起生效，有效期与本公司参与综合评审的文件中标注的有效期相同。</w:t>
      </w:r>
    </w:p>
    <w:p>
      <w:pPr>
        <w:spacing w:line="48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w:t>
      </w:r>
    </w:p>
    <w:p>
      <w:pPr>
        <w:spacing w:line="480" w:lineRule="auto"/>
        <w:ind w:firstLine="840" w:firstLineChars="4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营业执照（注册号）：                       </w:t>
      </w:r>
    </w:p>
    <w:p>
      <w:pPr>
        <w:spacing w:line="480" w:lineRule="auto"/>
        <w:ind w:firstLine="840" w:firstLineChars="4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经济性质：</w:t>
      </w:r>
    </w:p>
    <w:p>
      <w:pPr>
        <w:spacing w:line="480" w:lineRule="auto"/>
        <w:ind w:firstLine="840" w:firstLineChars="4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主营（产）：</w:t>
      </w:r>
    </w:p>
    <w:p>
      <w:pPr>
        <w:spacing w:line="480" w:lineRule="auto"/>
        <w:ind w:firstLine="840" w:firstLineChars="4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兼营（产）：</w:t>
      </w:r>
    </w:p>
    <w:p>
      <w:pPr>
        <w:spacing w:line="480" w:lineRule="auto"/>
        <w:ind w:firstLine="840" w:firstLineChars="4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5535295" cy="1656715"/>
                <wp:effectExtent l="4445" t="4445" r="7620" b="15240"/>
                <wp:wrapNone/>
                <wp:docPr id="6" name="组合 6"/>
                <wp:cNvGraphicFramePr/>
                <a:graphic xmlns:a="http://schemas.openxmlformats.org/drawingml/2006/main">
                  <a:graphicData uri="http://schemas.microsoft.com/office/word/2010/wordprocessingGroup">
                    <wpg:wgp>
                      <wpg:cNvGrpSpPr/>
                      <wpg:grpSpPr>
                        <a:xfrm>
                          <a:off x="0" y="0"/>
                          <a:ext cx="5535295" cy="1656715"/>
                          <a:chOff x="1146" y="7566"/>
                          <a:chExt cx="8717" cy="2609"/>
                        </a:xfrm>
                      </wpg:grpSpPr>
                      <wps:wsp>
                        <wps:cNvPr id="7" name="矩形 4"/>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身份证（正面）</w:t>
                              </w:r>
                            </w:p>
                            <w:p>
                              <w:pPr>
                                <w:ind w:firstLine="1050" w:firstLineChars="500"/>
                              </w:pPr>
                            </w:p>
                          </w:txbxContent>
                        </wps:txbx>
                        <wps:bodyPr upright="1"/>
                      </wps:wsp>
                      <wps:wsp>
                        <wps:cNvPr id="8" name="矩形 5"/>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身份证（反面）</w:t>
                              </w:r>
                            </w:p>
                            <w:p>
                              <w:pPr>
                                <w:ind w:firstLine="1050" w:firstLineChars="500"/>
                              </w:pPr>
                            </w:p>
                          </w:txbxContent>
                        </wps:txbx>
                        <wps:bodyPr upright="1"/>
                      </wps:wsp>
                    </wpg:wgp>
                  </a:graphicData>
                </a:graphic>
              </wp:anchor>
            </w:drawing>
          </mc:Choice>
          <mc:Fallback>
            <w:pict>
              <v:group id="_x0000_s1026" o:spid="_x0000_s1026" o:spt="203" style="position:absolute;left:0pt;margin-left:3.3pt;margin-top:19.2pt;height:130.45pt;width:435.85pt;z-index:251660288;mso-width-relative:page;mso-height-relative:page;" coordorigin="1146,7566" coordsize="8717,2609" o:gfxdata="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YSSmk2QAAAAgBAAAPAAAAAAAAAAEAIAAAACIAAABkcnMvZG93bnJldi54bWxQSwECFAAU&#10;AAAACACHTuJAW98yT5sCAACnBwAADgAAAAAAAAABACAAAAAoAQAAZHJzL2Uyb0RvYy54bWxQSwUG&#10;AAAAAAYABgBZAQAANQYAAAAA&#10;">
                <o:lock v:ext="edit" aspectratio="f"/>
                <v:rect id="矩形 4" o:spid="_x0000_s1026" o:spt="1" style="position:absolute;left:1146;top:7566;height:2609;width:4166;"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身份证（正面）</w:t>
                        </w:r>
                      </w:p>
                      <w:p>
                        <w:pPr>
                          <w:ind w:firstLine="1050" w:firstLineChars="500"/>
                        </w:pPr>
                      </w:p>
                    </w:txbxContent>
                  </v:textbox>
                </v:rect>
                <v:rect id="矩形 5" o:spid="_x0000_s1026" o:spt="1" style="position:absolute;left:5719;top:7566;height:2609;width:4144;"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pPr>
                        <w:r>
                          <w:rPr>
                            <w:rFonts w:hint="eastAsia"/>
                          </w:rPr>
                          <w:t>身份证（反面）</w:t>
                        </w:r>
                      </w:p>
                      <w:p>
                        <w:pPr>
                          <w:ind w:firstLine="1050" w:firstLineChars="500"/>
                        </w:pPr>
                      </w:p>
                    </w:txbxContent>
                  </v:textbox>
                </v:rect>
              </v:group>
            </w:pict>
          </mc:Fallback>
        </mc:AlternateContent>
      </w:r>
    </w:p>
    <w:p>
      <w:pPr>
        <w:spacing w:line="500" w:lineRule="exact"/>
        <w:rPr>
          <w:rFonts w:ascii="宋体" w:hAnsi="宋体" w:cs="宋体"/>
          <w:b/>
          <w:bCs/>
          <w:color w:val="000000" w:themeColor="text1"/>
          <w:szCs w:val="21"/>
          <w14:textFill>
            <w14:solidFill>
              <w14:schemeClr w14:val="tx1"/>
            </w14:solidFill>
          </w14:textFill>
        </w:rPr>
      </w:pPr>
    </w:p>
    <w:p>
      <w:pPr>
        <w:spacing w:line="500" w:lineRule="exact"/>
        <w:rPr>
          <w:rFonts w:ascii="宋体" w:hAnsi="宋体" w:cs="宋体"/>
          <w:b/>
          <w:bCs/>
          <w:color w:val="000000" w:themeColor="text1"/>
          <w:szCs w:val="21"/>
          <w14:textFill>
            <w14:solidFill>
              <w14:schemeClr w14:val="tx1"/>
            </w14:solidFill>
          </w14:textFill>
        </w:rPr>
      </w:pPr>
    </w:p>
    <w:p>
      <w:pPr>
        <w:spacing w:line="500" w:lineRule="exact"/>
        <w:rPr>
          <w:rFonts w:ascii="宋体" w:hAnsi="宋体" w:cs="宋体"/>
          <w:b/>
          <w:bCs/>
          <w:color w:val="000000" w:themeColor="text1"/>
          <w14:textFill>
            <w14:solidFill>
              <w14:schemeClr w14:val="tx1"/>
            </w14:solidFill>
          </w14:textFill>
        </w:rPr>
      </w:pPr>
    </w:p>
    <w:p>
      <w:pPr>
        <w:spacing w:line="500" w:lineRule="exact"/>
        <w:rPr>
          <w:rFonts w:ascii="宋体" w:hAnsi="宋体" w:cs="宋体"/>
          <w:b/>
          <w:bCs/>
          <w:color w:val="000000" w:themeColor="text1"/>
          <w14:textFill>
            <w14:solidFill>
              <w14:schemeClr w14:val="tx1"/>
            </w14:solidFill>
          </w14:textFill>
        </w:rPr>
      </w:pPr>
    </w:p>
    <w:p>
      <w:pPr>
        <w:spacing w:line="500" w:lineRule="exact"/>
        <w:rPr>
          <w:rFonts w:ascii="宋体" w:hAnsi="宋体" w:cs="宋体"/>
          <w:b/>
          <w:bCs/>
          <w:color w:val="000000" w:themeColor="text1"/>
          <w14:textFill>
            <w14:solidFill>
              <w14:schemeClr w14:val="tx1"/>
            </w14:solidFill>
          </w14:textFill>
        </w:rPr>
      </w:pPr>
    </w:p>
    <w:p>
      <w:pPr>
        <w:spacing w:line="500" w:lineRule="exact"/>
        <w:rPr>
          <w:rFonts w:ascii="宋体" w:hAnsi="宋体" w:cs="宋体"/>
          <w:b/>
          <w:bCs/>
          <w:color w:val="000000" w:themeColor="text1"/>
          <w14:textFill>
            <w14:solidFill>
              <w14:schemeClr w14:val="tx1"/>
            </w14:solidFill>
          </w14:textFill>
        </w:rPr>
      </w:pPr>
    </w:p>
    <w:p>
      <w:pPr>
        <w:spacing w:line="500" w:lineRule="exact"/>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 xml:space="preserve">                         </w:t>
      </w:r>
    </w:p>
    <w:p>
      <w:pPr>
        <w:spacing w:line="500" w:lineRule="exact"/>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供应商名称：（盖公章）：</w:t>
      </w:r>
    </w:p>
    <w:p>
      <w:pPr>
        <w:spacing w:line="5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地址：</w:t>
      </w:r>
    </w:p>
    <w:p>
      <w:pPr>
        <w:spacing w:line="500" w:lineRule="exact"/>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日期：</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ind w:firstLine="210" w:firstLineChars="100"/>
        <w:rPr>
          <w:rFonts w:ascii="宋体" w:hAnsi="宋体" w:cs="宋体"/>
          <w:color w:val="000000" w:themeColor="text1"/>
          <w14:textFill>
            <w14:solidFill>
              <w14:schemeClr w14:val="tx1"/>
            </w14:solidFill>
          </w14:textFill>
        </w:rPr>
      </w:pPr>
    </w:p>
    <w:p>
      <w:pPr>
        <w:pStyle w:val="4"/>
        <w:widowControl/>
        <w:spacing w:before="0" w:after="0"/>
        <w:jc w:val="center"/>
        <w:rPr>
          <w:rFonts w:ascii="宋体" w:hAnsi="宋体" w:eastAsia="宋体" w:cs="宋体"/>
          <w:color w:val="000000"/>
        </w:rPr>
      </w:pPr>
      <w:r>
        <w:rPr>
          <w:rFonts w:hint="eastAsia" w:ascii="宋体" w:hAnsi="宋体" w:eastAsia="宋体" w:cs="宋体"/>
          <w:color w:val="000000"/>
        </w:rPr>
        <w:t>授权代表缴纳社保证明</w:t>
      </w:r>
    </w:p>
    <w:p>
      <w:pPr>
        <w:rPr>
          <w:rFonts w:ascii="宋体" w:hAnsi="宋体" w:cs="宋体"/>
        </w:rPr>
      </w:pPr>
      <w:r>
        <w:rPr>
          <w:rFonts w:hint="eastAsia" w:ascii="宋体" w:hAnsi="宋体" w:cs="宋体"/>
          <w:lang w:bidi="ar"/>
        </w:rPr>
        <w:t>请响应供应商提供证明</w:t>
      </w:r>
    </w:p>
    <w:p>
      <w:pPr>
        <w:widowControl/>
        <w:jc w:val="left"/>
        <w:rPr>
          <w:rFonts w:ascii="宋体" w:hAnsi="宋体" w:cs="宋体"/>
          <w:color w:val="000000"/>
        </w:rPr>
      </w:pPr>
      <w:r>
        <w:rPr>
          <w:rFonts w:hint="eastAsia" w:ascii="宋体" w:hAnsi="宋体" w:cs="宋体"/>
          <w:color w:val="000000"/>
          <w:lang w:bidi="ar"/>
        </w:rPr>
        <w:br w:type="page"/>
      </w:r>
    </w:p>
    <w:p>
      <w:pPr>
        <w:pStyle w:val="4"/>
        <w:widowControl/>
        <w:spacing w:before="0" w:after="0"/>
        <w:jc w:val="center"/>
        <w:rPr>
          <w:rFonts w:ascii="宋体" w:hAnsi="宋体" w:eastAsia="宋体" w:cs="宋体"/>
          <w:color w:val="000000"/>
        </w:rPr>
      </w:pPr>
      <w:r>
        <w:rPr>
          <w:rFonts w:hint="eastAsia" w:ascii="宋体" w:hAnsi="宋体" w:eastAsia="宋体" w:cs="宋体"/>
          <w:color w:val="000000"/>
        </w:rPr>
        <w:t>采购违法行为风险知悉确认书</w:t>
      </w:r>
    </w:p>
    <w:p>
      <w:pPr>
        <w:spacing w:line="276" w:lineRule="auto"/>
        <w:ind w:firstLine="420" w:firstLineChars="200"/>
        <w:rPr>
          <w:rFonts w:ascii="宋体" w:hAnsi="宋体" w:cs="宋体"/>
          <w:kern w:val="0"/>
          <w:szCs w:val="21"/>
        </w:rPr>
      </w:pPr>
      <w:r>
        <w:rPr>
          <w:rFonts w:hint="eastAsia" w:ascii="宋体" w:hAnsi="宋体" w:cs="宋体"/>
          <w:szCs w:val="21"/>
          <w:lang w:bidi="ar"/>
        </w:rPr>
        <w:t>本公司在响应前已充分知悉以下情形为参与政府采购活动时的重大风险事项，并承诺已对下述风险提示事项重点排查，做到严谨、诚信、依法依规参与政府采购活动。</w:t>
      </w:r>
    </w:p>
    <w:p>
      <w:pPr>
        <w:spacing w:line="276" w:lineRule="auto"/>
        <w:ind w:firstLine="422" w:firstLineChars="200"/>
        <w:rPr>
          <w:rFonts w:ascii="宋体" w:hAnsi="宋体" w:cs="宋体"/>
          <w:szCs w:val="21"/>
        </w:rPr>
      </w:pPr>
      <w:r>
        <w:rPr>
          <w:rFonts w:hint="eastAsia" w:ascii="宋体" w:hAnsi="宋体" w:cs="宋体"/>
          <w:b/>
          <w:bCs/>
          <w:szCs w:val="21"/>
          <w:lang w:bidi="ar"/>
        </w:rPr>
        <w:t>一、本公司已充分知悉“隐瞒真实情况，提供虚假资料”的法定情形，相关情形包括但不限于</w:t>
      </w:r>
      <w:r>
        <w:rPr>
          <w:rFonts w:hint="eastAsia" w:ascii="宋体" w:hAnsi="宋体" w:cs="宋体"/>
          <w:szCs w:val="21"/>
          <w:lang w:bidi="ar"/>
        </w:rPr>
        <w:t>：</w:t>
      </w:r>
    </w:p>
    <w:p>
      <w:pPr>
        <w:spacing w:line="276" w:lineRule="auto"/>
        <w:ind w:firstLine="420" w:firstLineChars="200"/>
        <w:rPr>
          <w:rFonts w:ascii="宋体" w:hAnsi="宋体" w:cs="宋体"/>
          <w:szCs w:val="21"/>
        </w:rPr>
      </w:pPr>
      <w:r>
        <w:rPr>
          <w:rFonts w:hint="eastAsia" w:ascii="宋体" w:hAnsi="宋体" w:cs="宋体"/>
          <w:szCs w:val="21"/>
          <w:lang w:bidi="ar"/>
        </w:rPr>
        <w:t>（一）通过转让或者租借等方式从其他单位获取资格或者资质证书响应的。</w:t>
      </w:r>
    </w:p>
    <w:p>
      <w:pPr>
        <w:spacing w:line="276" w:lineRule="auto"/>
        <w:ind w:firstLine="420" w:firstLineChars="200"/>
        <w:rPr>
          <w:rFonts w:ascii="宋体" w:hAnsi="宋体" w:cs="宋体"/>
          <w:szCs w:val="21"/>
        </w:rPr>
      </w:pPr>
      <w:r>
        <w:rPr>
          <w:rFonts w:hint="eastAsia" w:ascii="宋体" w:hAnsi="宋体" w:cs="宋体"/>
          <w:szCs w:val="21"/>
          <w:lang w:bidi="ar"/>
        </w:rPr>
        <w:t>（二）由其他单位或者其他单位负责人在响应供应商编制的响应文件上加盖印章或者签字的。</w:t>
      </w:r>
    </w:p>
    <w:p>
      <w:pPr>
        <w:spacing w:line="276" w:lineRule="auto"/>
        <w:ind w:firstLine="420" w:firstLineChars="200"/>
        <w:rPr>
          <w:rFonts w:ascii="宋体" w:hAnsi="宋体" w:cs="宋体"/>
          <w:szCs w:val="21"/>
        </w:rPr>
      </w:pPr>
      <w:r>
        <w:rPr>
          <w:rFonts w:hint="eastAsia" w:ascii="宋体" w:hAnsi="宋体" w:cs="宋体"/>
          <w:szCs w:val="21"/>
          <w:lang w:bidi="ar"/>
        </w:rPr>
        <w:t>（三）项目负责人或者主要技术人员不是本单位人员的。</w:t>
      </w:r>
    </w:p>
    <w:p>
      <w:pPr>
        <w:spacing w:line="276" w:lineRule="auto"/>
        <w:ind w:firstLine="420" w:firstLineChars="200"/>
        <w:rPr>
          <w:rFonts w:ascii="宋体" w:hAnsi="宋体" w:cs="宋体"/>
          <w:szCs w:val="21"/>
        </w:rPr>
      </w:pPr>
      <w:r>
        <w:rPr>
          <w:rFonts w:hint="eastAsia" w:ascii="宋体" w:hAnsi="宋体" w:cs="宋体"/>
          <w:szCs w:val="21"/>
          <w:lang w:bidi="ar"/>
        </w:rPr>
        <w:t>（四）投标保证金不是从投标供应商基本账户转出的。</w:t>
      </w:r>
    </w:p>
    <w:p>
      <w:pPr>
        <w:spacing w:line="276" w:lineRule="auto"/>
        <w:ind w:firstLine="420" w:firstLineChars="200"/>
        <w:rPr>
          <w:rFonts w:ascii="宋体" w:hAnsi="宋体" w:cs="宋体"/>
          <w:szCs w:val="21"/>
        </w:rPr>
      </w:pPr>
      <w:r>
        <w:rPr>
          <w:rFonts w:hint="eastAsia" w:ascii="宋体" w:hAnsi="宋体" w:cs="宋体"/>
          <w:szCs w:val="21"/>
          <w:lang w:bidi="ar"/>
        </w:rPr>
        <w:t>（五）其他隐瞒真实情况、提供虚假资料的行为。</w:t>
      </w:r>
    </w:p>
    <w:p>
      <w:pPr>
        <w:spacing w:line="276" w:lineRule="auto"/>
        <w:ind w:firstLine="422" w:firstLineChars="200"/>
        <w:rPr>
          <w:rFonts w:ascii="宋体" w:hAnsi="宋体" w:cs="宋体"/>
          <w:szCs w:val="21"/>
        </w:rPr>
      </w:pPr>
      <w:r>
        <w:rPr>
          <w:rFonts w:hint="eastAsia" w:ascii="宋体" w:hAnsi="宋体" w:cs="宋体"/>
          <w:b/>
          <w:bCs/>
          <w:szCs w:val="21"/>
          <w:lang w:bidi="ar"/>
        </w:rPr>
        <w:t>二、本公司已充分知悉“与其他采购参加人串通报价”的法定情形，相关情形包括但不限于：</w:t>
      </w:r>
    </w:p>
    <w:p>
      <w:pPr>
        <w:spacing w:line="276" w:lineRule="auto"/>
        <w:ind w:firstLine="420" w:firstLineChars="200"/>
        <w:rPr>
          <w:rFonts w:ascii="宋体" w:hAnsi="宋体" w:cs="宋体"/>
          <w:szCs w:val="21"/>
        </w:rPr>
      </w:pPr>
      <w:r>
        <w:rPr>
          <w:rFonts w:hint="eastAsia" w:ascii="宋体" w:hAnsi="宋体" w:cs="宋体"/>
          <w:szCs w:val="21"/>
          <w:lang w:bidi="ar"/>
        </w:rPr>
        <w:t xml:space="preserve">（一）响应供应商之间相互约定给予未成交的供应商利益补偿。 </w:t>
      </w:r>
    </w:p>
    <w:p>
      <w:pPr>
        <w:spacing w:line="276" w:lineRule="auto"/>
        <w:ind w:firstLine="420" w:firstLineChars="200"/>
        <w:rPr>
          <w:rFonts w:ascii="宋体" w:hAnsi="宋体" w:cs="宋体"/>
          <w:szCs w:val="21"/>
        </w:rPr>
      </w:pPr>
      <w:r>
        <w:rPr>
          <w:rFonts w:hint="eastAsia" w:ascii="宋体" w:hAnsi="宋体" w:cs="宋体"/>
          <w:szCs w:val="21"/>
          <w:lang w:bidi="ar"/>
        </w:rPr>
        <w:t>（二）不同响应供应商的法定代表人、主要经营负责人、项目响应授权代表人、项目负责人、主要技术人员为同一人、属同一单位或者在同一单位缴纳社会保险。</w:t>
      </w:r>
    </w:p>
    <w:p>
      <w:pPr>
        <w:spacing w:line="276" w:lineRule="auto"/>
        <w:ind w:firstLine="420" w:firstLineChars="200"/>
        <w:rPr>
          <w:rFonts w:ascii="宋体" w:hAnsi="宋体" w:cs="宋体"/>
          <w:szCs w:val="21"/>
        </w:rPr>
      </w:pPr>
      <w:r>
        <w:rPr>
          <w:rFonts w:hint="eastAsia" w:ascii="宋体" w:hAnsi="宋体" w:cs="宋体"/>
          <w:szCs w:val="21"/>
          <w:lang w:bidi="ar"/>
        </w:rPr>
        <w:t>（三）不同响应供应商的响应文件由同一单位或者同一人编制，或者由同一人分阶段参与编制的。</w:t>
      </w:r>
    </w:p>
    <w:p>
      <w:pPr>
        <w:spacing w:line="276" w:lineRule="auto"/>
        <w:ind w:firstLine="420" w:firstLineChars="200"/>
        <w:rPr>
          <w:rFonts w:ascii="宋体" w:hAnsi="宋体" w:cs="宋体"/>
          <w:szCs w:val="21"/>
        </w:rPr>
      </w:pPr>
      <w:r>
        <w:rPr>
          <w:rFonts w:hint="eastAsia" w:ascii="宋体" w:hAnsi="宋体" w:cs="宋体"/>
          <w:szCs w:val="21"/>
          <w:lang w:bidi="ar"/>
        </w:rPr>
        <w:t>（四）不同响应供应商的响应文件或部分响应文件相互混装。</w:t>
      </w:r>
    </w:p>
    <w:p>
      <w:pPr>
        <w:spacing w:line="276" w:lineRule="auto"/>
        <w:ind w:firstLine="420" w:firstLineChars="200"/>
        <w:rPr>
          <w:rFonts w:ascii="宋体" w:hAnsi="宋体" w:cs="宋体"/>
          <w:szCs w:val="21"/>
        </w:rPr>
      </w:pPr>
      <w:r>
        <w:rPr>
          <w:rFonts w:hint="eastAsia" w:ascii="宋体" w:hAnsi="宋体" w:cs="宋体"/>
          <w:szCs w:val="21"/>
          <w:lang w:bidi="ar"/>
        </w:rPr>
        <w:t>（五）不同响应供应商的响应文件内容存在非正常一致。</w:t>
      </w:r>
    </w:p>
    <w:p>
      <w:pPr>
        <w:spacing w:line="276" w:lineRule="auto"/>
        <w:ind w:firstLine="420" w:firstLineChars="200"/>
        <w:rPr>
          <w:rFonts w:ascii="宋体" w:hAnsi="宋体" w:cs="宋体"/>
          <w:szCs w:val="21"/>
        </w:rPr>
      </w:pPr>
      <w:r>
        <w:rPr>
          <w:rFonts w:hint="eastAsia" w:ascii="宋体" w:hAnsi="宋体" w:cs="宋体"/>
          <w:szCs w:val="21"/>
          <w:lang w:bidi="ar"/>
        </w:rPr>
        <w:t>（六）由同一单位工作人员为两家以上（含两家）供应商进行同一项响应活动的。</w:t>
      </w:r>
    </w:p>
    <w:p>
      <w:pPr>
        <w:spacing w:line="276" w:lineRule="auto"/>
        <w:ind w:firstLine="420" w:firstLineChars="200"/>
        <w:rPr>
          <w:rFonts w:ascii="宋体" w:hAnsi="宋体" w:cs="宋体"/>
          <w:szCs w:val="21"/>
        </w:rPr>
      </w:pPr>
      <w:r>
        <w:rPr>
          <w:rFonts w:hint="eastAsia" w:ascii="宋体" w:hAnsi="宋体" w:cs="宋体"/>
          <w:szCs w:val="21"/>
          <w:lang w:bidi="ar"/>
        </w:rPr>
        <w:t>（七）不同供应商的响应报价呈规律性差异。</w:t>
      </w:r>
    </w:p>
    <w:p>
      <w:pPr>
        <w:spacing w:line="276" w:lineRule="auto"/>
        <w:ind w:firstLine="420" w:firstLineChars="200"/>
        <w:rPr>
          <w:rFonts w:ascii="宋体" w:hAnsi="宋体" w:cs="宋体"/>
          <w:szCs w:val="21"/>
        </w:rPr>
      </w:pPr>
      <w:r>
        <w:rPr>
          <w:rFonts w:hint="eastAsia" w:ascii="宋体" w:hAnsi="宋体" w:cs="宋体"/>
          <w:szCs w:val="21"/>
          <w:lang w:bidi="ar"/>
        </w:rPr>
        <w:t>（八）不同供应商的投标保证金从同一单位或者个人的账户转出。</w:t>
      </w:r>
    </w:p>
    <w:p>
      <w:pPr>
        <w:spacing w:line="276" w:lineRule="auto"/>
        <w:ind w:firstLine="420" w:firstLineChars="200"/>
        <w:rPr>
          <w:rFonts w:ascii="宋体" w:hAnsi="宋体" w:cs="宋体"/>
          <w:szCs w:val="21"/>
        </w:rPr>
      </w:pPr>
      <w:r>
        <w:rPr>
          <w:rFonts w:hint="eastAsia" w:ascii="宋体" w:hAnsi="宋体" w:cs="宋体"/>
          <w:szCs w:val="21"/>
          <w:lang w:bidi="ar"/>
        </w:rPr>
        <w:t>（九）主管部门依照法律、法规认定的其他情形。</w:t>
      </w:r>
    </w:p>
    <w:p>
      <w:pPr>
        <w:spacing w:line="276" w:lineRule="auto"/>
        <w:ind w:firstLine="422" w:firstLineChars="200"/>
        <w:rPr>
          <w:rFonts w:ascii="宋体" w:hAnsi="宋体" w:cs="宋体"/>
          <w:b/>
          <w:bCs/>
          <w:szCs w:val="21"/>
        </w:rPr>
      </w:pPr>
      <w:r>
        <w:rPr>
          <w:rFonts w:hint="eastAsia" w:ascii="宋体" w:hAnsi="宋体" w:cs="宋体"/>
          <w:b/>
          <w:bCs/>
          <w:szCs w:val="21"/>
          <w:lang w:bidi="ar"/>
        </w:rPr>
        <w:t>三、本公司已充分知悉下列情形所对应的法律风险，并在响应前已对相关风险事项进行排查。</w:t>
      </w:r>
    </w:p>
    <w:p>
      <w:pPr>
        <w:spacing w:line="276" w:lineRule="auto"/>
        <w:ind w:firstLine="420" w:firstLineChars="200"/>
        <w:rPr>
          <w:rFonts w:ascii="宋体" w:hAnsi="宋体" w:cs="宋体"/>
          <w:b/>
          <w:bCs/>
          <w:szCs w:val="21"/>
        </w:rPr>
      </w:pPr>
      <w:r>
        <w:rPr>
          <w:rFonts w:hint="eastAsia" w:ascii="宋体" w:hAnsi="宋体" w:cs="宋体"/>
          <w:szCs w:val="21"/>
          <w:lang w:bidi="ar"/>
        </w:rPr>
        <w:t>（一）对于从其他主体获取的响应资料，供应商应审慎核查，确保响应资料的真实性。</w:t>
      </w:r>
      <w:r>
        <w:rPr>
          <w:rFonts w:hint="eastAsia" w:ascii="宋体" w:hAnsi="宋体" w:cs="宋体"/>
          <w:b/>
          <w:bCs/>
          <w:szCs w:val="21"/>
          <w:lang w:bidi="ar"/>
        </w:rPr>
        <w:t>如主管部门查实响应文件中存在虚假资料的，无论相关资料是否由第三方或本公司员工提供，均不影响主管部门对供应商存在“隐瞒真实情况，提供虚假资料”违法行为的认定。</w:t>
      </w:r>
    </w:p>
    <w:p>
      <w:pPr>
        <w:spacing w:line="276" w:lineRule="auto"/>
        <w:ind w:firstLine="420" w:firstLineChars="200"/>
        <w:rPr>
          <w:rFonts w:ascii="宋体" w:hAnsi="宋体" w:cs="宋体"/>
          <w:szCs w:val="21"/>
        </w:rPr>
      </w:pPr>
      <w:r>
        <w:rPr>
          <w:rFonts w:hint="eastAsia" w:ascii="宋体" w:hAnsi="宋体" w:cs="宋体"/>
          <w:szCs w:val="21"/>
          <w:lang w:bidi="ar"/>
        </w:rPr>
        <w:t>（二）对于涉及国家机关出具的公文、证件、证明材料等文件，一旦涉嫌虚假，经查实，主管部门将依法从严处理，并移送有关部门追究法律责任；涉嫌犯罪的，主管部门将一并移送司法机关追究法律责任。</w:t>
      </w:r>
    </w:p>
    <w:p>
      <w:pPr>
        <w:spacing w:line="276" w:lineRule="auto"/>
        <w:ind w:firstLine="420" w:firstLineChars="200"/>
        <w:rPr>
          <w:rFonts w:ascii="宋体" w:hAnsi="宋体" w:cs="宋体"/>
          <w:szCs w:val="21"/>
        </w:rPr>
      </w:pPr>
      <w:r>
        <w:rPr>
          <w:rFonts w:hint="eastAsia" w:ascii="宋体" w:hAnsi="宋体" w:cs="宋体"/>
          <w:szCs w:val="21"/>
          <w:lang w:bidi="ar"/>
        </w:rPr>
        <w:t xml:space="preserve">（三）对于涉及安全生产、特种作业、抢险救灾、防疫等政府采购项目，供应商实施提供虚假资料、串通响应等违法行为的，主管部门将依法从严处理。 </w:t>
      </w:r>
    </w:p>
    <w:p>
      <w:pPr>
        <w:spacing w:line="276" w:lineRule="auto"/>
        <w:ind w:firstLine="420" w:firstLineChars="200"/>
        <w:rPr>
          <w:rFonts w:ascii="宋体" w:hAnsi="宋体" w:cs="宋体"/>
          <w:szCs w:val="21"/>
        </w:rPr>
      </w:pPr>
      <w:r>
        <w:rPr>
          <w:rFonts w:hint="eastAsia" w:ascii="宋体" w:hAnsi="宋体" w:cs="宋体"/>
          <w:szCs w:val="21"/>
          <w:lang w:bidi="ar"/>
        </w:rPr>
        <w:t>（四）供应商应严格规范项目授权代表、员工参与响应的行为，加强对响应文件的审核。项目授权代表、员工编制、上传响应文件等行为违反政府采购法律法规或采购文件要求的，响应供应商应当依法承担相应法律责任。</w:t>
      </w:r>
    </w:p>
    <w:p>
      <w:pPr>
        <w:spacing w:line="276" w:lineRule="auto"/>
        <w:ind w:firstLine="420" w:firstLineChars="200"/>
        <w:jc w:val="left"/>
        <w:rPr>
          <w:rFonts w:ascii="宋体" w:hAnsi="宋体" w:cs="宋体"/>
          <w:szCs w:val="21"/>
        </w:rPr>
      </w:pPr>
      <w:r>
        <w:rPr>
          <w:rFonts w:hint="eastAsia" w:ascii="宋体" w:hAnsi="宋体" w:cs="宋体"/>
          <w:szCs w:val="21"/>
          <w:lang w:bidi="ar"/>
        </w:rPr>
        <w:t>（五）供应商对响应电子密钥负有妥善保管、及时变更和续期等主体责任。供应商使用电子密钥在深圳政府采购网站进行的活动，均具有法律效力，须承担相应的法律后果。供应商擅自将响应密钥出借他人使用所造成的法律后果，由供应商自行承担。</w:t>
      </w:r>
    </w:p>
    <w:p>
      <w:pPr>
        <w:spacing w:line="276" w:lineRule="auto"/>
        <w:ind w:firstLine="420" w:firstLineChars="200"/>
        <w:rPr>
          <w:rFonts w:ascii="宋体" w:hAnsi="宋体" w:cs="宋体"/>
          <w:szCs w:val="21"/>
        </w:rPr>
      </w:pPr>
      <w:r>
        <w:rPr>
          <w:rFonts w:hint="eastAsia" w:ascii="宋体" w:hAnsi="宋体" w:cs="宋体"/>
          <w:szCs w:val="21"/>
          <w:lang w:bidi="ar"/>
        </w:rPr>
        <w:t>（六）单位负责人为同一人或者存在直接控股、管理关系的不同供应商，不得参加同一合同项下的政府采购活动。相关情形如查实，依法作响应无效处理；涉嫌串通响应等违法行为的，主管部门将依法调查处理。</w:t>
      </w:r>
    </w:p>
    <w:p>
      <w:pPr>
        <w:spacing w:line="276" w:lineRule="auto"/>
        <w:ind w:firstLine="422" w:firstLineChars="200"/>
        <w:rPr>
          <w:rFonts w:ascii="宋体" w:hAnsi="宋体" w:cs="宋体"/>
          <w:b/>
          <w:bCs/>
          <w:szCs w:val="21"/>
        </w:rPr>
      </w:pPr>
      <w:r>
        <w:rPr>
          <w:rFonts w:hint="eastAsia" w:ascii="宋体" w:hAnsi="宋体" w:cs="宋体"/>
          <w:b/>
          <w:bCs/>
          <w:szCs w:val="21"/>
          <w:lang w:bidi="ar"/>
        </w:rPr>
        <w:t>四、本公司已充分知悉政府采购违法、违规行为的法律后果。</w:t>
      </w:r>
      <w:r>
        <w:rPr>
          <w:rFonts w:hint="eastAsia" w:ascii="宋体" w:hAnsi="宋体" w:cs="宋体"/>
          <w:szCs w:val="21"/>
          <w:lang w:bidi="ar"/>
        </w:rPr>
        <w:t>经查实，若响应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276" w:lineRule="auto"/>
        <w:ind w:firstLine="422" w:firstLineChars="200"/>
        <w:rPr>
          <w:rFonts w:ascii="宋体" w:hAnsi="宋体" w:cs="宋体"/>
          <w:szCs w:val="21"/>
        </w:rPr>
      </w:pPr>
      <w:r>
        <w:rPr>
          <w:rFonts w:hint="eastAsia" w:ascii="宋体" w:hAnsi="宋体" w:cs="宋体"/>
          <w:b/>
          <w:szCs w:val="21"/>
          <w:u w:val="double"/>
          <w:lang w:bidi="ar"/>
        </w:rPr>
        <w:t>以下文字请响应供应商抄写并确认</w:t>
      </w:r>
      <w:r>
        <w:rPr>
          <w:rFonts w:hint="eastAsia" w:ascii="宋体" w:hAnsi="宋体" w:cs="宋体"/>
          <w:szCs w:val="21"/>
          <w:lang w:bidi="ar"/>
        </w:rPr>
        <w:t>：“本公司已仔细阅读《政府采购违法行为风险知悉确认书》，充分知悉违法行为的法律后果，并承诺将严谨、诚信、依法依规参与政府采购活动”。</w:t>
      </w:r>
    </w:p>
    <w:p>
      <w:pPr>
        <w:spacing w:line="579" w:lineRule="exact"/>
        <w:rPr>
          <w:rFonts w:ascii="宋体" w:hAnsi="宋体" w:cs="宋体"/>
          <w:szCs w:val="21"/>
          <w:u w:val="single"/>
        </w:rPr>
      </w:pPr>
      <w:r>
        <w:rPr>
          <w:rFonts w:hint="eastAsia" w:ascii="宋体" w:hAnsi="宋体" w:cs="宋体"/>
          <w:szCs w:val="21"/>
          <w:u w:val="single"/>
          <w:lang w:bidi="ar"/>
        </w:rPr>
        <w:t xml:space="preserve">                                                                               </w:t>
      </w:r>
    </w:p>
    <w:p>
      <w:pPr>
        <w:spacing w:line="579" w:lineRule="exact"/>
        <w:rPr>
          <w:rFonts w:ascii="宋体" w:hAnsi="宋体" w:cs="宋体"/>
          <w:szCs w:val="21"/>
          <w:u w:val="single"/>
        </w:rPr>
      </w:pPr>
      <w:r>
        <w:rPr>
          <w:rFonts w:hint="eastAsia" w:ascii="宋体" w:hAnsi="宋体" w:cs="宋体"/>
          <w:szCs w:val="21"/>
          <w:u w:val="single"/>
          <w:lang w:bidi="ar"/>
        </w:rPr>
        <w:t xml:space="preserve">                                                                               </w:t>
      </w:r>
    </w:p>
    <w:p>
      <w:pPr>
        <w:spacing w:line="360" w:lineRule="auto"/>
        <w:rPr>
          <w:rFonts w:ascii="宋体" w:hAnsi="宋体" w:cs="宋体"/>
          <w:b/>
          <w:bCs/>
          <w:szCs w:val="21"/>
        </w:rPr>
      </w:pPr>
    </w:p>
    <w:p>
      <w:pPr>
        <w:spacing w:line="579" w:lineRule="exact"/>
        <w:rPr>
          <w:rFonts w:ascii="宋体" w:hAnsi="宋体" w:cs="宋体"/>
          <w:szCs w:val="21"/>
        </w:rPr>
      </w:pPr>
      <w:r>
        <w:rPr>
          <w:rFonts w:hint="eastAsia" w:ascii="宋体" w:hAnsi="宋体" w:cs="宋体"/>
          <w:szCs w:val="21"/>
          <w:lang w:bidi="ar"/>
        </w:rPr>
        <w:t xml:space="preserve">                    负责人/响应授权代表签名：</w:t>
      </w:r>
    </w:p>
    <w:p>
      <w:pPr>
        <w:spacing w:line="579" w:lineRule="exact"/>
        <w:ind w:firstLine="2100" w:firstLineChars="1000"/>
        <w:rPr>
          <w:rFonts w:ascii="宋体" w:hAnsi="宋体" w:cs="宋体"/>
          <w:szCs w:val="21"/>
        </w:rPr>
      </w:pPr>
      <w:r>
        <w:rPr>
          <w:rFonts w:hint="eastAsia" w:ascii="宋体" w:hAnsi="宋体" w:cs="宋体"/>
          <w:szCs w:val="21"/>
          <w:lang w:bidi="ar"/>
        </w:rPr>
        <w:t>知悉人（公章）：</w:t>
      </w:r>
    </w:p>
    <w:p>
      <w:pPr>
        <w:spacing w:line="579" w:lineRule="exact"/>
        <w:rPr>
          <w:rFonts w:ascii="宋体" w:hAnsi="宋体" w:cs="宋体"/>
          <w:szCs w:val="21"/>
        </w:rPr>
      </w:pPr>
      <w:r>
        <w:rPr>
          <w:rFonts w:hint="eastAsia" w:ascii="宋体" w:hAnsi="宋体" w:cs="宋体"/>
          <w:szCs w:val="21"/>
          <w:lang w:bidi="ar"/>
        </w:rPr>
        <w:t xml:space="preserve">                    日期：</w:t>
      </w:r>
    </w:p>
    <w:p>
      <w:pPr>
        <w:widowControl/>
        <w:jc w:val="left"/>
        <w:rPr>
          <w:rFonts w:ascii="宋体" w:hAnsi="宋体" w:cs="宋体"/>
        </w:rPr>
      </w:pPr>
      <w:r>
        <w:rPr>
          <w:rFonts w:hint="eastAsia" w:ascii="宋体" w:hAnsi="宋体" w:cs="宋体"/>
          <w:lang w:bidi="ar"/>
        </w:rPr>
        <w:br w:type="page"/>
      </w:r>
    </w:p>
    <w:p>
      <w:pPr>
        <w:pStyle w:val="4"/>
        <w:spacing w:line="240" w:lineRule="auto"/>
        <w:jc w:val="center"/>
        <w:rPr>
          <w:rFonts w:ascii="宋体" w:hAnsi="宋体" w:eastAsia="宋体" w:cs="宋体"/>
          <w:sz w:val="30"/>
          <w:szCs w:val="30"/>
        </w:rPr>
      </w:pPr>
      <w:r>
        <w:rPr>
          <w:rFonts w:hint="eastAsia" w:ascii="宋体" w:hAnsi="宋体" w:eastAsia="宋体" w:cs="宋体"/>
          <w:sz w:val="30"/>
          <w:szCs w:val="30"/>
        </w:rPr>
        <w:t>技术规格偏离表</w:t>
      </w:r>
    </w:p>
    <w:p>
      <w:pPr>
        <w:spacing w:line="400" w:lineRule="exact"/>
        <w:rPr>
          <w:rFonts w:ascii="宋体" w:hAnsi="宋体" w:cs="宋体"/>
        </w:rPr>
      </w:pPr>
      <w:r>
        <w:rPr>
          <w:rFonts w:hint="eastAsia" w:ascii="宋体" w:hAnsi="宋体" w:cs="宋体"/>
        </w:rPr>
        <w:t>说明：</w:t>
      </w:r>
    </w:p>
    <w:p>
      <w:pPr>
        <w:pStyle w:val="18"/>
        <w:numPr>
          <w:ilvl w:val="0"/>
          <w:numId w:val="28"/>
        </w:numPr>
        <w:shd w:val="clear" w:color="auto" w:fill="FFFFFF"/>
        <w:spacing w:line="360" w:lineRule="auto"/>
        <w:ind w:left="420"/>
        <w:rPr>
          <w:sz w:val="21"/>
          <w:szCs w:val="21"/>
        </w:rPr>
      </w:pPr>
      <w:r>
        <w:rPr>
          <w:rFonts w:hint="eastAsia"/>
          <w:sz w:val="21"/>
          <w:szCs w:val="21"/>
        </w:rPr>
        <w:t>供应商必须对应综合评审文件条款逐条应答并按要求填写下表。</w:t>
      </w:r>
    </w:p>
    <w:p>
      <w:pPr>
        <w:pStyle w:val="18"/>
        <w:numPr>
          <w:ilvl w:val="0"/>
          <w:numId w:val="28"/>
        </w:numPr>
        <w:shd w:val="clear" w:color="auto" w:fill="FFFFFF"/>
        <w:spacing w:line="360" w:lineRule="auto"/>
        <w:ind w:left="420"/>
        <w:rPr>
          <w:sz w:val="21"/>
          <w:szCs w:val="21"/>
          <w:lang w:val="zh-CN"/>
        </w:rPr>
      </w:pPr>
      <w:r>
        <w:rPr>
          <w:rFonts w:hint="eastAsia"/>
          <w:sz w:val="21"/>
          <w:szCs w:val="21"/>
        </w:rPr>
        <w:t>本表的 “用户需求书条款描述”的条款与用户需求中的条款描述不一致的，以用户需求中规定的为准。</w:t>
      </w:r>
    </w:p>
    <w:tbl>
      <w:tblPr>
        <w:tblStyle w:val="22"/>
        <w:tblW w:w="90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515"/>
        <w:gridCol w:w="2341"/>
        <w:gridCol w:w="1750"/>
        <w:gridCol w:w="16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30" w:type="dxa"/>
            <w:shd w:val="clear" w:color="auto" w:fill="auto"/>
            <w:vAlign w:val="center"/>
          </w:tcPr>
          <w:p>
            <w:pPr>
              <w:jc w:val="center"/>
              <w:rPr>
                <w:rFonts w:ascii="宋体" w:hAnsi="宋体" w:cs="宋体"/>
                <w:b/>
                <w:bCs/>
                <w:szCs w:val="21"/>
              </w:rPr>
            </w:pPr>
            <w:r>
              <w:rPr>
                <w:rFonts w:hint="eastAsia" w:ascii="宋体" w:hAnsi="宋体" w:cs="宋体"/>
                <w:b/>
                <w:bCs/>
                <w:szCs w:val="21"/>
              </w:rPr>
              <w:t>序号</w:t>
            </w:r>
          </w:p>
        </w:tc>
        <w:tc>
          <w:tcPr>
            <w:tcW w:w="2515" w:type="dxa"/>
            <w:shd w:val="clear" w:color="auto" w:fill="auto"/>
            <w:vAlign w:val="center"/>
          </w:tcPr>
          <w:p>
            <w:pPr>
              <w:jc w:val="center"/>
              <w:rPr>
                <w:rFonts w:ascii="宋体" w:hAnsi="宋体" w:cs="宋体"/>
                <w:b/>
                <w:bCs/>
                <w:szCs w:val="21"/>
              </w:rPr>
            </w:pPr>
            <w:r>
              <w:rPr>
                <w:rFonts w:hint="eastAsia" w:ascii="宋体" w:hAnsi="宋体" w:cs="宋体"/>
                <w:b/>
                <w:bCs/>
                <w:szCs w:val="21"/>
              </w:rPr>
              <w:t>用户需求书条款</w:t>
            </w:r>
          </w:p>
        </w:tc>
        <w:tc>
          <w:tcPr>
            <w:tcW w:w="2341" w:type="dxa"/>
            <w:shd w:val="clear" w:color="auto" w:fill="auto"/>
            <w:vAlign w:val="center"/>
          </w:tcPr>
          <w:p>
            <w:pPr>
              <w:jc w:val="center"/>
              <w:rPr>
                <w:rFonts w:ascii="宋体" w:hAnsi="宋体" w:cs="宋体"/>
                <w:b/>
                <w:bCs/>
                <w:szCs w:val="21"/>
              </w:rPr>
            </w:pPr>
            <w:r>
              <w:rPr>
                <w:rFonts w:hint="eastAsia" w:ascii="宋体" w:hAnsi="宋体" w:cs="宋体"/>
                <w:b/>
                <w:bCs/>
                <w:szCs w:val="21"/>
              </w:rPr>
              <w:t>响应条款</w:t>
            </w:r>
          </w:p>
        </w:tc>
        <w:tc>
          <w:tcPr>
            <w:tcW w:w="1750" w:type="dxa"/>
            <w:shd w:val="clear" w:color="auto" w:fill="auto"/>
            <w:vAlign w:val="center"/>
          </w:tcPr>
          <w:p>
            <w:pPr>
              <w:jc w:val="center"/>
              <w:rPr>
                <w:rFonts w:ascii="宋体" w:hAnsi="宋体" w:cs="宋体"/>
                <w:b/>
                <w:bCs/>
                <w:szCs w:val="21"/>
              </w:rPr>
            </w:pPr>
            <w:r>
              <w:rPr>
                <w:rFonts w:hint="eastAsia" w:ascii="宋体" w:hAnsi="宋体" w:cs="宋体"/>
                <w:b/>
                <w:bCs/>
                <w:szCs w:val="21"/>
              </w:rPr>
              <w:t>偏离情况</w:t>
            </w:r>
          </w:p>
        </w:tc>
        <w:tc>
          <w:tcPr>
            <w:tcW w:w="1623" w:type="dxa"/>
            <w:shd w:val="clear" w:color="auto" w:fill="auto"/>
            <w:vAlign w:val="center"/>
          </w:tcPr>
          <w:p>
            <w:pPr>
              <w:jc w:val="center"/>
              <w:rPr>
                <w:rFonts w:ascii="宋体" w:hAnsi="宋体" w:cs="宋体"/>
                <w:b/>
                <w:bCs/>
                <w:szCs w:val="21"/>
              </w:rPr>
            </w:pPr>
            <w:r>
              <w:rPr>
                <w:rFonts w:hint="eastAsia" w:ascii="宋体" w:hAnsi="宋体" w:cs="宋体"/>
                <w:b/>
                <w:bCs/>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059" w:type="dxa"/>
            <w:gridSpan w:val="5"/>
            <w:shd w:val="clear" w:color="auto" w:fill="auto"/>
            <w:vAlign w:val="center"/>
          </w:tcPr>
          <w:p>
            <w:pPr>
              <w:rPr>
                <w:rFonts w:ascii="宋体" w:hAnsi="宋体" w:cs="宋体"/>
                <w:szCs w:val="21"/>
              </w:rPr>
            </w:pPr>
            <w:r>
              <w:rPr>
                <w:rFonts w:hint="eastAsia" w:ascii="宋体" w:hAnsi="宋体" w:cs="宋体"/>
                <w:b/>
              </w:rPr>
              <w:t>带“</w:t>
            </w:r>
            <w:r>
              <w:rPr>
                <w:rFonts w:hint="eastAsia" w:ascii="宋体" w:hAnsi="宋体" w:cs="宋体"/>
                <w:b/>
                <w:szCs w:val="21"/>
              </w:rPr>
              <w:t>★</w:t>
            </w:r>
            <w:r>
              <w:rPr>
                <w:rFonts w:hint="eastAsia" w:ascii="宋体" w:hAnsi="宋体" w:cs="宋体"/>
                <w:b/>
              </w:rPr>
              <w:t>”的实质性条款（如有）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1</w:t>
            </w:r>
          </w:p>
        </w:tc>
        <w:tc>
          <w:tcPr>
            <w:tcW w:w="2515" w:type="dxa"/>
            <w:shd w:val="clear" w:color="auto" w:fill="auto"/>
            <w:vAlign w:val="center"/>
          </w:tcPr>
          <w:p>
            <w:pPr>
              <w:overflowPunct w:val="0"/>
              <w:autoSpaceDE w:val="0"/>
              <w:autoSpaceDN w:val="0"/>
              <w:adjustRightInd w:val="0"/>
              <w:spacing w:line="276" w:lineRule="auto"/>
              <w:textAlignment w:val="baseline"/>
              <w:rPr>
                <w:rFonts w:ascii="宋体" w:hAnsi="宋体" w:cs="宋体"/>
                <w:szCs w:val="21"/>
              </w:rPr>
            </w:pPr>
            <w:r>
              <w:rPr>
                <w:rFonts w:hint="eastAsia" w:ascii="宋体" w:hAnsi="宋体" w:cs="宋体"/>
                <w:color w:val="000000"/>
                <w:szCs w:val="21"/>
              </w:rPr>
              <w:t>仪器一体化设计，一次可做至少4组样品，每个通道加热功率均可单独控制，可完成加热、蒸馏回流、冷却、氮吹控制、磁力搅拌、接收工作，且总功率应不超过2000 W；同时加热单位底部应预留导液孔，且仪器设有废液槽（需提供相关佐证材料）。</w:t>
            </w: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2</w:t>
            </w:r>
          </w:p>
        </w:tc>
        <w:tc>
          <w:tcPr>
            <w:tcW w:w="2515" w:type="dxa"/>
            <w:shd w:val="clear" w:color="auto" w:fill="auto"/>
            <w:vAlign w:val="center"/>
          </w:tcPr>
          <w:p>
            <w:pPr>
              <w:rPr>
                <w:rFonts w:ascii="宋体" w:hAnsi="宋体" w:cs="宋体"/>
                <w:szCs w:val="21"/>
              </w:rPr>
            </w:pPr>
            <w:r>
              <w:rPr>
                <w:rFonts w:hint="eastAsia" w:ascii="宋体" w:hAnsi="宋体" w:cs="宋体"/>
                <w:color w:val="000000"/>
                <w:szCs w:val="21"/>
              </w:rPr>
              <w:t>冷凝瓶采用防滴水设计，配套接收管路试管口放置装置。</w:t>
            </w: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3</w:t>
            </w:r>
          </w:p>
        </w:tc>
        <w:tc>
          <w:tcPr>
            <w:tcW w:w="2515" w:type="dxa"/>
            <w:shd w:val="clear" w:color="auto" w:fill="auto"/>
            <w:vAlign w:val="center"/>
          </w:tcPr>
          <w:p>
            <w:pPr>
              <w:rPr>
                <w:rFonts w:ascii="宋体" w:hAnsi="宋体" w:cs="宋体"/>
                <w:szCs w:val="21"/>
              </w:rPr>
            </w:pPr>
            <w:r>
              <w:rPr>
                <w:rFonts w:hint="eastAsia" w:ascii="宋体" w:hAnsi="宋体" w:cs="宋体"/>
                <w:color w:val="000000"/>
                <w:szCs w:val="21"/>
              </w:rPr>
              <w:t>耐腐蚀型氮吹仪材质要求：整机喷镀特氟龙涂层，且涂层不易掉落；常规不锈钢材质不可。</w:t>
            </w: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059" w:type="dxa"/>
            <w:gridSpan w:val="5"/>
            <w:shd w:val="clear" w:color="auto" w:fill="auto"/>
            <w:vAlign w:val="center"/>
          </w:tcPr>
          <w:p>
            <w:pPr>
              <w:rPr>
                <w:rFonts w:ascii="宋体" w:hAnsi="宋体" w:cs="宋体"/>
                <w:szCs w:val="21"/>
              </w:rPr>
            </w:pPr>
            <w:r>
              <w:rPr>
                <w:rFonts w:hint="eastAsia" w:ascii="宋体" w:hAnsi="宋体" w:cs="宋体"/>
                <w:b/>
              </w:rPr>
              <w:t>带“</w:t>
            </w:r>
            <w:r>
              <w:rPr>
                <w:rFonts w:hint="eastAsia" w:ascii="宋体" w:hAnsi="宋体" w:cs="宋体"/>
                <w:color w:val="000000"/>
                <w:szCs w:val="21"/>
              </w:rPr>
              <w:t>▲</w:t>
            </w:r>
            <w:r>
              <w:rPr>
                <w:rFonts w:hint="eastAsia" w:ascii="宋体" w:hAnsi="宋体" w:cs="宋体"/>
                <w:b/>
              </w:rPr>
              <w:t>”的重要条款条款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1</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059" w:type="dxa"/>
            <w:gridSpan w:val="5"/>
            <w:shd w:val="clear" w:color="auto" w:fill="auto"/>
            <w:vAlign w:val="center"/>
          </w:tcPr>
          <w:p>
            <w:pPr>
              <w:rPr>
                <w:rFonts w:ascii="宋体" w:hAnsi="宋体" w:cs="宋体"/>
                <w:szCs w:val="21"/>
              </w:rPr>
            </w:pPr>
            <w:r>
              <w:rPr>
                <w:rFonts w:hint="eastAsia" w:ascii="宋体" w:hAnsi="宋体" w:cs="宋体"/>
                <w:b/>
              </w:rPr>
              <w:t>一般性条款（除带“</w:t>
            </w:r>
            <w:r>
              <w:rPr>
                <w:rFonts w:hint="eastAsia" w:ascii="宋体" w:hAnsi="宋体" w:cs="宋体"/>
                <w:b/>
                <w:szCs w:val="21"/>
              </w:rPr>
              <w:t>★</w:t>
            </w:r>
            <w:r>
              <w:rPr>
                <w:rFonts w:hint="eastAsia" w:ascii="宋体" w:hAnsi="宋体" w:cs="宋体"/>
                <w:b/>
              </w:rPr>
              <w:t>”和“</w:t>
            </w:r>
            <w:r>
              <w:rPr>
                <w:rFonts w:hint="eastAsia" w:ascii="宋体" w:hAnsi="宋体" w:cs="宋体"/>
                <w:color w:val="000000"/>
                <w:szCs w:val="21"/>
              </w:rPr>
              <w:t>▲</w:t>
            </w:r>
            <w:r>
              <w:rPr>
                <w:rFonts w:hint="eastAsia" w:ascii="宋体" w:hAnsi="宋体" w:cs="宋体"/>
                <w:b/>
              </w:rPr>
              <w:t>”之外的条款）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1</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2</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3</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4</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5</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bl>
    <w:p>
      <w:pPr>
        <w:spacing w:line="360" w:lineRule="auto"/>
        <w:ind w:right="84" w:rightChars="40"/>
        <w:rPr>
          <w:rFonts w:ascii="宋体" w:hAnsi="宋体" w:cs="宋体"/>
          <w:szCs w:val="21"/>
        </w:rPr>
      </w:pPr>
      <w:r>
        <w:rPr>
          <w:rFonts w:hint="eastAsia" w:ascii="宋体" w:hAnsi="宋体" w:cs="宋体"/>
          <w:szCs w:val="21"/>
        </w:rPr>
        <w:t>备注：供应商必须按综合评审文件要求附相关证明文件，如未提供的视为负偏离。</w:t>
      </w:r>
    </w:p>
    <w:p>
      <w:pPr>
        <w:widowControl/>
        <w:spacing w:line="360" w:lineRule="auto"/>
        <w:jc w:val="left"/>
        <w:rPr>
          <w:rFonts w:ascii="宋体" w:hAnsi="宋体" w:cs="宋体"/>
          <w:b/>
          <w:bCs/>
          <w:kern w:val="0"/>
          <w:sz w:val="32"/>
          <w:szCs w:val="32"/>
        </w:rPr>
      </w:pPr>
    </w:p>
    <w:p>
      <w:pPr>
        <w:wordWrap w:val="0"/>
        <w:spacing w:line="360" w:lineRule="auto"/>
        <w:jc w:val="right"/>
        <w:rPr>
          <w:rFonts w:ascii="宋体" w:hAnsi="宋体" w:cs="宋体"/>
          <w:szCs w:val="21"/>
          <w:u w:val="single"/>
        </w:rPr>
      </w:pPr>
      <w:r>
        <w:rPr>
          <w:rFonts w:hint="eastAsia" w:ascii="宋体" w:hAnsi="宋体" w:cs="宋体"/>
          <w:spacing w:val="4"/>
          <w:szCs w:val="21"/>
        </w:rPr>
        <w:t>供应商名称（</w:t>
      </w:r>
      <w:r>
        <w:rPr>
          <w:rFonts w:hint="eastAsia" w:ascii="宋体" w:hAnsi="宋体" w:cs="宋体"/>
          <w:szCs w:val="21"/>
        </w:rPr>
        <w:t>单位盖</w:t>
      </w:r>
      <w:r>
        <w:rPr>
          <w:rFonts w:hint="eastAsia" w:ascii="宋体" w:hAnsi="宋体" w:cs="宋体"/>
          <w:spacing w:val="4"/>
          <w:szCs w:val="21"/>
        </w:rPr>
        <w:t>公章）：</w:t>
      </w:r>
    </w:p>
    <w:p>
      <w:pPr>
        <w:spacing w:line="500" w:lineRule="exact"/>
        <w:jc w:val="right"/>
        <w:rPr>
          <w:rFonts w:ascii="宋体" w:hAnsi="宋体" w:cs="宋体"/>
          <w:spacing w:val="4"/>
          <w:szCs w:val="21"/>
        </w:rPr>
      </w:pPr>
      <w:r>
        <w:rPr>
          <w:rFonts w:hint="eastAsia" w:ascii="宋体" w:hAnsi="宋体" w:cs="宋体"/>
          <w:spacing w:val="4"/>
          <w:szCs w:val="21"/>
        </w:rPr>
        <w:t>日期：</w:t>
      </w:r>
    </w:p>
    <w:p>
      <w:pPr>
        <w:rPr>
          <w:rFonts w:ascii="宋体" w:hAnsi="宋体" w:cs="宋体"/>
          <w:sz w:val="30"/>
          <w:szCs w:val="30"/>
        </w:rPr>
      </w:pPr>
      <w:r>
        <w:rPr>
          <w:rFonts w:hint="eastAsia" w:ascii="宋体" w:hAnsi="宋体" w:cs="宋体"/>
          <w:sz w:val="30"/>
          <w:szCs w:val="30"/>
        </w:rPr>
        <w:br w:type="page"/>
      </w:r>
    </w:p>
    <w:p>
      <w:pPr>
        <w:pStyle w:val="4"/>
        <w:spacing w:line="240" w:lineRule="auto"/>
        <w:jc w:val="center"/>
        <w:rPr>
          <w:rFonts w:ascii="宋体" w:hAnsi="宋体" w:eastAsia="宋体" w:cs="宋体"/>
          <w:sz w:val="30"/>
          <w:szCs w:val="30"/>
        </w:rPr>
      </w:pPr>
      <w:r>
        <w:rPr>
          <w:rFonts w:hint="eastAsia" w:ascii="宋体" w:hAnsi="宋体" w:eastAsia="宋体" w:cs="宋体"/>
          <w:sz w:val="30"/>
          <w:szCs w:val="30"/>
        </w:rPr>
        <w:t>商务需求偏离表</w:t>
      </w:r>
    </w:p>
    <w:p>
      <w:pPr>
        <w:spacing w:line="400" w:lineRule="exact"/>
        <w:rPr>
          <w:rFonts w:ascii="宋体" w:hAnsi="宋体" w:cs="宋体"/>
        </w:rPr>
      </w:pPr>
      <w:r>
        <w:rPr>
          <w:rFonts w:hint="eastAsia" w:ascii="宋体" w:hAnsi="宋体" w:cs="宋体"/>
        </w:rPr>
        <w:t>说明：</w:t>
      </w:r>
    </w:p>
    <w:p>
      <w:pPr>
        <w:pStyle w:val="18"/>
        <w:numPr>
          <w:ilvl w:val="0"/>
          <w:numId w:val="28"/>
        </w:numPr>
        <w:shd w:val="clear" w:color="auto" w:fill="FFFFFF"/>
        <w:spacing w:line="360" w:lineRule="auto"/>
        <w:ind w:left="420"/>
        <w:rPr>
          <w:sz w:val="21"/>
          <w:szCs w:val="21"/>
        </w:rPr>
      </w:pPr>
      <w:r>
        <w:rPr>
          <w:rFonts w:hint="eastAsia"/>
          <w:sz w:val="21"/>
          <w:szCs w:val="21"/>
        </w:rPr>
        <w:t>供应商必须对应综合评审文件条款逐条应答并按要求填写下表。</w:t>
      </w:r>
    </w:p>
    <w:p>
      <w:pPr>
        <w:pStyle w:val="18"/>
        <w:numPr>
          <w:ilvl w:val="0"/>
          <w:numId w:val="28"/>
        </w:numPr>
        <w:shd w:val="clear" w:color="auto" w:fill="FFFFFF"/>
        <w:spacing w:line="360" w:lineRule="auto"/>
        <w:ind w:left="420"/>
        <w:rPr>
          <w:sz w:val="21"/>
          <w:szCs w:val="21"/>
          <w:lang w:val="zh-CN"/>
        </w:rPr>
      </w:pPr>
      <w:r>
        <w:rPr>
          <w:rFonts w:hint="eastAsia"/>
          <w:sz w:val="21"/>
          <w:szCs w:val="21"/>
        </w:rPr>
        <w:t>本表的 “用户需求书条款描述”的条款与用户需求中的条款描述不一致的，以用户需求中规定的为准。</w:t>
      </w:r>
    </w:p>
    <w:tbl>
      <w:tblPr>
        <w:tblStyle w:val="22"/>
        <w:tblW w:w="90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515"/>
        <w:gridCol w:w="2341"/>
        <w:gridCol w:w="1750"/>
        <w:gridCol w:w="16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30" w:type="dxa"/>
            <w:shd w:val="clear" w:color="auto" w:fill="auto"/>
            <w:vAlign w:val="center"/>
          </w:tcPr>
          <w:p>
            <w:pPr>
              <w:jc w:val="center"/>
              <w:rPr>
                <w:rFonts w:ascii="宋体" w:hAnsi="宋体" w:cs="宋体"/>
                <w:b/>
                <w:bCs/>
                <w:szCs w:val="21"/>
              </w:rPr>
            </w:pPr>
            <w:r>
              <w:rPr>
                <w:rFonts w:hint="eastAsia" w:ascii="宋体" w:hAnsi="宋体" w:cs="宋体"/>
                <w:b/>
                <w:bCs/>
                <w:szCs w:val="21"/>
              </w:rPr>
              <w:t>序号</w:t>
            </w:r>
          </w:p>
        </w:tc>
        <w:tc>
          <w:tcPr>
            <w:tcW w:w="2515" w:type="dxa"/>
            <w:shd w:val="clear" w:color="auto" w:fill="auto"/>
            <w:vAlign w:val="center"/>
          </w:tcPr>
          <w:p>
            <w:pPr>
              <w:jc w:val="center"/>
              <w:rPr>
                <w:rFonts w:ascii="宋体" w:hAnsi="宋体" w:cs="宋体"/>
                <w:b/>
                <w:bCs/>
                <w:szCs w:val="21"/>
              </w:rPr>
            </w:pPr>
            <w:r>
              <w:rPr>
                <w:rFonts w:hint="eastAsia" w:ascii="宋体" w:hAnsi="宋体" w:cs="宋体"/>
                <w:b/>
                <w:bCs/>
                <w:szCs w:val="21"/>
              </w:rPr>
              <w:t>用户需求书条款</w:t>
            </w:r>
          </w:p>
        </w:tc>
        <w:tc>
          <w:tcPr>
            <w:tcW w:w="2341" w:type="dxa"/>
            <w:shd w:val="clear" w:color="auto" w:fill="auto"/>
            <w:vAlign w:val="center"/>
          </w:tcPr>
          <w:p>
            <w:pPr>
              <w:jc w:val="center"/>
              <w:rPr>
                <w:rFonts w:ascii="宋体" w:hAnsi="宋体" w:cs="宋体"/>
                <w:b/>
                <w:bCs/>
                <w:szCs w:val="21"/>
              </w:rPr>
            </w:pPr>
            <w:r>
              <w:rPr>
                <w:rFonts w:hint="eastAsia" w:ascii="宋体" w:hAnsi="宋体" w:cs="宋体"/>
                <w:b/>
                <w:bCs/>
                <w:szCs w:val="21"/>
              </w:rPr>
              <w:t>响应条款</w:t>
            </w:r>
          </w:p>
        </w:tc>
        <w:tc>
          <w:tcPr>
            <w:tcW w:w="1750" w:type="dxa"/>
            <w:shd w:val="clear" w:color="auto" w:fill="auto"/>
            <w:vAlign w:val="center"/>
          </w:tcPr>
          <w:p>
            <w:pPr>
              <w:jc w:val="center"/>
              <w:rPr>
                <w:rFonts w:ascii="宋体" w:hAnsi="宋体" w:cs="宋体"/>
                <w:b/>
                <w:bCs/>
                <w:szCs w:val="21"/>
              </w:rPr>
            </w:pPr>
            <w:r>
              <w:rPr>
                <w:rFonts w:hint="eastAsia" w:ascii="宋体" w:hAnsi="宋体" w:cs="宋体"/>
                <w:b/>
                <w:bCs/>
                <w:szCs w:val="21"/>
              </w:rPr>
              <w:t>偏离情况</w:t>
            </w:r>
          </w:p>
        </w:tc>
        <w:tc>
          <w:tcPr>
            <w:tcW w:w="1623" w:type="dxa"/>
            <w:shd w:val="clear" w:color="auto" w:fill="auto"/>
            <w:vAlign w:val="center"/>
          </w:tcPr>
          <w:p>
            <w:pPr>
              <w:jc w:val="center"/>
              <w:rPr>
                <w:rFonts w:ascii="宋体" w:hAnsi="宋体" w:cs="宋体"/>
                <w:b/>
                <w:bCs/>
                <w:szCs w:val="21"/>
              </w:rPr>
            </w:pPr>
            <w:r>
              <w:rPr>
                <w:rFonts w:hint="eastAsia" w:ascii="宋体" w:hAnsi="宋体" w:cs="宋体"/>
                <w:b/>
                <w:bCs/>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059" w:type="dxa"/>
            <w:gridSpan w:val="5"/>
            <w:shd w:val="clear" w:color="auto" w:fill="auto"/>
            <w:vAlign w:val="center"/>
          </w:tcPr>
          <w:p>
            <w:pPr>
              <w:rPr>
                <w:rFonts w:ascii="宋体" w:hAnsi="宋体" w:cs="宋体"/>
                <w:szCs w:val="21"/>
              </w:rPr>
            </w:pPr>
            <w:r>
              <w:rPr>
                <w:rFonts w:hint="eastAsia" w:ascii="宋体" w:hAnsi="宋体" w:cs="宋体"/>
                <w:b/>
              </w:rPr>
              <w:t>带“</w:t>
            </w:r>
            <w:r>
              <w:rPr>
                <w:rFonts w:hint="eastAsia" w:ascii="宋体" w:hAnsi="宋体" w:cs="宋体"/>
                <w:b/>
                <w:szCs w:val="21"/>
              </w:rPr>
              <w:t>★</w:t>
            </w:r>
            <w:r>
              <w:rPr>
                <w:rFonts w:hint="eastAsia" w:ascii="宋体" w:hAnsi="宋体" w:cs="宋体"/>
                <w:b/>
              </w:rPr>
              <w:t>”的实质性条款（如有）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1</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2</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3</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059" w:type="dxa"/>
            <w:gridSpan w:val="5"/>
            <w:shd w:val="clear" w:color="auto" w:fill="auto"/>
            <w:vAlign w:val="center"/>
          </w:tcPr>
          <w:p>
            <w:pPr>
              <w:rPr>
                <w:rFonts w:ascii="宋体" w:hAnsi="宋体" w:cs="宋体"/>
                <w:szCs w:val="21"/>
              </w:rPr>
            </w:pPr>
            <w:r>
              <w:rPr>
                <w:rFonts w:hint="eastAsia" w:ascii="宋体" w:hAnsi="宋体" w:cs="宋体"/>
                <w:b/>
              </w:rPr>
              <w:t>带“</w:t>
            </w:r>
            <w:r>
              <w:rPr>
                <w:rFonts w:hint="eastAsia" w:ascii="宋体" w:hAnsi="宋体" w:cs="宋体"/>
                <w:color w:val="000000"/>
                <w:szCs w:val="21"/>
              </w:rPr>
              <w:t>▲</w:t>
            </w:r>
            <w:r>
              <w:rPr>
                <w:rFonts w:hint="eastAsia" w:ascii="宋体" w:hAnsi="宋体" w:cs="宋体"/>
                <w:b/>
              </w:rPr>
              <w:t>”的重要条款条款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1</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059" w:type="dxa"/>
            <w:gridSpan w:val="5"/>
            <w:shd w:val="clear" w:color="auto" w:fill="auto"/>
            <w:vAlign w:val="center"/>
          </w:tcPr>
          <w:p>
            <w:pPr>
              <w:rPr>
                <w:rFonts w:ascii="宋体" w:hAnsi="宋体" w:cs="宋体"/>
                <w:szCs w:val="21"/>
              </w:rPr>
            </w:pPr>
            <w:r>
              <w:rPr>
                <w:rFonts w:hint="eastAsia" w:ascii="宋体" w:hAnsi="宋体" w:cs="宋体"/>
                <w:b/>
              </w:rPr>
              <w:t>一般性条款（除带“</w:t>
            </w:r>
            <w:r>
              <w:rPr>
                <w:rFonts w:hint="eastAsia" w:ascii="宋体" w:hAnsi="宋体" w:cs="宋体"/>
                <w:b/>
                <w:szCs w:val="21"/>
              </w:rPr>
              <w:t>★</w:t>
            </w:r>
            <w:r>
              <w:rPr>
                <w:rFonts w:hint="eastAsia" w:ascii="宋体" w:hAnsi="宋体" w:cs="宋体"/>
                <w:b/>
              </w:rPr>
              <w:t>”和“</w:t>
            </w:r>
            <w:r>
              <w:rPr>
                <w:rFonts w:hint="eastAsia" w:ascii="宋体" w:hAnsi="宋体" w:cs="宋体"/>
                <w:color w:val="000000"/>
                <w:szCs w:val="21"/>
              </w:rPr>
              <w:t>▲</w:t>
            </w:r>
            <w:r>
              <w:rPr>
                <w:rFonts w:hint="eastAsia" w:ascii="宋体" w:hAnsi="宋体" w:cs="宋体"/>
                <w:b/>
              </w:rPr>
              <w:t>”之外的条款）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1</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2</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3</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4</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5</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shd w:val="clear" w:color="auto" w:fill="auto"/>
            <w:vAlign w:val="center"/>
          </w:tcPr>
          <w:p>
            <w:pPr>
              <w:rPr>
                <w:rFonts w:ascii="宋体" w:hAnsi="宋体" w:cs="宋体"/>
                <w:szCs w:val="21"/>
              </w:rPr>
            </w:pPr>
            <w:r>
              <w:rPr>
                <w:rFonts w:hint="eastAsia" w:ascii="宋体" w:hAnsi="宋体" w:cs="宋体"/>
                <w:szCs w:val="21"/>
              </w:rPr>
              <w:t>……</w:t>
            </w:r>
          </w:p>
        </w:tc>
        <w:tc>
          <w:tcPr>
            <w:tcW w:w="2515" w:type="dxa"/>
            <w:shd w:val="clear" w:color="auto" w:fill="auto"/>
            <w:vAlign w:val="center"/>
          </w:tcPr>
          <w:p>
            <w:pPr>
              <w:rPr>
                <w:rFonts w:ascii="宋体" w:hAnsi="宋体" w:cs="宋体"/>
                <w:szCs w:val="21"/>
              </w:rPr>
            </w:pPr>
          </w:p>
        </w:tc>
        <w:tc>
          <w:tcPr>
            <w:tcW w:w="2341" w:type="dxa"/>
            <w:shd w:val="clear" w:color="auto" w:fill="auto"/>
            <w:vAlign w:val="center"/>
          </w:tcPr>
          <w:p>
            <w:pPr>
              <w:rPr>
                <w:rFonts w:ascii="宋体" w:hAnsi="宋体" w:cs="宋体"/>
                <w:szCs w:val="21"/>
              </w:rPr>
            </w:pPr>
          </w:p>
        </w:tc>
        <w:tc>
          <w:tcPr>
            <w:tcW w:w="1750" w:type="dxa"/>
            <w:shd w:val="clear" w:color="auto" w:fill="auto"/>
            <w:vAlign w:val="center"/>
          </w:tcPr>
          <w:p>
            <w:pPr>
              <w:rPr>
                <w:rFonts w:ascii="宋体" w:hAnsi="宋体" w:cs="宋体"/>
                <w:szCs w:val="21"/>
              </w:rPr>
            </w:pPr>
          </w:p>
        </w:tc>
        <w:tc>
          <w:tcPr>
            <w:tcW w:w="1623" w:type="dxa"/>
            <w:shd w:val="clear" w:color="auto" w:fill="auto"/>
            <w:vAlign w:val="center"/>
          </w:tcPr>
          <w:p>
            <w:pPr>
              <w:rPr>
                <w:rFonts w:ascii="宋体" w:hAnsi="宋体" w:cs="宋体"/>
                <w:szCs w:val="21"/>
              </w:rPr>
            </w:pPr>
          </w:p>
        </w:tc>
      </w:tr>
    </w:tbl>
    <w:p>
      <w:pPr>
        <w:spacing w:line="360" w:lineRule="auto"/>
        <w:ind w:right="84" w:rightChars="40"/>
        <w:rPr>
          <w:rFonts w:ascii="宋体" w:hAnsi="宋体" w:cs="宋体"/>
          <w:szCs w:val="21"/>
        </w:rPr>
      </w:pPr>
      <w:r>
        <w:rPr>
          <w:rFonts w:hint="eastAsia" w:ascii="宋体" w:hAnsi="宋体" w:cs="宋体"/>
          <w:szCs w:val="21"/>
        </w:rPr>
        <w:t>备注：供应商必须按综合评审文件要求附相关证明文件，如未提供的视为负偏离。</w:t>
      </w:r>
    </w:p>
    <w:p>
      <w:pPr>
        <w:widowControl/>
        <w:spacing w:line="360" w:lineRule="auto"/>
        <w:jc w:val="left"/>
        <w:rPr>
          <w:rFonts w:ascii="宋体" w:hAnsi="宋体" w:cs="宋体"/>
          <w:b/>
          <w:bCs/>
          <w:kern w:val="0"/>
          <w:sz w:val="32"/>
          <w:szCs w:val="32"/>
        </w:rPr>
      </w:pPr>
    </w:p>
    <w:p>
      <w:pPr>
        <w:wordWrap w:val="0"/>
        <w:spacing w:line="360" w:lineRule="auto"/>
        <w:jc w:val="right"/>
        <w:rPr>
          <w:rFonts w:ascii="宋体" w:hAnsi="宋体" w:cs="宋体"/>
          <w:szCs w:val="21"/>
          <w:u w:val="single"/>
        </w:rPr>
      </w:pPr>
      <w:r>
        <w:rPr>
          <w:rFonts w:hint="eastAsia" w:ascii="宋体" w:hAnsi="宋体" w:cs="宋体"/>
          <w:spacing w:val="4"/>
          <w:szCs w:val="21"/>
        </w:rPr>
        <w:t>供应商名称（</w:t>
      </w:r>
      <w:r>
        <w:rPr>
          <w:rFonts w:hint="eastAsia" w:ascii="宋体" w:hAnsi="宋体" w:cs="宋体"/>
          <w:szCs w:val="21"/>
        </w:rPr>
        <w:t>单位盖</w:t>
      </w:r>
      <w:r>
        <w:rPr>
          <w:rFonts w:hint="eastAsia" w:ascii="宋体" w:hAnsi="宋体" w:cs="宋体"/>
          <w:spacing w:val="4"/>
          <w:szCs w:val="21"/>
        </w:rPr>
        <w:t>公章）：</w:t>
      </w:r>
    </w:p>
    <w:p>
      <w:pPr>
        <w:spacing w:line="500" w:lineRule="exact"/>
        <w:jc w:val="right"/>
        <w:rPr>
          <w:rFonts w:ascii="宋体" w:hAnsi="宋体" w:cs="宋体"/>
          <w:spacing w:val="4"/>
          <w:szCs w:val="21"/>
        </w:rPr>
      </w:pPr>
      <w:r>
        <w:rPr>
          <w:rFonts w:hint="eastAsia" w:ascii="宋体" w:hAnsi="宋体" w:cs="宋体"/>
          <w:spacing w:val="4"/>
          <w:szCs w:val="21"/>
        </w:rPr>
        <w:t>日期：</w:t>
      </w:r>
    </w:p>
    <w:p>
      <w:pPr>
        <w:widowControl/>
        <w:jc w:val="left"/>
        <w:rPr>
          <w:rFonts w:ascii="宋体" w:hAnsi="宋体" w:cs="宋体"/>
          <w:szCs w:val="21"/>
        </w:rPr>
      </w:pPr>
    </w:p>
    <w:p>
      <w:pPr>
        <w:rPr>
          <w:rFonts w:ascii="宋体" w:hAnsi="宋体" w:cs="宋体"/>
        </w:rPr>
      </w:pPr>
      <w:r>
        <w:rPr>
          <w:rFonts w:hint="eastAsia" w:ascii="宋体" w:hAnsi="宋体" w:cs="宋体"/>
        </w:rPr>
        <w:br w:type="page"/>
      </w:r>
    </w:p>
    <w:p>
      <w:pPr>
        <w:pStyle w:val="4"/>
        <w:spacing w:line="240" w:lineRule="auto"/>
        <w:jc w:val="center"/>
        <w:rPr>
          <w:rFonts w:ascii="宋体" w:hAnsi="宋体" w:eastAsia="宋体" w:cs="宋体"/>
          <w:sz w:val="30"/>
          <w:szCs w:val="30"/>
        </w:rPr>
      </w:pPr>
      <w:r>
        <w:rPr>
          <w:rFonts w:hint="eastAsia" w:ascii="宋体" w:hAnsi="宋体" w:eastAsia="宋体" w:cs="宋体"/>
          <w:sz w:val="30"/>
          <w:szCs w:val="30"/>
        </w:rPr>
        <w:t>诚信承诺函</w:t>
      </w:r>
    </w:p>
    <w:p>
      <w:pPr>
        <w:spacing w:line="276" w:lineRule="auto"/>
        <w:ind w:firstLine="420" w:firstLineChars="200"/>
        <w:rPr>
          <w:rFonts w:ascii="宋体" w:hAnsi="宋体" w:cs="宋体"/>
          <w:szCs w:val="21"/>
        </w:rPr>
      </w:pPr>
    </w:p>
    <w:p>
      <w:pPr>
        <w:rPr>
          <w:rFonts w:ascii="宋体" w:hAnsi="宋体" w:cs="宋体"/>
          <w:b/>
          <w:bCs/>
        </w:rPr>
      </w:pPr>
      <w:r>
        <w:rPr>
          <w:rFonts w:hint="eastAsia" w:ascii="宋体" w:hAnsi="宋体" w:cs="宋体"/>
          <w:b/>
          <w:bCs/>
        </w:rPr>
        <w:t>致：</w:t>
      </w:r>
      <w:r>
        <w:rPr>
          <w:rFonts w:hint="eastAsia" w:ascii="宋体" w:hAnsi="宋体" w:cs="宋体"/>
          <w:b/>
          <w:kern w:val="0"/>
          <w:szCs w:val="21"/>
        </w:rPr>
        <w:t>深圳市疾病预防控制中心、采联国际招标采购集团有限公司</w:t>
      </w:r>
      <w:r>
        <w:rPr>
          <w:rFonts w:hint="eastAsia" w:ascii="宋体" w:hAnsi="宋体" w:cs="宋体"/>
          <w:b/>
          <w:bCs/>
        </w:rPr>
        <w:t>：</w:t>
      </w:r>
    </w:p>
    <w:p>
      <w:pPr>
        <w:spacing w:line="276"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我公司承诺：</w:t>
      </w:r>
    </w:p>
    <w:p>
      <w:pPr>
        <w:numPr>
          <w:ilvl w:val="0"/>
          <w:numId w:val="29"/>
        </w:numPr>
        <w:spacing w:line="360" w:lineRule="auto"/>
        <w:ind w:left="0" w:firstLine="420" w:firstLineChars="200"/>
        <w:rPr>
          <w:rFonts w:ascii="宋体" w:hAnsi="宋体" w:cs="宋体"/>
          <w:szCs w:val="21"/>
        </w:rPr>
      </w:pPr>
      <w:r>
        <w:rPr>
          <w:rFonts w:hint="eastAsia" w:ascii="宋体" w:hAnsi="宋体" w:cs="宋体"/>
          <w:szCs w:val="21"/>
        </w:rPr>
        <w:t>我公司本综合评审项目所提供的货物或服务未侵犯知识产权。</w:t>
      </w:r>
    </w:p>
    <w:p>
      <w:pPr>
        <w:numPr>
          <w:ilvl w:val="0"/>
          <w:numId w:val="29"/>
        </w:numPr>
        <w:spacing w:line="360" w:lineRule="auto"/>
        <w:ind w:left="0" w:firstLine="420" w:firstLineChars="200"/>
        <w:rPr>
          <w:rFonts w:ascii="宋体" w:hAnsi="宋体" w:cs="宋体"/>
          <w:szCs w:val="21"/>
        </w:rPr>
      </w:pPr>
      <w:r>
        <w:rPr>
          <w:rFonts w:hint="eastAsia" w:ascii="宋体" w:hAnsi="宋体" w:cs="宋体"/>
          <w:szCs w:val="21"/>
        </w:rPr>
        <w:t>我公司参与本项目响应前三年内，在经营活动中没有重大违法记录。</w:t>
      </w:r>
    </w:p>
    <w:p>
      <w:pPr>
        <w:numPr>
          <w:ilvl w:val="0"/>
          <w:numId w:val="29"/>
        </w:numPr>
        <w:spacing w:line="360" w:lineRule="auto"/>
        <w:ind w:left="0" w:firstLine="420" w:firstLineChars="200"/>
        <w:rPr>
          <w:rFonts w:ascii="宋体" w:hAnsi="宋体" w:cs="宋体"/>
          <w:szCs w:val="21"/>
        </w:rPr>
      </w:pPr>
      <w:r>
        <w:rPr>
          <w:rFonts w:hint="eastAsia" w:ascii="宋体" w:hAnsi="宋体" w:cs="宋体"/>
          <w:szCs w:val="21"/>
        </w:rPr>
        <w:t>我公司参与本项目采购活动时不存在被有关部门禁止参与政府采购活动且在有效期内的情况。</w:t>
      </w:r>
    </w:p>
    <w:p>
      <w:pPr>
        <w:numPr>
          <w:ilvl w:val="0"/>
          <w:numId w:val="29"/>
        </w:numPr>
        <w:spacing w:line="360" w:lineRule="auto"/>
        <w:ind w:left="0" w:firstLine="420" w:firstLineChars="200"/>
        <w:rPr>
          <w:rFonts w:ascii="宋体" w:hAnsi="宋体" w:cs="宋体"/>
          <w:szCs w:val="21"/>
        </w:rPr>
      </w:pPr>
      <w:r>
        <w:rPr>
          <w:rFonts w:hint="eastAsia" w:ascii="宋体" w:hAnsi="宋体" w:cs="宋体"/>
          <w:szCs w:val="21"/>
        </w:rPr>
        <w:t>我公司具备《中华人民共和国政府采购法》第二十二条第一款的条件。</w:t>
      </w:r>
    </w:p>
    <w:p>
      <w:pPr>
        <w:numPr>
          <w:ilvl w:val="0"/>
          <w:numId w:val="29"/>
        </w:numPr>
        <w:spacing w:line="360" w:lineRule="auto"/>
        <w:ind w:left="0" w:firstLine="420" w:firstLineChars="200"/>
        <w:rPr>
          <w:rFonts w:ascii="宋体" w:hAnsi="宋体" w:cs="宋体"/>
          <w:szCs w:val="21"/>
        </w:rPr>
      </w:pPr>
      <w:r>
        <w:rPr>
          <w:rFonts w:hint="eastAsia" w:ascii="宋体" w:hAnsi="宋体" w:cs="宋体"/>
          <w:szCs w:val="21"/>
        </w:rPr>
        <w:t>我公司未被列入失信被执行人、重大税收违法案件当事人名单、政府采购严重违法失信行为记录名单。</w:t>
      </w:r>
    </w:p>
    <w:p>
      <w:pPr>
        <w:numPr>
          <w:ilvl w:val="0"/>
          <w:numId w:val="29"/>
        </w:numPr>
        <w:spacing w:line="360" w:lineRule="auto"/>
        <w:ind w:left="0" w:firstLine="420" w:firstLineChars="200"/>
        <w:rPr>
          <w:rFonts w:ascii="宋体" w:hAnsi="宋体" w:cs="宋体"/>
          <w:szCs w:val="21"/>
        </w:rPr>
      </w:pPr>
      <w:r>
        <w:rPr>
          <w:rFonts w:hint="eastAsia" w:ascii="宋体" w:hAnsi="宋体" w:cs="宋体"/>
          <w:szCs w:val="21"/>
        </w:rPr>
        <w:t>我公司参与该项目报名及报价，严格遵循公平竞争的原则，不恶意串通，不妨碍其他供应商的竞争行为，不损害采购人或者其他供应商的合法权益。我公司已清楚，如违反上述要求，将作无效响应处理。</w:t>
      </w:r>
    </w:p>
    <w:p>
      <w:pPr>
        <w:numPr>
          <w:ilvl w:val="0"/>
          <w:numId w:val="29"/>
        </w:numPr>
        <w:spacing w:line="360" w:lineRule="auto"/>
        <w:ind w:left="0" w:firstLine="420" w:firstLineChars="200"/>
        <w:rPr>
          <w:rFonts w:ascii="宋体" w:hAnsi="宋体" w:cs="宋体"/>
          <w:szCs w:val="21"/>
        </w:rPr>
      </w:pPr>
      <w:r>
        <w:rPr>
          <w:rFonts w:hint="eastAsia" w:ascii="宋体" w:hAnsi="宋体" w:cs="宋体"/>
          <w:szCs w:val="21"/>
        </w:rPr>
        <w:t>我公司如果成交，做到守信，不偷工减料，依照本项目综合评审文件需求内容、签署的采购合同及本公司在响应中所作的一切承诺履约。</w:t>
      </w:r>
    </w:p>
    <w:p>
      <w:pPr>
        <w:numPr>
          <w:ilvl w:val="0"/>
          <w:numId w:val="29"/>
        </w:numPr>
        <w:spacing w:line="360" w:lineRule="auto"/>
        <w:ind w:left="0" w:firstLine="420" w:firstLineChars="200"/>
        <w:rPr>
          <w:rFonts w:ascii="宋体" w:hAnsi="宋体" w:cs="宋体"/>
          <w:szCs w:val="21"/>
        </w:rPr>
      </w:pPr>
      <w:r>
        <w:rPr>
          <w:rFonts w:hint="eastAsia" w:ascii="宋体" w:hAnsi="宋体" w:cs="宋体"/>
          <w:szCs w:val="21"/>
        </w:rPr>
        <w:t>我公司已认真核实了响应文件的全部内容，所有资料均为真实资料。我公司对响应文件中全部资料的真实性负责，如被证实我公司的响应文件中存在虚假资料的，则视为我公司隐瞒真实情况、提供虚假资料，我公司愿意接受主管部门作出的行政处罚。</w:t>
      </w:r>
    </w:p>
    <w:p>
      <w:pPr>
        <w:numPr>
          <w:ilvl w:val="0"/>
          <w:numId w:val="29"/>
        </w:numPr>
        <w:spacing w:line="360" w:lineRule="auto"/>
        <w:ind w:left="0" w:firstLine="420" w:firstLineChars="200"/>
        <w:rPr>
          <w:rFonts w:ascii="宋体" w:hAnsi="宋体" w:cs="宋体"/>
          <w:szCs w:val="21"/>
        </w:rPr>
      </w:pPr>
      <w:r>
        <w:rPr>
          <w:rFonts w:hint="eastAsia" w:ascii="宋体" w:hAnsi="宋体" w:cs="宋体"/>
          <w:szCs w:val="21"/>
        </w:rPr>
        <w:t>我公司承诺不非法转包、分包。</w:t>
      </w:r>
    </w:p>
    <w:p>
      <w:pPr>
        <w:numPr>
          <w:ilvl w:val="0"/>
          <w:numId w:val="29"/>
        </w:numPr>
        <w:spacing w:line="360" w:lineRule="auto"/>
        <w:ind w:left="0" w:firstLine="420" w:firstLineChars="200"/>
        <w:rPr>
          <w:rFonts w:ascii="宋体" w:hAnsi="宋体" w:cs="宋体"/>
          <w:szCs w:val="21"/>
        </w:rPr>
      </w:pPr>
      <w:r>
        <w:rPr>
          <w:rFonts w:hint="eastAsia" w:ascii="宋体" w:hAnsi="宋体" w:cs="宋体"/>
          <w:szCs w:val="21"/>
        </w:rPr>
        <w:t>我公司为独立报名报价,非联合体。</w:t>
      </w:r>
    </w:p>
    <w:p>
      <w:pPr>
        <w:wordWrap w:val="0"/>
        <w:spacing w:line="360" w:lineRule="auto"/>
        <w:ind w:left="840"/>
        <w:jc w:val="right"/>
        <w:rPr>
          <w:rFonts w:ascii="宋体" w:hAnsi="宋体" w:cs="宋体"/>
          <w:szCs w:val="21"/>
          <w:u w:val="single"/>
        </w:rPr>
      </w:pPr>
      <w:r>
        <w:rPr>
          <w:rFonts w:hint="eastAsia" w:ascii="宋体" w:hAnsi="宋体" w:cs="宋体"/>
        </w:rPr>
        <w:t xml:space="preserve">  </w:t>
      </w:r>
      <w:r>
        <w:rPr>
          <w:rFonts w:hint="eastAsia" w:ascii="宋体" w:hAnsi="宋体" w:cs="宋体"/>
          <w:spacing w:val="4"/>
          <w:szCs w:val="21"/>
        </w:rPr>
        <w:t>供应商名称（</w:t>
      </w:r>
      <w:r>
        <w:rPr>
          <w:rFonts w:hint="eastAsia" w:ascii="宋体" w:hAnsi="宋体" w:cs="宋体"/>
          <w:szCs w:val="21"/>
        </w:rPr>
        <w:t>单位盖</w:t>
      </w:r>
      <w:r>
        <w:rPr>
          <w:rFonts w:hint="eastAsia" w:ascii="宋体" w:hAnsi="宋体" w:cs="宋体"/>
          <w:spacing w:val="4"/>
          <w:szCs w:val="21"/>
        </w:rPr>
        <w:t>公章）：</w:t>
      </w:r>
      <w:r>
        <w:rPr>
          <w:rFonts w:hint="eastAsia" w:ascii="宋体" w:hAnsi="宋体" w:cs="宋体"/>
          <w:spacing w:val="4"/>
          <w:szCs w:val="21"/>
          <w:u w:val="single"/>
        </w:rPr>
        <w:t xml:space="preserve">          </w:t>
      </w:r>
    </w:p>
    <w:p>
      <w:pPr>
        <w:spacing w:line="360" w:lineRule="auto"/>
        <w:ind w:left="840"/>
        <w:jc w:val="right"/>
        <w:rPr>
          <w:rFonts w:ascii="宋体" w:hAnsi="宋体" w:cs="宋体"/>
          <w:szCs w:val="21"/>
          <w:u w:val="single"/>
        </w:rPr>
      </w:pPr>
    </w:p>
    <w:p>
      <w:pPr>
        <w:spacing w:line="500" w:lineRule="exact"/>
        <w:ind w:firstLine="6540" w:firstLineChars="3000"/>
        <w:rPr>
          <w:rFonts w:ascii="宋体" w:hAnsi="宋体" w:cs="宋体"/>
          <w:szCs w:val="21"/>
        </w:rPr>
      </w:pPr>
      <w:r>
        <w:rPr>
          <w:rFonts w:hint="eastAsia" w:ascii="宋体" w:hAnsi="宋体" w:cs="宋体"/>
          <w:spacing w:val="4"/>
          <w:szCs w:val="21"/>
        </w:rPr>
        <w:t>日期：</w:t>
      </w:r>
      <w:r>
        <w:rPr>
          <w:rFonts w:hint="eastAsia" w:ascii="宋体" w:hAnsi="宋体" w:cs="宋体"/>
          <w:spacing w:val="4"/>
          <w:szCs w:val="21"/>
          <w:u w:val="single"/>
        </w:rPr>
        <w:t xml:space="preserve">          </w:t>
      </w:r>
    </w:p>
    <w:p>
      <w:pPr>
        <w:rPr>
          <w:rFonts w:ascii="宋体" w:hAnsi="宋体" w:cs="宋体"/>
        </w:rPr>
      </w:pPr>
    </w:p>
    <w:sectPr>
      <w:head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Plotter">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swiss"/>
    <w:pitch w:val="default"/>
    <w:sig w:usb0="00000000" w:usb1="00000000" w:usb2="00000000" w:usb3="00000000" w:csb0="00040000" w:csb1="00000000"/>
  </w:font>
  <w:font w:name="长城仿宋">
    <w:altName w:val="微软雅黑"/>
    <w:panose1 w:val="00000000000000000000"/>
    <w:charset w:val="86"/>
    <w:family w:val="modern"/>
    <w:pitch w:val="default"/>
    <w:sig w:usb0="00000000" w:usb1="00000000" w:usb2="00000010" w:usb3="00000000" w:csb0="00040000" w:csb1="00000000"/>
  </w:font>
  <w:font w:name="??">
    <w:altName w:val="Courier New"/>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82016" w:usb3="00000000" w:csb0="00040001"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15</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QNE8EBAACN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bkGhNtjwsKln4w6Qk3FcEqF0bRReQ0e30vWw1+0/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qaQNE8EBAACNAwAADgAAAAAAAAABACAAAAAeAQAAZHJzL2Uyb0RvYy54bWxQSwUG&#10;AAAAAAYABgBZAQAAUQ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DF5FE9"/>
    <w:multiLevelType w:val="singleLevel"/>
    <w:tmpl w:val="93DF5FE9"/>
    <w:lvl w:ilvl="0" w:tentative="0">
      <w:start w:val="1"/>
      <w:numFmt w:val="decimal"/>
      <w:lvlText w:val="(%1)"/>
      <w:lvlJc w:val="left"/>
      <w:pPr>
        <w:ind w:left="425" w:hanging="425"/>
      </w:pPr>
      <w:rPr>
        <w:rFonts w:hint="default" w:ascii="宋体" w:hAnsi="宋体" w:eastAsia="宋体" w:cs="宋体"/>
        <w:b w:val="0"/>
        <w:bCs w:val="0"/>
        <w:sz w:val="21"/>
        <w:szCs w:val="21"/>
      </w:rPr>
    </w:lvl>
  </w:abstractNum>
  <w:abstractNum w:abstractNumId="1">
    <w:nsid w:val="AF0BA239"/>
    <w:multiLevelType w:val="multilevel"/>
    <w:tmpl w:val="AF0BA239"/>
    <w:lvl w:ilvl="0" w:tentative="0">
      <w:start w:val="1"/>
      <w:numFmt w:val="decimal"/>
      <w:lvlText w:val="%1."/>
      <w:lvlJc w:val="left"/>
      <w:pPr>
        <w:tabs>
          <w:tab w:val="left" w:pos="425"/>
        </w:tabs>
        <w:ind w:left="425" w:hanging="425"/>
      </w:pPr>
      <w:rPr>
        <w:rFonts w:hint="default"/>
        <w:b w:val="0"/>
        <w:bCs w:val="0"/>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5"/>
        </w:tabs>
        <w:ind w:left="1135" w:hanging="1135"/>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CCDEB7C4"/>
    <w:multiLevelType w:val="multilevel"/>
    <w:tmpl w:val="CCDEB7C4"/>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5"/>
        </w:tabs>
        <w:ind w:left="1135" w:hanging="1135"/>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
    <w:nsid w:val="D55336AE"/>
    <w:multiLevelType w:val="multilevel"/>
    <w:tmpl w:val="D55336AE"/>
    <w:lvl w:ilvl="0" w:tentative="0">
      <w:start w:val="1"/>
      <w:numFmt w:val="decimal"/>
      <w:suff w:val="nothing"/>
      <w:lvlText w:val="%1."/>
      <w:lvlJc w:val="left"/>
      <w:pPr>
        <w:ind w:left="840" w:hanging="420"/>
      </w:pPr>
      <w:rPr>
        <w:rFonts w:hint="default" w:ascii="宋体" w:hAnsi="宋体" w:eastAsia="宋体" w:cs="宋体"/>
        <w:color w:val="auto"/>
        <w:sz w:val="21"/>
        <w:szCs w:val="21"/>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4">
    <w:nsid w:val="DD132875"/>
    <w:multiLevelType w:val="multilevel"/>
    <w:tmpl w:val="DD13287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DEE88401"/>
    <w:multiLevelType w:val="multilevel"/>
    <w:tmpl w:val="DEE88401"/>
    <w:lvl w:ilvl="0" w:tentative="0">
      <w:start w:val="1"/>
      <w:numFmt w:val="decimal"/>
      <w:suff w:val="nothing"/>
      <w:lvlText w:val="%1."/>
      <w:lvlJc w:val="left"/>
      <w:pPr>
        <w:ind w:left="840" w:hanging="420"/>
      </w:pPr>
      <w:rPr>
        <w:rFonts w:hint="default" w:ascii="宋体" w:hAnsi="宋体" w:eastAsia="宋体" w:cstheme="minorEastAsia"/>
        <w:sz w:val="21"/>
        <w:szCs w:val="21"/>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DF557281"/>
    <w:multiLevelType w:val="singleLevel"/>
    <w:tmpl w:val="DF557281"/>
    <w:lvl w:ilvl="0" w:tentative="0">
      <w:start w:val="1"/>
      <w:numFmt w:val="chineseCounting"/>
      <w:suff w:val="nothing"/>
      <w:lvlText w:val="%1、"/>
      <w:lvlJc w:val="left"/>
      <w:pPr>
        <w:ind w:left="0" w:firstLine="420"/>
      </w:pPr>
      <w:rPr>
        <w:rFonts w:hint="eastAsia"/>
      </w:rPr>
    </w:lvl>
  </w:abstractNum>
  <w:abstractNum w:abstractNumId="7">
    <w:nsid w:val="F83292CA"/>
    <w:multiLevelType w:val="multilevel"/>
    <w:tmpl w:val="F83292CA"/>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5"/>
        </w:tabs>
        <w:ind w:left="1135" w:hanging="1135"/>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
    <w:nsid w:val="FBEDEB9F"/>
    <w:multiLevelType w:val="singleLevel"/>
    <w:tmpl w:val="FBEDEB9F"/>
    <w:lvl w:ilvl="0" w:tentative="0">
      <w:start w:val="1"/>
      <w:numFmt w:val="decimal"/>
      <w:lvlText w:val="%1."/>
      <w:lvlJc w:val="left"/>
      <w:pPr>
        <w:ind w:left="425" w:hanging="425"/>
      </w:pPr>
      <w:rPr>
        <w:rFonts w:hint="default"/>
      </w:rPr>
    </w:lvl>
  </w:abstractNum>
  <w:abstractNum w:abstractNumId="9">
    <w:nsid w:val="FC257B30"/>
    <w:multiLevelType w:val="singleLevel"/>
    <w:tmpl w:val="FC257B30"/>
    <w:lvl w:ilvl="0" w:tentative="0">
      <w:start w:val="1"/>
      <w:numFmt w:val="decimal"/>
      <w:suff w:val="nothing"/>
      <w:lvlText w:val="%1."/>
      <w:lvlJc w:val="left"/>
      <w:pPr>
        <w:ind w:left="454" w:hanging="454"/>
      </w:pPr>
      <w:rPr>
        <w:rFonts w:hint="default"/>
      </w:rPr>
    </w:lvl>
  </w:abstractNum>
  <w:abstractNum w:abstractNumId="10">
    <w:nsid w:val="0000000B"/>
    <w:multiLevelType w:val="multilevel"/>
    <w:tmpl w:val="0000000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1">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53"/>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04AD10DA"/>
    <w:multiLevelType w:val="multilevel"/>
    <w:tmpl w:val="04AD10DA"/>
    <w:lvl w:ilvl="0" w:tentative="0">
      <w:start w:val="1"/>
      <w:numFmt w:val="decimal"/>
      <w:lvlText w:val="(%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3">
    <w:nsid w:val="125214F2"/>
    <w:multiLevelType w:val="multilevel"/>
    <w:tmpl w:val="125214F2"/>
    <w:lvl w:ilvl="0" w:tentative="0">
      <w:start w:val="1"/>
      <w:numFmt w:val="decimal"/>
      <w:suff w:val="nothing"/>
      <w:lvlText w:val="%1."/>
      <w:lvlJc w:val="left"/>
      <w:pPr>
        <w:ind w:left="840" w:hanging="420"/>
      </w:pPr>
      <w:rPr>
        <w:rFonts w:hint="default" w:ascii="宋体" w:hAnsi="宋体" w:eastAsia="宋体" w:cs="宋体"/>
        <w:color w:val="auto"/>
        <w:sz w:val="21"/>
        <w:szCs w:val="21"/>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4">
    <w:nsid w:val="140A6B21"/>
    <w:multiLevelType w:val="multilevel"/>
    <w:tmpl w:val="140A6B21"/>
    <w:lvl w:ilvl="0" w:tentative="0">
      <w:start w:val="1"/>
      <w:numFmt w:val="decimal"/>
      <w:suff w:val="nothing"/>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5">
    <w:nsid w:val="198E911A"/>
    <w:multiLevelType w:val="singleLevel"/>
    <w:tmpl w:val="198E911A"/>
    <w:lvl w:ilvl="0" w:tentative="0">
      <w:start w:val="1"/>
      <w:numFmt w:val="chineseCounting"/>
      <w:suff w:val="nothing"/>
      <w:lvlText w:val="（%1）"/>
      <w:lvlJc w:val="left"/>
      <w:rPr>
        <w:rFonts w:hint="eastAsia"/>
      </w:rPr>
    </w:lvl>
  </w:abstractNum>
  <w:abstractNum w:abstractNumId="16">
    <w:nsid w:val="220A0636"/>
    <w:multiLevelType w:val="multilevel"/>
    <w:tmpl w:val="220A0636"/>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7">
    <w:nsid w:val="2CB96FCE"/>
    <w:multiLevelType w:val="multilevel"/>
    <w:tmpl w:val="2CB96FCE"/>
    <w:lvl w:ilvl="0" w:tentative="0">
      <w:start w:val="1"/>
      <w:numFmt w:val="chineseCountingThousand"/>
      <w:lvlText w:val="%1、"/>
      <w:lvlJc w:val="left"/>
      <w:pPr>
        <w:ind w:left="450" w:hanging="45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4433F59"/>
    <w:multiLevelType w:val="multilevel"/>
    <w:tmpl w:val="34433F59"/>
    <w:lvl w:ilvl="0" w:tentative="0">
      <w:start w:val="1"/>
      <w:numFmt w:val="chineseCountingThousand"/>
      <w:suff w:val="nothing"/>
      <w:lvlText w:val="(%1)"/>
      <w:lvlJc w:val="left"/>
      <w:pPr>
        <w:ind w:left="420" w:hanging="420"/>
      </w:pPr>
      <w:rPr>
        <w:rFonts w:hint="eastAsia" w:ascii="宋体" w:hAnsi="宋体" w:eastAsia="宋体" w:cs="宋体"/>
        <w:b/>
        <w:bCs/>
        <w:sz w:val="21"/>
        <w:szCs w:val="21"/>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3CE44964"/>
    <w:multiLevelType w:val="multilevel"/>
    <w:tmpl w:val="3CE44964"/>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20">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19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40C6313D"/>
    <w:multiLevelType w:val="multilevel"/>
    <w:tmpl w:val="40C6313D"/>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36DB5A0"/>
    <w:multiLevelType w:val="multilevel"/>
    <w:tmpl w:val="436DB5A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24">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rPr>
        <w:rFonts w:hint="eastAsia"/>
      </w:rPr>
    </w:lvl>
    <w:lvl w:ilvl="2" w:tentative="0">
      <w:start w:val="1"/>
      <w:numFmt w:val="lowerRoman"/>
      <w:lvlText w:val="%3."/>
      <w:lvlJc w:val="right"/>
      <w:pPr>
        <w:ind w:left="2520" w:hanging="420"/>
      </w:pPr>
      <w:rPr>
        <w:rFonts w:hint="eastAsia"/>
      </w:rPr>
    </w:lvl>
    <w:lvl w:ilvl="3" w:tentative="0">
      <w:start w:val="1"/>
      <w:numFmt w:val="decimal"/>
      <w:lvlText w:val="%4."/>
      <w:lvlJc w:val="left"/>
      <w:pPr>
        <w:ind w:left="2940" w:hanging="420"/>
      </w:pPr>
      <w:rPr>
        <w:rFonts w:hint="eastAsia"/>
      </w:rPr>
    </w:lvl>
    <w:lvl w:ilvl="4" w:tentative="0">
      <w:start w:val="1"/>
      <w:numFmt w:val="lowerLetter"/>
      <w:lvlText w:val="%5)"/>
      <w:lvlJc w:val="left"/>
      <w:pPr>
        <w:ind w:left="3360" w:hanging="420"/>
      </w:pPr>
      <w:rPr>
        <w:rFonts w:hint="eastAsia"/>
      </w:rPr>
    </w:lvl>
    <w:lvl w:ilvl="5" w:tentative="0">
      <w:start w:val="1"/>
      <w:numFmt w:val="lowerRoman"/>
      <w:lvlText w:val="%6."/>
      <w:lvlJc w:val="right"/>
      <w:pPr>
        <w:ind w:left="3780" w:hanging="420"/>
      </w:pPr>
      <w:rPr>
        <w:rFonts w:hint="eastAsia"/>
      </w:rPr>
    </w:lvl>
    <w:lvl w:ilvl="6" w:tentative="0">
      <w:start w:val="1"/>
      <w:numFmt w:val="decimal"/>
      <w:lvlText w:val="%7."/>
      <w:lvlJc w:val="left"/>
      <w:pPr>
        <w:ind w:left="4200" w:hanging="420"/>
      </w:pPr>
      <w:rPr>
        <w:rFonts w:hint="eastAsia"/>
      </w:rPr>
    </w:lvl>
    <w:lvl w:ilvl="7" w:tentative="0">
      <w:start w:val="1"/>
      <w:numFmt w:val="lowerLetter"/>
      <w:lvlText w:val="%8)"/>
      <w:lvlJc w:val="left"/>
      <w:pPr>
        <w:ind w:left="4620" w:hanging="420"/>
      </w:pPr>
      <w:rPr>
        <w:rFonts w:hint="eastAsia"/>
      </w:rPr>
    </w:lvl>
    <w:lvl w:ilvl="8" w:tentative="0">
      <w:start w:val="1"/>
      <w:numFmt w:val="lowerRoman"/>
      <w:lvlText w:val="%9."/>
      <w:lvlJc w:val="right"/>
      <w:pPr>
        <w:ind w:left="5040" w:hanging="420"/>
      </w:pPr>
      <w:rPr>
        <w:rFonts w:hint="eastAsia"/>
      </w:rPr>
    </w:lvl>
  </w:abstractNum>
  <w:abstractNum w:abstractNumId="25">
    <w:nsid w:val="5F3F5D1F"/>
    <w:multiLevelType w:val="multilevel"/>
    <w:tmpl w:val="5F3F5D1F"/>
    <w:lvl w:ilvl="0" w:tentative="0">
      <w:start w:val="1"/>
      <w:numFmt w:val="chineseCountingThousand"/>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abstractNum w:abstractNumId="26">
    <w:nsid w:val="63784A10"/>
    <w:multiLevelType w:val="multilevel"/>
    <w:tmpl w:val="63784A10"/>
    <w:lvl w:ilvl="0" w:tentative="0">
      <w:start w:val="1"/>
      <w:numFmt w:val="chineseCountingThousand"/>
      <w:suff w:val="nothing"/>
      <w:lvlText w:val="%1、"/>
      <w:lvlJc w:val="left"/>
      <w:pPr>
        <w:ind w:left="420" w:hanging="420"/>
      </w:pPr>
      <w:rPr>
        <w:rFonts w:hint="eastAsia" w:ascii="宋体" w:hAnsi="宋体" w:eastAsia="宋体" w:cs="宋体"/>
        <w:sz w:val="21"/>
        <w:szCs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4E5329C"/>
    <w:multiLevelType w:val="multilevel"/>
    <w:tmpl w:val="64E5329C"/>
    <w:lvl w:ilvl="0" w:tentative="0">
      <w:start w:val="1"/>
      <w:numFmt w:val="decimal"/>
      <w:lvlText w:val="%1."/>
      <w:lvlJc w:val="left"/>
      <w:pPr>
        <w:tabs>
          <w:tab w:val="left" w:pos="360"/>
        </w:tabs>
        <w:ind w:left="360" w:hanging="36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6E92880"/>
    <w:multiLevelType w:val="multilevel"/>
    <w:tmpl w:val="76E92880"/>
    <w:lvl w:ilvl="0" w:tentative="0">
      <w:start w:val="1"/>
      <w:numFmt w:val="decimal"/>
      <w:suff w:val="nothing"/>
      <w:lvlText w:val="%1."/>
      <w:lvlJc w:val="left"/>
      <w:pPr>
        <w:ind w:left="420" w:hanging="420"/>
      </w:pPr>
      <w:rPr>
        <w:rFonts w:hint="default" w:ascii="宋体" w:hAnsi="宋体" w:eastAsia="宋体"/>
        <w:b w:val="0"/>
        <w:bCs w:val="0"/>
        <w:sz w:val="21"/>
        <w:szCs w:val="21"/>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num w:numId="1">
    <w:abstractNumId w:val="11"/>
  </w:num>
  <w:num w:numId="2">
    <w:abstractNumId w:val="26"/>
  </w:num>
  <w:num w:numId="3">
    <w:abstractNumId w:val="18"/>
  </w:num>
  <w:num w:numId="4">
    <w:abstractNumId w:val="19"/>
  </w:num>
  <w:num w:numId="5">
    <w:abstractNumId w:val="24"/>
  </w:num>
  <w:num w:numId="6">
    <w:abstractNumId w:val="28"/>
  </w:num>
  <w:num w:numId="7">
    <w:abstractNumId w:val="5"/>
  </w:num>
  <w:num w:numId="8">
    <w:abstractNumId w:val="13"/>
  </w:num>
  <w:num w:numId="9">
    <w:abstractNumId w:val="3"/>
  </w:num>
  <w:num w:numId="10">
    <w:abstractNumId w:val="20"/>
  </w:num>
  <w:num w:numId="11">
    <w:abstractNumId w:val="14"/>
  </w:num>
  <w:num w:numId="12">
    <w:abstractNumId w:val="12"/>
  </w:num>
  <w:num w:numId="13">
    <w:abstractNumId w:val="4"/>
  </w:num>
  <w:num w:numId="14">
    <w:abstractNumId w:val="17"/>
  </w:num>
  <w:num w:numId="15">
    <w:abstractNumId w:val="15"/>
  </w:num>
  <w:num w:numId="16">
    <w:abstractNumId w:val="25"/>
  </w:num>
  <w:num w:numId="17">
    <w:abstractNumId w:val="7"/>
  </w:num>
  <w:num w:numId="18">
    <w:abstractNumId w:val="27"/>
  </w:num>
  <w:num w:numId="19">
    <w:abstractNumId w:val="2"/>
  </w:num>
  <w:num w:numId="20">
    <w:abstractNumId w:val="1"/>
  </w:num>
  <w:num w:numId="21">
    <w:abstractNumId w:val="0"/>
  </w:num>
  <w:num w:numId="22">
    <w:abstractNumId w:val="8"/>
  </w:num>
  <w:num w:numId="23">
    <w:abstractNumId w:val="16"/>
  </w:num>
  <w:num w:numId="24">
    <w:abstractNumId w:val="10"/>
  </w:num>
  <w:num w:numId="25">
    <w:abstractNumId w:val="21"/>
  </w:num>
  <w:num w:numId="26">
    <w:abstractNumId w:val="6"/>
  </w:num>
  <w:num w:numId="27">
    <w:abstractNumId w:val="23"/>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isplayHorizontalDrawingGridEvery w:val="0"/>
  <w:displayVerticalDrawingGridEvery w:val="2"/>
  <w:characterSpacingControl w:val="doNotCompress"/>
  <w:compat>
    <w:balanceSingleByteDoubleByteWidth/>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ODYyNGU2NTAzZTI3ZjcwMjhkNWM2NTgxNTcyMGQifQ=="/>
  </w:docVars>
  <w:rsids>
    <w:rsidRoot w:val="139100A5"/>
    <w:rsid w:val="00000682"/>
    <w:rsid w:val="000020B3"/>
    <w:rsid w:val="000037D9"/>
    <w:rsid w:val="00005AD0"/>
    <w:rsid w:val="00007A08"/>
    <w:rsid w:val="00027B08"/>
    <w:rsid w:val="00027EC0"/>
    <w:rsid w:val="00027F8F"/>
    <w:rsid w:val="000303B9"/>
    <w:rsid w:val="000325BC"/>
    <w:rsid w:val="0003302F"/>
    <w:rsid w:val="00035902"/>
    <w:rsid w:val="00041647"/>
    <w:rsid w:val="00041704"/>
    <w:rsid w:val="0004722E"/>
    <w:rsid w:val="00050814"/>
    <w:rsid w:val="00051B4E"/>
    <w:rsid w:val="00052AEC"/>
    <w:rsid w:val="0005305C"/>
    <w:rsid w:val="00053C13"/>
    <w:rsid w:val="00053E65"/>
    <w:rsid w:val="00055EB9"/>
    <w:rsid w:val="000572C2"/>
    <w:rsid w:val="00057C10"/>
    <w:rsid w:val="00060489"/>
    <w:rsid w:val="00061471"/>
    <w:rsid w:val="00061C96"/>
    <w:rsid w:val="00062192"/>
    <w:rsid w:val="00062B58"/>
    <w:rsid w:val="0006454B"/>
    <w:rsid w:val="000658A7"/>
    <w:rsid w:val="000704D1"/>
    <w:rsid w:val="00070FFC"/>
    <w:rsid w:val="00077E7C"/>
    <w:rsid w:val="00085652"/>
    <w:rsid w:val="0008750B"/>
    <w:rsid w:val="000A0168"/>
    <w:rsid w:val="000A03BA"/>
    <w:rsid w:val="000A2071"/>
    <w:rsid w:val="000A42C5"/>
    <w:rsid w:val="000B4722"/>
    <w:rsid w:val="000B7F82"/>
    <w:rsid w:val="000C0003"/>
    <w:rsid w:val="000C1D92"/>
    <w:rsid w:val="000C30F6"/>
    <w:rsid w:val="000C384F"/>
    <w:rsid w:val="000C607A"/>
    <w:rsid w:val="000C7C94"/>
    <w:rsid w:val="000C7D59"/>
    <w:rsid w:val="000D3629"/>
    <w:rsid w:val="000D4CC9"/>
    <w:rsid w:val="000D6308"/>
    <w:rsid w:val="000D6E7D"/>
    <w:rsid w:val="000E2962"/>
    <w:rsid w:val="000E649F"/>
    <w:rsid w:val="000F21C0"/>
    <w:rsid w:val="000F253A"/>
    <w:rsid w:val="000F4673"/>
    <w:rsid w:val="000F4AD5"/>
    <w:rsid w:val="0010166B"/>
    <w:rsid w:val="00101C32"/>
    <w:rsid w:val="00104810"/>
    <w:rsid w:val="0010493A"/>
    <w:rsid w:val="0011022C"/>
    <w:rsid w:val="0011060D"/>
    <w:rsid w:val="00114213"/>
    <w:rsid w:val="0012083E"/>
    <w:rsid w:val="0012415D"/>
    <w:rsid w:val="00127188"/>
    <w:rsid w:val="001341AB"/>
    <w:rsid w:val="00136AE9"/>
    <w:rsid w:val="00137C10"/>
    <w:rsid w:val="00142F9B"/>
    <w:rsid w:val="00145917"/>
    <w:rsid w:val="00150C8D"/>
    <w:rsid w:val="00150E08"/>
    <w:rsid w:val="00155252"/>
    <w:rsid w:val="0015796A"/>
    <w:rsid w:val="00162267"/>
    <w:rsid w:val="0016767D"/>
    <w:rsid w:val="001707C3"/>
    <w:rsid w:val="00175922"/>
    <w:rsid w:val="00181480"/>
    <w:rsid w:val="001844AC"/>
    <w:rsid w:val="00192079"/>
    <w:rsid w:val="0019340E"/>
    <w:rsid w:val="001958DE"/>
    <w:rsid w:val="00197D7A"/>
    <w:rsid w:val="001A254E"/>
    <w:rsid w:val="001A6334"/>
    <w:rsid w:val="001A722D"/>
    <w:rsid w:val="001B1F40"/>
    <w:rsid w:val="001B2441"/>
    <w:rsid w:val="001B5B1B"/>
    <w:rsid w:val="001D1833"/>
    <w:rsid w:val="001D3DAE"/>
    <w:rsid w:val="001D48BE"/>
    <w:rsid w:val="001D5DE7"/>
    <w:rsid w:val="001E05CA"/>
    <w:rsid w:val="001E2C05"/>
    <w:rsid w:val="001E5DCB"/>
    <w:rsid w:val="001F3153"/>
    <w:rsid w:val="002021C5"/>
    <w:rsid w:val="00205DD7"/>
    <w:rsid w:val="00211750"/>
    <w:rsid w:val="0021347F"/>
    <w:rsid w:val="00220C23"/>
    <w:rsid w:val="00222B6D"/>
    <w:rsid w:val="00222FFB"/>
    <w:rsid w:val="002315FB"/>
    <w:rsid w:val="00235B33"/>
    <w:rsid w:val="00236D8B"/>
    <w:rsid w:val="002413B3"/>
    <w:rsid w:val="00241D8A"/>
    <w:rsid w:val="002437B9"/>
    <w:rsid w:val="00243894"/>
    <w:rsid w:val="00243969"/>
    <w:rsid w:val="00244F46"/>
    <w:rsid w:val="00252156"/>
    <w:rsid w:val="00252B95"/>
    <w:rsid w:val="002624B8"/>
    <w:rsid w:val="00262F19"/>
    <w:rsid w:val="00263542"/>
    <w:rsid w:val="00271205"/>
    <w:rsid w:val="00271B82"/>
    <w:rsid w:val="002834E3"/>
    <w:rsid w:val="00283571"/>
    <w:rsid w:val="00283A25"/>
    <w:rsid w:val="0028686B"/>
    <w:rsid w:val="00286EC0"/>
    <w:rsid w:val="00293248"/>
    <w:rsid w:val="00293AF1"/>
    <w:rsid w:val="0029636E"/>
    <w:rsid w:val="00297DE4"/>
    <w:rsid w:val="002A052F"/>
    <w:rsid w:val="002B3743"/>
    <w:rsid w:val="002B596E"/>
    <w:rsid w:val="002C1ADC"/>
    <w:rsid w:val="002D42C1"/>
    <w:rsid w:val="002D658E"/>
    <w:rsid w:val="002E2594"/>
    <w:rsid w:val="002F01E7"/>
    <w:rsid w:val="002F01EA"/>
    <w:rsid w:val="002F157D"/>
    <w:rsid w:val="002F1D02"/>
    <w:rsid w:val="002F39C4"/>
    <w:rsid w:val="002F755B"/>
    <w:rsid w:val="003061FA"/>
    <w:rsid w:val="00312BA0"/>
    <w:rsid w:val="00322397"/>
    <w:rsid w:val="00325B3A"/>
    <w:rsid w:val="00327A65"/>
    <w:rsid w:val="00331B8E"/>
    <w:rsid w:val="003324A5"/>
    <w:rsid w:val="003345D8"/>
    <w:rsid w:val="0033630E"/>
    <w:rsid w:val="00337CB4"/>
    <w:rsid w:val="00341A0C"/>
    <w:rsid w:val="003429B3"/>
    <w:rsid w:val="00347A1D"/>
    <w:rsid w:val="00351854"/>
    <w:rsid w:val="00351CE1"/>
    <w:rsid w:val="003535F0"/>
    <w:rsid w:val="003535F8"/>
    <w:rsid w:val="0035464B"/>
    <w:rsid w:val="00356DBF"/>
    <w:rsid w:val="00363083"/>
    <w:rsid w:val="00363E4A"/>
    <w:rsid w:val="00366398"/>
    <w:rsid w:val="00367FA3"/>
    <w:rsid w:val="00371B52"/>
    <w:rsid w:val="00371CFB"/>
    <w:rsid w:val="0037524D"/>
    <w:rsid w:val="00377D66"/>
    <w:rsid w:val="00380115"/>
    <w:rsid w:val="00383095"/>
    <w:rsid w:val="00384053"/>
    <w:rsid w:val="003840A5"/>
    <w:rsid w:val="0038428E"/>
    <w:rsid w:val="0038477F"/>
    <w:rsid w:val="00385FD9"/>
    <w:rsid w:val="00386F6E"/>
    <w:rsid w:val="00393AE4"/>
    <w:rsid w:val="00394C4F"/>
    <w:rsid w:val="0039577C"/>
    <w:rsid w:val="003958AA"/>
    <w:rsid w:val="00397064"/>
    <w:rsid w:val="003A2108"/>
    <w:rsid w:val="003A3871"/>
    <w:rsid w:val="003A41A1"/>
    <w:rsid w:val="003A4CB0"/>
    <w:rsid w:val="003A53F4"/>
    <w:rsid w:val="003B2081"/>
    <w:rsid w:val="003B2269"/>
    <w:rsid w:val="003B4CB1"/>
    <w:rsid w:val="003C3514"/>
    <w:rsid w:val="003C390F"/>
    <w:rsid w:val="003C4ACC"/>
    <w:rsid w:val="003D00D4"/>
    <w:rsid w:val="003D0D30"/>
    <w:rsid w:val="003D4DE6"/>
    <w:rsid w:val="003F34E1"/>
    <w:rsid w:val="003F5C01"/>
    <w:rsid w:val="003F6EC1"/>
    <w:rsid w:val="003F76CF"/>
    <w:rsid w:val="004004E8"/>
    <w:rsid w:val="00407EA5"/>
    <w:rsid w:val="00415631"/>
    <w:rsid w:val="00417136"/>
    <w:rsid w:val="0042292F"/>
    <w:rsid w:val="00423FF9"/>
    <w:rsid w:val="004309D8"/>
    <w:rsid w:val="00430F50"/>
    <w:rsid w:val="00431A6B"/>
    <w:rsid w:val="0043695F"/>
    <w:rsid w:val="00437D29"/>
    <w:rsid w:val="004404CC"/>
    <w:rsid w:val="004425FB"/>
    <w:rsid w:val="0044457E"/>
    <w:rsid w:val="004578F3"/>
    <w:rsid w:val="00464C82"/>
    <w:rsid w:val="004679AA"/>
    <w:rsid w:val="0047152D"/>
    <w:rsid w:val="00476A55"/>
    <w:rsid w:val="004802CF"/>
    <w:rsid w:val="0048106F"/>
    <w:rsid w:val="00482B42"/>
    <w:rsid w:val="00482E9F"/>
    <w:rsid w:val="00483B44"/>
    <w:rsid w:val="00484E78"/>
    <w:rsid w:val="00485F2C"/>
    <w:rsid w:val="00492FFA"/>
    <w:rsid w:val="004A48EB"/>
    <w:rsid w:val="004B1863"/>
    <w:rsid w:val="004B2737"/>
    <w:rsid w:val="004B78B2"/>
    <w:rsid w:val="004C193B"/>
    <w:rsid w:val="004D059A"/>
    <w:rsid w:val="004D4E1E"/>
    <w:rsid w:val="004D5C4B"/>
    <w:rsid w:val="004E1817"/>
    <w:rsid w:val="004E1A62"/>
    <w:rsid w:val="004E32DB"/>
    <w:rsid w:val="004E3665"/>
    <w:rsid w:val="004E3CC3"/>
    <w:rsid w:val="004E50AD"/>
    <w:rsid w:val="004E7BBF"/>
    <w:rsid w:val="004F003F"/>
    <w:rsid w:val="004F008E"/>
    <w:rsid w:val="004F0D8F"/>
    <w:rsid w:val="004F1BF3"/>
    <w:rsid w:val="0050278C"/>
    <w:rsid w:val="00503D24"/>
    <w:rsid w:val="00504695"/>
    <w:rsid w:val="0051089F"/>
    <w:rsid w:val="00510EE4"/>
    <w:rsid w:val="00511845"/>
    <w:rsid w:val="00513068"/>
    <w:rsid w:val="0051397C"/>
    <w:rsid w:val="00522C50"/>
    <w:rsid w:val="0052630E"/>
    <w:rsid w:val="00526C41"/>
    <w:rsid w:val="00530F04"/>
    <w:rsid w:val="005333ED"/>
    <w:rsid w:val="00551D04"/>
    <w:rsid w:val="005541CC"/>
    <w:rsid w:val="00554C2C"/>
    <w:rsid w:val="0055664B"/>
    <w:rsid w:val="005570CA"/>
    <w:rsid w:val="005611F8"/>
    <w:rsid w:val="00562B8A"/>
    <w:rsid w:val="00565A83"/>
    <w:rsid w:val="00566094"/>
    <w:rsid w:val="00572828"/>
    <w:rsid w:val="0058378A"/>
    <w:rsid w:val="00584537"/>
    <w:rsid w:val="005920F2"/>
    <w:rsid w:val="00592455"/>
    <w:rsid w:val="00595E59"/>
    <w:rsid w:val="00596D67"/>
    <w:rsid w:val="0059717B"/>
    <w:rsid w:val="005972AD"/>
    <w:rsid w:val="00597F49"/>
    <w:rsid w:val="005A4B10"/>
    <w:rsid w:val="005A52D2"/>
    <w:rsid w:val="005A5BB2"/>
    <w:rsid w:val="005A75B4"/>
    <w:rsid w:val="005B0A79"/>
    <w:rsid w:val="005B0D73"/>
    <w:rsid w:val="005B1DE3"/>
    <w:rsid w:val="005B2F34"/>
    <w:rsid w:val="005C33A9"/>
    <w:rsid w:val="005C71F1"/>
    <w:rsid w:val="005D04E0"/>
    <w:rsid w:val="005D0AEA"/>
    <w:rsid w:val="005D3D63"/>
    <w:rsid w:val="005F0665"/>
    <w:rsid w:val="005F1A43"/>
    <w:rsid w:val="005F5D32"/>
    <w:rsid w:val="005F694A"/>
    <w:rsid w:val="005F7C8F"/>
    <w:rsid w:val="00602B59"/>
    <w:rsid w:val="00602B61"/>
    <w:rsid w:val="00602F3D"/>
    <w:rsid w:val="006116ED"/>
    <w:rsid w:val="00614D40"/>
    <w:rsid w:val="00623EEA"/>
    <w:rsid w:val="00625DC1"/>
    <w:rsid w:val="00626C65"/>
    <w:rsid w:val="0063615D"/>
    <w:rsid w:val="00636EB3"/>
    <w:rsid w:val="00637144"/>
    <w:rsid w:val="00637242"/>
    <w:rsid w:val="006409EE"/>
    <w:rsid w:val="00641E04"/>
    <w:rsid w:val="00645338"/>
    <w:rsid w:val="00647E28"/>
    <w:rsid w:val="00655697"/>
    <w:rsid w:val="0066018E"/>
    <w:rsid w:val="00665178"/>
    <w:rsid w:val="0066531B"/>
    <w:rsid w:val="00666A22"/>
    <w:rsid w:val="00667A43"/>
    <w:rsid w:val="006723DB"/>
    <w:rsid w:val="0067347A"/>
    <w:rsid w:val="00674E76"/>
    <w:rsid w:val="00677405"/>
    <w:rsid w:val="00681262"/>
    <w:rsid w:val="00686717"/>
    <w:rsid w:val="00686BF2"/>
    <w:rsid w:val="006871AB"/>
    <w:rsid w:val="0069227A"/>
    <w:rsid w:val="00692407"/>
    <w:rsid w:val="00692D4D"/>
    <w:rsid w:val="00692FD6"/>
    <w:rsid w:val="006934D2"/>
    <w:rsid w:val="00695867"/>
    <w:rsid w:val="0069716C"/>
    <w:rsid w:val="00697631"/>
    <w:rsid w:val="006A11EB"/>
    <w:rsid w:val="006A3C2D"/>
    <w:rsid w:val="006A444B"/>
    <w:rsid w:val="006A7E72"/>
    <w:rsid w:val="006B15AF"/>
    <w:rsid w:val="006B2ACB"/>
    <w:rsid w:val="006B6BC0"/>
    <w:rsid w:val="006B744F"/>
    <w:rsid w:val="006C262B"/>
    <w:rsid w:val="006C61C6"/>
    <w:rsid w:val="006D6E77"/>
    <w:rsid w:val="006E07C1"/>
    <w:rsid w:val="006E453D"/>
    <w:rsid w:val="006E4DB7"/>
    <w:rsid w:val="006E5471"/>
    <w:rsid w:val="006E60C2"/>
    <w:rsid w:val="006F5C4A"/>
    <w:rsid w:val="006F734C"/>
    <w:rsid w:val="006F7B71"/>
    <w:rsid w:val="00707753"/>
    <w:rsid w:val="00707AFA"/>
    <w:rsid w:val="00713D18"/>
    <w:rsid w:val="00726A30"/>
    <w:rsid w:val="00734961"/>
    <w:rsid w:val="007364CF"/>
    <w:rsid w:val="00736E42"/>
    <w:rsid w:val="00737EB3"/>
    <w:rsid w:val="007448A9"/>
    <w:rsid w:val="00744CC6"/>
    <w:rsid w:val="00751D6C"/>
    <w:rsid w:val="00754F1A"/>
    <w:rsid w:val="00764333"/>
    <w:rsid w:val="00765D39"/>
    <w:rsid w:val="0076700B"/>
    <w:rsid w:val="00767DD7"/>
    <w:rsid w:val="00772F5C"/>
    <w:rsid w:val="00781718"/>
    <w:rsid w:val="0078253E"/>
    <w:rsid w:val="00786B73"/>
    <w:rsid w:val="007877EB"/>
    <w:rsid w:val="00790252"/>
    <w:rsid w:val="007925D5"/>
    <w:rsid w:val="007938A9"/>
    <w:rsid w:val="00797300"/>
    <w:rsid w:val="007A2C23"/>
    <w:rsid w:val="007A4E81"/>
    <w:rsid w:val="007B3BD0"/>
    <w:rsid w:val="007B5F30"/>
    <w:rsid w:val="007B694C"/>
    <w:rsid w:val="007C28EC"/>
    <w:rsid w:val="007C515B"/>
    <w:rsid w:val="007C64C3"/>
    <w:rsid w:val="007C779F"/>
    <w:rsid w:val="007D0AB0"/>
    <w:rsid w:val="007D1CD3"/>
    <w:rsid w:val="007D251F"/>
    <w:rsid w:val="007D303D"/>
    <w:rsid w:val="007D33F9"/>
    <w:rsid w:val="007D576F"/>
    <w:rsid w:val="007D595B"/>
    <w:rsid w:val="007D73C5"/>
    <w:rsid w:val="007D74AB"/>
    <w:rsid w:val="007D753D"/>
    <w:rsid w:val="007E1CB7"/>
    <w:rsid w:val="007E1E5D"/>
    <w:rsid w:val="007E2A49"/>
    <w:rsid w:val="007E4617"/>
    <w:rsid w:val="007F0FDE"/>
    <w:rsid w:val="007F2E1E"/>
    <w:rsid w:val="007F56A7"/>
    <w:rsid w:val="007F7403"/>
    <w:rsid w:val="007F7D70"/>
    <w:rsid w:val="008010E4"/>
    <w:rsid w:val="00805C1D"/>
    <w:rsid w:val="00813399"/>
    <w:rsid w:val="00813E23"/>
    <w:rsid w:val="008161F7"/>
    <w:rsid w:val="0081688C"/>
    <w:rsid w:val="00816D19"/>
    <w:rsid w:val="00817DFB"/>
    <w:rsid w:val="00825522"/>
    <w:rsid w:val="008316F1"/>
    <w:rsid w:val="008348C0"/>
    <w:rsid w:val="008422AE"/>
    <w:rsid w:val="00844F48"/>
    <w:rsid w:val="008453C8"/>
    <w:rsid w:val="00846A34"/>
    <w:rsid w:val="008504C4"/>
    <w:rsid w:val="00854E4A"/>
    <w:rsid w:val="00855BB9"/>
    <w:rsid w:val="00856734"/>
    <w:rsid w:val="00857D2F"/>
    <w:rsid w:val="00862775"/>
    <w:rsid w:val="00866AB8"/>
    <w:rsid w:val="00866B18"/>
    <w:rsid w:val="008670FB"/>
    <w:rsid w:val="008671B5"/>
    <w:rsid w:val="00867E20"/>
    <w:rsid w:val="00867ED3"/>
    <w:rsid w:val="008715E8"/>
    <w:rsid w:val="00875E22"/>
    <w:rsid w:val="008765E7"/>
    <w:rsid w:val="008775A2"/>
    <w:rsid w:val="008816A3"/>
    <w:rsid w:val="0088183F"/>
    <w:rsid w:val="0088442A"/>
    <w:rsid w:val="0088547C"/>
    <w:rsid w:val="008914D4"/>
    <w:rsid w:val="0089324A"/>
    <w:rsid w:val="00894CE0"/>
    <w:rsid w:val="008A2613"/>
    <w:rsid w:val="008A334C"/>
    <w:rsid w:val="008A53A5"/>
    <w:rsid w:val="008A5E2A"/>
    <w:rsid w:val="008A6A9D"/>
    <w:rsid w:val="008B1062"/>
    <w:rsid w:val="008B36BC"/>
    <w:rsid w:val="008B7599"/>
    <w:rsid w:val="008B7E34"/>
    <w:rsid w:val="008C600A"/>
    <w:rsid w:val="008D0B40"/>
    <w:rsid w:val="008D2AF2"/>
    <w:rsid w:val="008D6258"/>
    <w:rsid w:val="008D63D2"/>
    <w:rsid w:val="008D7CC0"/>
    <w:rsid w:val="008E07DB"/>
    <w:rsid w:val="008E0D39"/>
    <w:rsid w:val="008F0616"/>
    <w:rsid w:val="008F0A14"/>
    <w:rsid w:val="008F1571"/>
    <w:rsid w:val="008F5171"/>
    <w:rsid w:val="0090691F"/>
    <w:rsid w:val="00910875"/>
    <w:rsid w:val="00910C11"/>
    <w:rsid w:val="00914900"/>
    <w:rsid w:val="009250B3"/>
    <w:rsid w:val="0092691A"/>
    <w:rsid w:val="00931299"/>
    <w:rsid w:val="00933603"/>
    <w:rsid w:val="00934BF8"/>
    <w:rsid w:val="00943753"/>
    <w:rsid w:val="009459AF"/>
    <w:rsid w:val="00946B9A"/>
    <w:rsid w:val="009475DE"/>
    <w:rsid w:val="00955402"/>
    <w:rsid w:val="00956E23"/>
    <w:rsid w:val="00957AAD"/>
    <w:rsid w:val="00961834"/>
    <w:rsid w:val="0097005F"/>
    <w:rsid w:val="00971A96"/>
    <w:rsid w:val="00972426"/>
    <w:rsid w:val="00973E44"/>
    <w:rsid w:val="009757C8"/>
    <w:rsid w:val="00976F70"/>
    <w:rsid w:val="009774DC"/>
    <w:rsid w:val="00985C1D"/>
    <w:rsid w:val="0098791F"/>
    <w:rsid w:val="00990F8C"/>
    <w:rsid w:val="009915B5"/>
    <w:rsid w:val="00991820"/>
    <w:rsid w:val="0099223E"/>
    <w:rsid w:val="009A2301"/>
    <w:rsid w:val="009A2C3A"/>
    <w:rsid w:val="009A3174"/>
    <w:rsid w:val="009A57BE"/>
    <w:rsid w:val="009A5859"/>
    <w:rsid w:val="009A6666"/>
    <w:rsid w:val="009A6A3D"/>
    <w:rsid w:val="009B0357"/>
    <w:rsid w:val="009B4E27"/>
    <w:rsid w:val="009C0498"/>
    <w:rsid w:val="009C08D9"/>
    <w:rsid w:val="009C0F3B"/>
    <w:rsid w:val="009C3B2D"/>
    <w:rsid w:val="009D29AF"/>
    <w:rsid w:val="009E0452"/>
    <w:rsid w:val="009E2C8D"/>
    <w:rsid w:val="009E3766"/>
    <w:rsid w:val="009E7931"/>
    <w:rsid w:val="009E7D30"/>
    <w:rsid w:val="009F09A9"/>
    <w:rsid w:val="009F237B"/>
    <w:rsid w:val="009F2E0F"/>
    <w:rsid w:val="009F564C"/>
    <w:rsid w:val="009F5892"/>
    <w:rsid w:val="00A04530"/>
    <w:rsid w:val="00A109F8"/>
    <w:rsid w:val="00A140F9"/>
    <w:rsid w:val="00A176C9"/>
    <w:rsid w:val="00A25DB0"/>
    <w:rsid w:val="00A269EC"/>
    <w:rsid w:val="00A3337C"/>
    <w:rsid w:val="00A37377"/>
    <w:rsid w:val="00A426F9"/>
    <w:rsid w:val="00A44E01"/>
    <w:rsid w:val="00A46F69"/>
    <w:rsid w:val="00A50686"/>
    <w:rsid w:val="00A53FC8"/>
    <w:rsid w:val="00A553FB"/>
    <w:rsid w:val="00A5788F"/>
    <w:rsid w:val="00A57F82"/>
    <w:rsid w:val="00A63B5E"/>
    <w:rsid w:val="00A64FD7"/>
    <w:rsid w:val="00A665E7"/>
    <w:rsid w:val="00A67B94"/>
    <w:rsid w:val="00A74689"/>
    <w:rsid w:val="00A76AF1"/>
    <w:rsid w:val="00A802FE"/>
    <w:rsid w:val="00A83006"/>
    <w:rsid w:val="00A87027"/>
    <w:rsid w:val="00A90431"/>
    <w:rsid w:val="00A90E4F"/>
    <w:rsid w:val="00A9192D"/>
    <w:rsid w:val="00A95F2F"/>
    <w:rsid w:val="00AA080E"/>
    <w:rsid w:val="00AA1983"/>
    <w:rsid w:val="00AA5A88"/>
    <w:rsid w:val="00AB0712"/>
    <w:rsid w:val="00AB3AB0"/>
    <w:rsid w:val="00AB598A"/>
    <w:rsid w:val="00AB59BB"/>
    <w:rsid w:val="00AB7684"/>
    <w:rsid w:val="00AC35DF"/>
    <w:rsid w:val="00AC5D8D"/>
    <w:rsid w:val="00AD6ED5"/>
    <w:rsid w:val="00AE0050"/>
    <w:rsid w:val="00AE3C4B"/>
    <w:rsid w:val="00AE4A6E"/>
    <w:rsid w:val="00AE5C4E"/>
    <w:rsid w:val="00AE729D"/>
    <w:rsid w:val="00AF3169"/>
    <w:rsid w:val="00AF3654"/>
    <w:rsid w:val="00AF37AA"/>
    <w:rsid w:val="00B03E98"/>
    <w:rsid w:val="00B04395"/>
    <w:rsid w:val="00B063BA"/>
    <w:rsid w:val="00B06BFE"/>
    <w:rsid w:val="00B10AF3"/>
    <w:rsid w:val="00B121DA"/>
    <w:rsid w:val="00B17E1C"/>
    <w:rsid w:val="00B20BC5"/>
    <w:rsid w:val="00B23611"/>
    <w:rsid w:val="00B23D74"/>
    <w:rsid w:val="00B25F94"/>
    <w:rsid w:val="00B31CB1"/>
    <w:rsid w:val="00B3216F"/>
    <w:rsid w:val="00B35965"/>
    <w:rsid w:val="00B37995"/>
    <w:rsid w:val="00B437ED"/>
    <w:rsid w:val="00B43A4D"/>
    <w:rsid w:val="00B516DB"/>
    <w:rsid w:val="00B53A82"/>
    <w:rsid w:val="00B5668B"/>
    <w:rsid w:val="00B62DCD"/>
    <w:rsid w:val="00B65F57"/>
    <w:rsid w:val="00B66C17"/>
    <w:rsid w:val="00B705C0"/>
    <w:rsid w:val="00B71D2B"/>
    <w:rsid w:val="00B7467D"/>
    <w:rsid w:val="00B8046F"/>
    <w:rsid w:val="00B82585"/>
    <w:rsid w:val="00B83F70"/>
    <w:rsid w:val="00B86130"/>
    <w:rsid w:val="00B905CE"/>
    <w:rsid w:val="00BA1BB4"/>
    <w:rsid w:val="00BA3284"/>
    <w:rsid w:val="00BA3AC0"/>
    <w:rsid w:val="00BA3CFB"/>
    <w:rsid w:val="00BA4901"/>
    <w:rsid w:val="00BB1C39"/>
    <w:rsid w:val="00BB4425"/>
    <w:rsid w:val="00BB781C"/>
    <w:rsid w:val="00BC12AC"/>
    <w:rsid w:val="00BC4CF2"/>
    <w:rsid w:val="00BC571F"/>
    <w:rsid w:val="00BC769E"/>
    <w:rsid w:val="00BD0F2B"/>
    <w:rsid w:val="00BD16A4"/>
    <w:rsid w:val="00BD3294"/>
    <w:rsid w:val="00BD5D7F"/>
    <w:rsid w:val="00BE4D61"/>
    <w:rsid w:val="00BE567E"/>
    <w:rsid w:val="00BE6372"/>
    <w:rsid w:val="00BE6627"/>
    <w:rsid w:val="00BF0CDC"/>
    <w:rsid w:val="00BF137B"/>
    <w:rsid w:val="00BF27A3"/>
    <w:rsid w:val="00BF4688"/>
    <w:rsid w:val="00BF474B"/>
    <w:rsid w:val="00BF6E8B"/>
    <w:rsid w:val="00BF713D"/>
    <w:rsid w:val="00C03BD1"/>
    <w:rsid w:val="00C048DF"/>
    <w:rsid w:val="00C07180"/>
    <w:rsid w:val="00C075DD"/>
    <w:rsid w:val="00C11DA7"/>
    <w:rsid w:val="00C1531B"/>
    <w:rsid w:val="00C257FA"/>
    <w:rsid w:val="00C263FA"/>
    <w:rsid w:val="00C311D1"/>
    <w:rsid w:val="00C35DD3"/>
    <w:rsid w:val="00C40016"/>
    <w:rsid w:val="00C43075"/>
    <w:rsid w:val="00C43432"/>
    <w:rsid w:val="00C44787"/>
    <w:rsid w:val="00C52215"/>
    <w:rsid w:val="00C53A15"/>
    <w:rsid w:val="00C53EBB"/>
    <w:rsid w:val="00C5549C"/>
    <w:rsid w:val="00C55C59"/>
    <w:rsid w:val="00C61AB3"/>
    <w:rsid w:val="00C67353"/>
    <w:rsid w:val="00C6797E"/>
    <w:rsid w:val="00C739F1"/>
    <w:rsid w:val="00C7673A"/>
    <w:rsid w:val="00C905B6"/>
    <w:rsid w:val="00C929EC"/>
    <w:rsid w:val="00C93766"/>
    <w:rsid w:val="00C953EF"/>
    <w:rsid w:val="00C95A5F"/>
    <w:rsid w:val="00C96EB6"/>
    <w:rsid w:val="00CA10F2"/>
    <w:rsid w:val="00CA654E"/>
    <w:rsid w:val="00CA774B"/>
    <w:rsid w:val="00CA7ACE"/>
    <w:rsid w:val="00CB34AE"/>
    <w:rsid w:val="00CB7F2A"/>
    <w:rsid w:val="00CC1556"/>
    <w:rsid w:val="00CC412F"/>
    <w:rsid w:val="00CD327C"/>
    <w:rsid w:val="00CD379F"/>
    <w:rsid w:val="00CD7262"/>
    <w:rsid w:val="00CD73FD"/>
    <w:rsid w:val="00CE0591"/>
    <w:rsid w:val="00CE193B"/>
    <w:rsid w:val="00CE6023"/>
    <w:rsid w:val="00CE6ED7"/>
    <w:rsid w:val="00CE726B"/>
    <w:rsid w:val="00CF0770"/>
    <w:rsid w:val="00CF0C7D"/>
    <w:rsid w:val="00CF11BB"/>
    <w:rsid w:val="00CF1509"/>
    <w:rsid w:val="00CF3C3D"/>
    <w:rsid w:val="00CF40C7"/>
    <w:rsid w:val="00CF431B"/>
    <w:rsid w:val="00D01CF8"/>
    <w:rsid w:val="00D02A8C"/>
    <w:rsid w:val="00D02FAF"/>
    <w:rsid w:val="00D0369D"/>
    <w:rsid w:val="00D03A05"/>
    <w:rsid w:val="00D04E9D"/>
    <w:rsid w:val="00D06F2B"/>
    <w:rsid w:val="00D10668"/>
    <w:rsid w:val="00D119F0"/>
    <w:rsid w:val="00D11D79"/>
    <w:rsid w:val="00D13DB6"/>
    <w:rsid w:val="00D16480"/>
    <w:rsid w:val="00D167C6"/>
    <w:rsid w:val="00D213FB"/>
    <w:rsid w:val="00D23678"/>
    <w:rsid w:val="00D2783E"/>
    <w:rsid w:val="00D3017E"/>
    <w:rsid w:val="00D31BF8"/>
    <w:rsid w:val="00D32813"/>
    <w:rsid w:val="00D37A03"/>
    <w:rsid w:val="00D41C74"/>
    <w:rsid w:val="00D44CFF"/>
    <w:rsid w:val="00D4621D"/>
    <w:rsid w:val="00D57CB8"/>
    <w:rsid w:val="00D604B8"/>
    <w:rsid w:val="00D60E01"/>
    <w:rsid w:val="00D62177"/>
    <w:rsid w:val="00D62D28"/>
    <w:rsid w:val="00D64BD0"/>
    <w:rsid w:val="00D652AD"/>
    <w:rsid w:val="00D70EBC"/>
    <w:rsid w:val="00D71402"/>
    <w:rsid w:val="00D71812"/>
    <w:rsid w:val="00D7223C"/>
    <w:rsid w:val="00D7236F"/>
    <w:rsid w:val="00D766D7"/>
    <w:rsid w:val="00D851CA"/>
    <w:rsid w:val="00D86C14"/>
    <w:rsid w:val="00D87616"/>
    <w:rsid w:val="00D9055F"/>
    <w:rsid w:val="00D94B77"/>
    <w:rsid w:val="00DA000D"/>
    <w:rsid w:val="00DA58F6"/>
    <w:rsid w:val="00DA65B7"/>
    <w:rsid w:val="00DB00C5"/>
    <w:rsid w:val="00DB20DE"/>
    <w:rsid w:val="00DC0C40"/>
    <w:rsid w:val="00DC21DA"/>
    <w:rsid w:val="00DC3684"/>
    <w:rsid w:val="00DC5DB3"/>
    <w:rsid w:val="00DD3FE9"/>
    <w:rsid w:val="00DD45FD"/>
    <w:rsid w:val="00DD48E4"/>
    <w:rsid w:val="00DD74C4"/>
    <w:rsid w:val="00DE06D6"/>
    <w:rsid w:val="00DE115C"/>
    <w:rsid w:val="00DE3C7C"/>
    <w:rsid w:val="00DF4676"/>
    <w:rsid w:val="00DF5E97"/>
    <w:rsid w:val="00DF5F66"/>
    <w:rsid w:val="00DF5F6C"/>
    <w:rsid w:val="00DF7BD9"/>
    <w:rsid w:val="00DF7CC7"/>
    <w:rsid w:val="00E00D91"/>
    <w:rsid w:val="00E0293A"/>
    <w:rsid w:val="00E0389B"/>
    <w:rsid w:val="00E052B0"/>
    <w:rsid w:val="00E11F75"/>
    <w:rsid w:val="00E12920"/>
    <w:rsid w:val="00E23795"/>
    <w:rsid w:val="00E24AB9"/>
    <w:rsid w:val="00E32119"/>
    <w:rsid w:val="00E36962"/>
    <w:rsid w:val="00E4122E"/>
    <w:rsid w:val="00E426F5"/>
    <w:rsid w:val="00E42C0A"/>
    <w:rsid w:val="00E4324A"/>
    <w:rsid w:val="00E455C7"/>
    <w:rsid w:val="00E50C4C"/>
    <w:rsid w:val="00E559D8"/>
    <w:rsid w:val="00E564EE"/>
    <w:rsid w:val="00E5700B"/>
    <w:rsid w:val="00E603B4"/>
    <w:rsid w:val="00E65E66"/>
    <w:rsid w:val="00E670A1"/>
    <w:rsid w:val="00E67ED6"/>
    <w:rsid w:val="00E7163D"/>
    <w:rsid w:val="00E717DA"/>
    <w:rsid w:val="00E7308E"/>
    <w:rsid w:val="00E733C6"/>
    <w:rsid w:val="00E7505F"/>
    <w:rsid w:val="00E75715"/>
    <w:rsid w:val="00E75BC7"/>
    <w:rsid w:val="00E85543"/>
    <w:rsid w:val="00E8667F"/>
    <w:rsid w:val="00E86877"/>
    <w:rsid w:val="00E919DF"/>
    <w:rsid w:val="00E9791C"/>
    <w:rsid w:val="00E97DBC"/>
    <w:rsid w:val="00EA2A3A"/>
    <w:rsid w:val="00EA3B55"/>
    <w:rsid w:val="00EA3DBA"/>
    <w:rsid w:val="00EB2F47"/>
    <w:rsid w:val="00EB58B5"/>
    <w:rsid w:val="00EB7472"/>
    <w:rsid w:val="00EC0F7F"/>
    <w:rsid w:val="00EC4601"/>
    <w:rsid w:val="00EC62D3"/>
    <w:rsid w:val="00EC735A"/>
    <w:rsid w:val="00ED0CAF"/>
    <w:rsid w:val="00ED2013"/>
    <w:rsid w:val="00ED2398"/>
    <w:rsid w:val="00ED744A"/>
    <w:rsid w:val="00ED7FE9"/>
    <w:rsid w:val="00EE329B"/>
    <w:rsid w:val="00EE4A8A"/>
    <w:rsid w:val="00EE5717"/>
    <w:rsid w:val="00EF00F2"/>
    <w:rsid w:val="00EF159C"/>
    <w:rsid w:val="00EF2A2E"/>
    <w:rsid w:val="00EF2AE3"/>
    <w:rsid w:val="00F0119C"/>
    <w:rsid w:val="00F04D37"/>
    <w:rsid w:val="00F04E75"/>
    <w:rsid w:val="00F10E93"/>
    <w:rsid w:val="00F1173A"/>
    <w:rsid w:val="00F14149"/>
    <w:rsid w:val="00F14887"/>
    <w:rsid w:val="00F1635E"/>
    <w:rsid w:val="00F20BBB"/>
    <w:rsid w:val="00F22D89"/>
    <w:rsid w:val="00F25F70"/>
    <w:rsid w:val="00F26169"/>
    <w:rsid w:val="00F27236"/>
    <w:rsid w:val="00F278B3"/>
    <w:rsid w:val="00F30E40"/>
    <w:rsid w:val="00F31981"/>
    <w:rsid w:val="00F32B86"/>
    <w:rsid w:val="00F4134D"/>
    <w:rsid w:val="00F422F9"/>
    <w:rsid w:val="00F4603C"/>
    <w:rsid w:val="00F51702"/>
    <w:rsid w:val="00F55963"/>
    <w:rsid w:val="00F574D6"/>
    <w:rsid w:val="00F627E4"/>
    <w:rsid w:val="00F6377E"/>
    <w:rsid w:val="00F63F8E"/>
    <w:rsid w:val="00F652F0"/>
    <w:rsid w:val="00F66B07"/>
    <w:rsid w:val="00F766CC"/>
    <w:rsid w:val="00F77535"/>
    <w:rsid w:val="00F85B6D"/>
    <w:rsid w:val="00FA15EE"/>
    <w:rsid w:val="00FA7091"/>
    <w:rsid w:val="00FA731D"/>
    <w:rsid w:val="00FC1ADB"/>
    <w:rsid w:val="00FC1BD9"/>
    <w:rsid w:val="00FC2734"/>
    <w:rsid w:val="00FC4ABF"/>
    <w:rsid w:val="00FC705B"/>
    <w:rsid w:val="00FD6FFF"/>
    <w:rsid w:val="00FE6128"/>
    <w:rsid w:val="00FF0B54"/>
    <w:rsid w:val="00FF0D48"/>
    <w:rsid w:val="00FF2EA8"/>
    <w:rsid w:val="00FF40C8"/>
    <w:rsid w:val="00FF43E1"/>
    <w:rsid w:val="00FF6F8C"/>
    <w:rsid w:val="015E0223"/>
    <w:rsid w:val="017B2F92"/>
    <w:rsid w:val="018605C8"/>
    <w:rsid w:val="01F114A6"/>
    <w:rsid w:val="022C6BFD"/>
    <w:rsid w:val="02CB1CF7"/>
    <w:rsid w:val="02F86E50"/>
    <w:rsid w:val="031E1CD6"/>
    <w:rsid w:val="03C86237"/>
    <w:rsid w:val="0402799B"/>
    <w:rsid w:val="041F498B"/>
    <w:rsid w:val="05015EA4"/>
    <w:rsid w:val="054E09BE"/>
    <w:rsid w:val="05544114"/>
    <w:rsid w:val="05920982"/>
    <w:rsid w:val="06103B1C"/>
    <w:rsid w:val="06125EF8"/>
    <w:rsid w:val="065B2377"/>
    <w:rsid w:val="06816112"/>
    <w:rsid w:val="06D47025"/>
    <w:rsid w:val="07265417"/>
    <w:rsid w:val="08086FD9"/>
    <w:rsid w:val="080D4392"/>
    <w:rsid w:val="09811B61"/>
    <w:rsid w:val="09C17B5A"/>
    <w:rsid w:val="0A065D32"/>
    <w:rsid w:val="0A3B3F26"/>
    <w:rsid w:val="0A611BF8"/>
    <w:rsid w:val="0AAB2D53"/>
    <w:rsid w:val="0C4E72D9"/>
    <w:rsid w:val="0D3368D8"/>
    <w:rsid w:val="0D821B4C"/>
    <w:rsid w:val="0E1E0FBF"/>
    <w:rsid w:val="0E8E019B"/>
    <w:rsid w:val="0E976B30"/>
    <w:rsid w:val="0F0412FE"/>
    <w:rsid w:val="0F483F12"/>
    <w:rsid w:val="10703CAE"/>
    <w:rsid w:val="11317B11"/>
    <w:rsid w:val="11D17D3C"/>
    <w:rsid w:val="12916B05"/>
    <w:rsid w:val="1331518B"/>
    <w:rsid w:val="13631AD8"/>
    <w:rsid w:val="138F1705"/>
    <w:rsid w:val="139100A5"/>
    <w:rsid w:val="13D70E28"/>
    <w:rsid w:val="13D71183"/>
    <w:rsid w:val="14017C96"/>
    <w:rsid w:val="14CA0061"/>
    <w:rsid w:val="14CB202B"/>
    <w:rsid w:val="15BA4FC5"/>
    <w:rsid w:val="16557DFE"/>
    <w:rsid w:val="166440F0"/>
    <w:rsid w:val="16677B31"/>
    <w:rsid w:val="16D675DC"/>
    <w:rsid w:val="17030DB9"/>
    <w:rsid w:val="173206F1"/>
    <w:rsid w:val="17932C71"/>
    <w:rsid w:val="17D4177E"/>
    <w:rsid w:val="18057602"/>
    <w:rsid w:val="182934AF"/>
    <w:rsid w:val="1A4421DD"/>
    <w:rsid w:val="1A933624"/>
    <w:rsid w:val="1AFD3BB0"/>
    <w:rsid w:val="1B2028FE"/>
    <w:rsid w:val="1B895053"/>
    <w:rsid w:val="1CBC73CE"/>
    <w:rsid w:val="1D0A21C5"/>
    <w:rsid w:val="1E6E0DF3"/>
    <w:rsid w:val="1EB76530"/>
    <w:rsid w:val="1FC22C61"/>
    <w:rsid w:val="1FE12520"/>
    <w:rsid w:val="20D1106D"/>
    <w:rsid w:val="20D2101F"/>
    <w:rsid w:val="212D3A88"/>
    <w:rsid w:val="21337C4D"/>
    <w:rsid w:val="2190618E"/>
    <w:rsid w:val="21944694"/>
    <w:rsid w:val="21B952E7"/>
    <w:rsid w:val="21D55BFC"/>
    <w:rsid w:val="22D15D8C"/>
    <w:rsid w:val="23046E34"/>
    <w:rsid w:val="24016AA8"/>
    <w:rsid w:val="252C08C4"/>
    <w:rsid w:val="25786DC9"/>
    <w:rsid w:val="25902B17"/>
    <w:rsid w:val="25E64E09"/>
    <w:rsid w:val="265D07B3"/>
    <w:rsid w:val="269336DA"/>
    <w:rsid w:val="26BF0015"/>
    <w:rsid w:val="274C5493"/>
    <w:rsid w:val="27637EA1"/>
    <w:rsid w:val="27962024"/>
    <w:rsid w:val="2912098D"/>
    <w:rsid w:val="296C416D"/>
    <w:rsid w:val="29A16A53"/>
    <w:rsid w:val="2A3C1343"/>
    <w:rsid w:val="2A6D0022"/>
    <w:rsid w:val="2B5E690F"/>
    <w:rsid w:val="2B6F1D08"/>
    <w:rsid w:val="2C424529"/>
    <w:rsid w:val="2D35408E"/>
    <w:rsid w:val="2D5B3C82"/>
    <w:rsid w:val="2E2747C2"/>
    <w:rsid w:val="2EB2380A"/>
    <w:rsid w:val="2ED94AA6"/>
    <w:rsid w:val="2F7421E8"/>
    <w:rsid w:val="2FB96D04"/>
    <w:rsid w:val="302D6B7D"/>
    <w:rsid w:val="30DD0CC4"/>
    <w:rsid w:val="30EC15D5"/>
    <w:rsid w:val="31A12389"/>
    <w:rsid w:val="33185FE3"/>
    <w:rsid w:val="332176B3"/>
    <w:rsid w:val="33456600"/>
    <w:rsid w:val="346C3430"/>
    <w:rsid w:val="34C73392"/>
    <w:rsid w:val="35867971"/>
    <w:rsid w:val="35F965A0"/>
    <w:rsid w:val="36033620"/>
    <w:rsid w:val="374F3D14"/>
    <w:rsid w:val="37553C89"/>
    <w:rsid w:val="38034893"/>
    <w:rsid w:val="387B72E9"/>
    <w:rsid w:val="38992D84"/>
    <w:rsid w:val="38AC17E4"/>
    <w:rsid w:val="39587A49"/>
    <w:rsid w:val="39E150DA"/>
    <w:rsid w:val="3A1727D8"/>
    <w:rsid w:val="3BBC7B80"/>
    <w:rsid w:val="3BED2703"/>
    <w:rsid w:val="3C4A30C0"/>
    <w:rsid w:val="3CA91A21"/>
    <w:rsid w:val="3D041F85"/>
    <w:rsid w:val="3DC83C6D"/>
    <w:rsid w:val="3DF37A29"/>
    <w:rsid w:val="3E2F44CC"/>
    <w:rsid w:val="3EB13B0E"/>
    <w:rsid w:val="3EBD644A"/>
    <w:rsid w:val="3ECA3A3B"/>
    <w:rsid w:val="3FC364C0"/>
    <w:rsid w:val="3FE8128C"/>
    <w:rsid w:val="40195081"/>
    <w:rsid w:val="40392451"/>
    <w:rsid w:val="403D6FCA"/>
    <w:rsid w:val="40EF4A1C"/>
    <w:rsid w:val="40F550CA"/>
    <w:rsid w:val="417C09B1"/>
    <w:rsid w:val="42247E9F"/>
    <w:rsid w:val="441C2F89"/>
    <w:rsid w:val="447F2366"/>
    <w:rsid w:val="452A73EA"/>
    <w:rsid w:val="45433394"/>
    <w:rsid w:val="458A65E5"/>
    <w:rsid w:val="45F329B6"/>
    <w:rsid w:val="464078D3"/>
    <w:rsid w:val="465C606C"/>
    <w:rsid w:val="46BF122B"/>
    <w:rsid w:val="46EA3D2C"/>
    <w:rsid w:val="4754598B"/>
    <w:rsid w:val="47D76015"/>
    <w:rsid w:val="48072BD5"/>
    <w:rsid w:val="482254E2"/>
    <w:rsid w:val="49547BE5"/>
    <w:rsid w:val="498A3CD8"/>
    <w:rsid w:val="49D95435"/>
    <w:rsid w:val="4A453053"/>
    <w:rsid w:val="4B3B6A90"/>
    <w:rsid w:val="4BB81C37"/>
    <w:rsid w:val="4BD96800"/>
    <w:rsid w:val="4C653BF0"/>
    <w:rsid w:val="4CB638DA"/>
    <w:rsid w:val="4CCD0192"/>
    <w:rsid w:val="4CF97180"/>
    <w:rsid w:val="4D2C0BB1"/>
    <w:rsid w:val="4D8F05CA"/>
    <w:rsid w:val="4E727FFC"/>
    <w:rsid w:val="4EDB7A25"/>
    <w:rsid w:val="4F17499D"/>
    <w:rsid w:val="4F3B447E"/>
    <w:rsid w:val="4F7223AC"/>
    <w:rsid w:val="4F764366"/>
    <w:rsid w:val="4FA47C16"/>
    <w:rsid w:val="4FEC5A6F"/>
    <w:rsid w:val="50510A8B"/>
    <w:rsid w:val="50B500BB"/>
    <w:rsid w:val="513E0EB3"/>
    <w:rsid w:val="514476F1"/>
    <w:rsid w:val="51D8251F"/>
    <w:rsid w:val="52470FC5"/>
    <w:rsid w:val="534E7AD3"/>
    <w:rsid w:val="53BF237A"/>
    <w:rsid w:val="54EB3100"/>
    <w:rsid w:val="54FF2488"/>
    <w:rsid w:val="567E0E54"/>
    <w:rsid w:val="572D7A00"/>
    <w:rsid w:val="576F626A"/>
    <w:rsid w:val="578856A2"/>
    <w:rsid w:val="57A06424"/>
    <w:rsid w:val="57A51EF7"/>
    <w:rsid w:val="580F1D5A"/>
    <w:rsid w:val="58167FAD"/>
    <w:rsid w:val="59571D83"/>
    <w:rsid w:val="596C5F73"/>
    <w:rsid w:val="59F37EAD"/>
    <w:rsid w:val="5A4A2A6D"/>
    <w:rsid w:val="5A817694"/>
    <w:rsid w:val="5A927E0B"/>
    <w:rsid w:val="5AAB5BF8"/>
    <w:rsid w:val="5AB74A27"/>
    <w:rsid w:val="5ADF7263"/>
    <w:rsid w:val="5BE623AA"/>
    <w:rsid w:val="5BE663CF"/>
    <w:rsid w:val="5C141416"/>
    <w:rsid w:val="5CAD46A1"/>
    <w:rsid w:val="5CAF0E58"/>
    <w:rsid w:val="5CEB382D"/>
    <w:rsid w:val="5D943EC6"/>
    <w:rsid w:val="5DB70E56"/>
    <w:rsid w:val="5DC4544C"/>
    <w:rsid w:val="5DF349AE"/>
    <w:rsid w:val="5DFD71D0"/>
    <w:rsid w:val="5E011217"/>
    <w:rsid w:val="5E562035"/>
    <w:rsid w:val="5E781F9E"/>
    <w:rsid w:val="5ED03A14"/>
    <w:rsid w:val="5EE42CE2"/>
    <w:rsid w:val="5F1957A0"/>
    <w:rsid w:val="5F855B9D"/>
    <w:rsid w:val="60254A1C"/>
    <w:rsid w:val="60CB24E1"/>
    <w:rsid w:val="63290C53"/>
    <w:rsid w:val="633914DA"/>
    <w:rsid w:val="639F3A33"/>
    <w:rsid w:val="63B472ED"/>
    <w:rsid w:val="63BD05A6"/>
    <w:rsid w:val="63DC4FB9"/>
    <w:rsid w:val="63E60BAF"/>
    <w:rsid w:val="64740D42"/>
    <w:rsid w:val="64F34037"/>
    <w:rsid w:val="65884D22"/>
    <w:rsid w:val="65C57F70"/>
    <w:rsid w:val="65DA5FD8"/>
    <w:rsid w:val="662B5A52"/>
    <w:rsid w:val="66407A06"/>
    <w:rsid w:val="666024CC"/>
    <w:rsid w:val="666E3875"/>
    <w:rsid w:val="67252D95"/>
    <w:rsid w:val="674053B4"/>
    <w:rsid w:val="68500709"/>
    <w:rsid w:val="685328D2"/>
    <w:rsid w:val="696E63A6"/>
    <w:rsid w:val="69A0397D"/>
    <w:rsid w:val="69CE7382"/>
    <w:rsid w:val="6A546A81"/>
    <w:rsid w:val="6AAD5669"/>
    <w:rsid w:val="6B2D1F57"/>
    <w:rsid w:val="6BC90267"/>
    <w:rsid w:val="6C5D382A"/>
    <w:rsid w:val="6C664248"/>
    <w:rsid w:val="6D4C4D39"/>
    <w:rsid w:val="6DEF5C2B"/>
    <w:rsid w:val="6DF90490"/>
    <w:rsid w:val="6E4F6056"/>
    <w:rsid w:val="6E797E0F"/>
    <w:rsid w:val="6FAC3760"/>
    <w:rsid w:val="6FCE2708"/>
    <w:rsid w:val="70985873"/>
    <w:rsid w:val="70C04C9E"/>
    <w:rsid w:val="710F6A23"/>
    <w:rsid w:val="7132393E"/>
    <w:rsid w:val="716623A6"/>
    <w:rsid w:val="7168503D"/>
    <w:rsid w:val="71D24B33"/>
    <w:rsid w:val="73474017"/>
    <w:rsid w:val="73C60B68"/>
    <w:rsid w:val="744F5002"/>
    <w:rsid w:val="75764812"/>
    <w:rsid w:val="7593263E"/>
    <w:rsid w:val="76350FB7"/>
    <w:rsid w:val="76944F4E"/>
    <w:rsid w:val="76EE28B0"/>
    <w:rsid w:val="771A0A72"/>
    <w:rsid w:val="773F310C"/>
    <w:rsid w:val="783F1245"/>
    <w:rsid w:val="78C10F9A"/>
    <w:rsid w:val="790370A9"/>
    <w:rsid w:val="79352A18"/>
    <w:rsid w:val="7A4E14A8"/>
    <w:rsid w:val="7AD76B4E"/>
    <w:rsid w:val="7BAB59E9"/>
    <w:rsid w:val="7C1320FB"/>
    <w:rsid w:val="7C6C0A70"/>
    <w:rsid w:val="7C964471"/>
    <w:rsid w:val="7CA11C62"/>
    <w:rsid w:val="7DC4364F"/>
    <w:rsid w:val="7E5366B9"/>
    <w:rsid w:val="7E95670C"/>
    <w:rsid w:val="7F2D53D8"/>
    <w:rsid w:val="7F6754C4"/>
    <w:rsid w:val="7F843F41"/>
    <w:rsid w:val="7F8B0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7"/>
    <w:autoRedefine/>
    <w:qFormat/>
    <w:uiPriority w:val="0"/>
    <w:pPr>
      <w:keepNext/>
      <w:keepLines/>
      <w:spacing w:line="360" w:lineRule="auto"/>
      <w:outlineLvl w:val="0"/>
    </w:pPr>
    <w:rPr>
      <w:rFonts w:ascii="Calibri" w:hAnsi="Calibri"/>
      <w:b/>
      <w:kern w:val="44"/>
      <w:sz w:val="44"/>
    </w:rPr>
  </w:style>
  <w:style w:type="paragraph" w:styleId="4">
    <w:name w:val="heading 2"/>
    <w:basedOn w:val="1"/>
    <w:next w:val="1"/>
    <w:link w:val="7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9"/>
    <w:qFormat/>
    <w:uiPriority w:val="0"/>
    <w:pPr>
      <w:keepNext/>
      <w:keepLines/>
      <w:spacing w:before="260" w:after="260" w:line="416" w:lineRule="auto"/>
      <w:outlineLvl w:val="2"/>
    </w:pPr>
    <w:rPr>
      <w:rFonts w:eastAsia="仿宋"/>
      <w:b/>
      <w:bCs/>
      <w:sz w:val="32"/>
      <w:szCs w:val="32"/>
    </w:rPr>
  </w:style>
  <w:style w:type="paragraph" w:styleId="6">
    <w:name w:val="heading 4"/>
    <w:basedOn w:val="1"/>
    <w:next w:val="1"/>
    <w:link w:val="30"/>
    <w:autoRedefine/>
    <w:qFormat/>
    <w:uiPriority w:val="0"/>
    <w:pPr>
      <w:keepNext/>
      <w:keepLines/>
      <w:spacing w:before="280" w:after="290" w:line="376" w:lineRule="auto"/>
      <w:outlineLvl w:val="3"/>
    </w:pPr>
    <w:rPr>
      <w:rFonts w:ascii="Cambria" w:hAnsi="Cambria"/>
      <w:b/>
      <w:bCs/>
      <w:sz w:val="28"/>
      <w:szCs w:val="28"/>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link w:val="31"/>
    <w:autoRedefine/>
    <w:qFormat/>
    <w:uiPriority w:val="99"/>
    <w:pPr>
      <w:ind w:firstLine="420"/>
    </w:pPr>
    <w:rPr>
      <w:kern w:val="0"/>
      <w:sz w:val="20"/>
      <w:szCs w:val="20"/>
    </w:rPr>
  </w:style>
  <w:style w:type="paragraph" w:styleId="7">
    <w:name w:val="table of authorities"/>
    <w:basedOn w:val="1"/>
    <w:next w:val="1"/>
    <w:autoRedefine/>
    <w:qFormat/>
    <w:uiPriority w:val="0"/>
    <w:pPr>
      <w:spacing w:line="360" w:lineRule="auto"/>
      <w:ind w:left="420" w:leftChars="200"/>
    </w:pPr>
    <w:rPr>
      <w:rFonts w:ascii="Plotter" w:hAnsi="Plotter"/>
      <w:szCs w:val="21"/>
    </w:rPr>
  </w:style>
  <w:style w:type="paragraph" w:styleId="8">
    <w:name w:val="Document Map"/>
    <w:basedOn w:val="1"/>
    <w:autoRedefine/>
    <w:semiHidden/>
    <w:qFormat/>
    <w:uiPriority w:val="0"/>
    <w:pPr>
      <w:shd w:val="clear" w:color="auto" w:fill="000080"/>
    </w:pPr>
    <w:rPr>
      <w:sz w:val="44"/>
    </w:rPr>
  </w:style>
  <w:style w:type="paragraph" w:styleId="9">
    <w:name w:val="annotation text"/>
    <w:basedOn w:val="1"/>
    <w:link w:val="72"/>
    <w:autoRedefine/>
    <w:unhideWhenUsed/>
    <w:qFormat/>
    <w:uiPriority w:val="0"/>
    <w:pPr>
      <w:jc w:val="left"/>
    </w:pPr>
    <w:rPr>
      <w:rFonts w:ascii="Calibri" w:hAnsi="Calibri"/>
    </w:rPr>
  </w:style>
  <w:style w:type="paragraph" w:styleId="10">
    <w:name w:val="Body Text"/>
    <w:basedOn w:val="1"/>
    <w:link w:val="33"/>
    <w:autoRedefine/>
    <w:qFormat/>
    <w:uiPriority w:val="0"/>
    <w:pPr>
      <w:adjustRightInd w:val="0"/>
      <w:spacing w:after="120" w:line="360" w:lineRule="atLeast"/>
      <w:textAlignment w:val="baseline"/>
    </w:pPr>
    <w:rPr>
      <w:kern w:val="0"/>
      <w:sz w:val="20"/>
      <w:szCs w:val="24"/>
    </w:rPr>
  </w:style>
  <w:style w:type="paragraph" w:styleId="11">
    <w:name w:val="Body Text Indent"/>
    <w:basedOn w:val="1"/>
    <w:next w:val="12"/>
    <w:link w:val="76"/>
    <w:autoRedefine/>
    <w:unhideWhenUsed/>
    <w:qFormat/>
    <w:uiPriority w:val="0"/>
    <w:pPr>
      <w:spacing w:after="120"/>
      <w:ind w:left="420" w:leftChars="200"/>
    </w:pPr>
  </w:style>
  <w:style w:type="paragraph" w:styleId="12">
    <w:name w:val="envelope return"/>
    <w:basedOn w:val="1"/>
    <w:autoRedefine/>
    <w:qFormat/>
    <w:uiPriority w:val="0"/>
    <w:pPr>
      <w:snapToGrid w:val="0"/>
    </w:pPr>
    <w:rPr>
      <w:rFonts w:ascii="Arial" w:hAnsi="Arial"/>
    </w:rPr>
  </w:style>
  <w:style w:type="paragraph" w:styleId="13">
    <w:name w:val="Plain Text"/>
    <w:basedOn w:val="1"/>
    <w:link w:val="34"/>
    <w:autoRedefine/>
    <w:qFormat/>
    <w:uiPriority w:val="0"/>
    <w:rPr>
      <w:rFonts w:ascii="宋体" w:hAnsi="Courier New"/>
      <w:kern w:val="0"/>
      <w:sz w:val="20"/>
      <w:szCs w:val="21"/>
    </w:rPr>
  </w:style>
  <w:style w:type="paragraph" w:styleId="14">
    <w:name w:val="Balloon Text"/>
    <w:basedOn w:val="1"/>
    <w:link w:val="35"/>
    <w:autoRedefine/>
    <w:qFormat/>
    <w:uiPriority w:val="99"/>
    <w:rPr>
      <w:sz w:val="18"/>
      <w:szCs w:val="18"/>
    </w:rPr>
  </w:style>
  <w:style w:type="paragraph" w:styleId="15">
    <w:name w:val="footer"/>
    <w:basedOn w:val="1"/>
    <w:link w:val="36"/>
    <w:autoRedefine/>
    <w:qFormat/>
    <w:uiPriority w:val="0"/>
    <w:pPr>
      <w:tabs>
        <w:tab w:val="center" w:pos="4153"/>
        <w:tab w:val="right" w:pos="8306"/>
      </w:tabs>
      <w:snapToGrid w:val="0"/>
      <w:jc w:val="left"/>
    </w:pPr>
    <w:rPr>
      <w:sz w:val="18"/>
      <w:szCs w:val="18"/>
    </w:rPr>
  </w:style>
  <w:style w:type="paragraph" w:styleId="16">
    <w:name w:val="header"/>
    <w:basedOn w:val="1"/>
    <w:link w:val="7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unhideWhenUsed/>
    <w:qFormat/>
    <w:uiPriority w:val="39"/>
  </w:style>
  <w:style w:type="paragraph" w:styleId="18">
    <w:name w:val="Normal (Web)"/>
    <w:basedOn w:val="1"/>
    <w:link w:val="37"/>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9">
    <w:name w:val="Title"/>
    <w:basedOn w:val="1"/>
    <w:next w:val="1"/>
    <w:autoRedefine/>
    <w:qFormat/>
    <w:uiPriority w:val="0"/>
    <w:pPr>
      <w:spacing w:before="240" w:after="60"/>
      <w:jc w:val="center"/>
      <w:outlineLvl w:val="0"/>
    </w:pPr>
    <w:rPr>
      <w:rFonts w:ascii="Calibri Light" w:hAnsi="Calibri Light"/>
      <w:b/>
      <w:bCs/>
      <w:sz w:val="32"/>
      <w:szCs w:val="32"/>
    </w:rPr>
  </w:style>
  <w:style w:type="paragraph" w:styleId="20">
    <w:name w:val="annotation subject"/>
    <w:basedOn w:val="9"/>
    <w:next w:val="9"/>
    <w:link w:val="38"/>
    <w:autoRedefine/>
    <w:qFormat/>
    <w:uiPriority w:val="0"/>
    <w:rPr>
      <w:b/>
      <w:bCs/>
    </w:rPr>
  </w:style>
  <w:style w:type="paragraph" w:styleId="21">
    <w:name w:val="Body Text First Indent 2"/>
    <w:basedOn w:val="11"/>
    <w:next w:val="1"/>
    <w:autoRedefine/>
    <w:unhideWhenUsed/>
    <w:qFormat/>
    <w:uiPriority w:val="0"/>
    <w:pPr>
      <w:ind w:firstLine="420" w:firstLineChars="200"/>
    </w:pPr>
  </w:style>
  <w:style w:type="table" w:styleId="23">
    <w:name w:val="Table Grid"/>
    <w:basedOn w:val="2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autoRedefine/>
    <w:qFormat/>
    <w:uiPriority w:val="22"/>
    <w:rPr>
      <w:b/>
      <w:bCs/>
    </w:rPr>
  </w:style>
  <w:style w:type="character" w:styleId="26">
    <w:name w:val="annotation reference"/>
    <w:autoRedefine/>
    <w:unhideWhenUsed/>
    <w:qFormat/>
    <w:uiPriority w:val="0"/>
    <w:rPr>
      <w:sz w:val="21"/>
      <w:szCs w:val="21"/>
    </w:rPr>
  </w:style>
  <w:style w:type="character" w:customStyle="1" w:styleId="27">
    <w:name w:val="标题 1 Char"/>
    <w:link w:val="3"/>
    <w:autoRedefine/>
    <w:qFormat/>
    <w:uiPriority w:val="0"/>
    <w:rPr>
      <w:rFonts w:ascii="Calibri" w:hAnsi="Calibri"/>
      <w:b/>
      <w:kern w:val="44"/>
      <w:sz w:val="44"/>
      <w:szCs w:val="22"/>
    </w:rPr>
  </w:style>
  <w:style w:type="character" w:customStyle="1" w:styleId="28">
    <w:name w:val="标题 2 字符1"/>
    <w:autoRedefine/>
    <w:qFormat/>
    <w:uiPriority w:val="0"/>
    <w:rPr>
      <w:rFonts w:ascii="Arial" w:hAnsi="Arial" w:eastAsia="黑体"/>
      <w:b/>
      <w:bCs/>
      <w:kern w:val="2"/>
      <w:sz w:val="32"/>
      <w:szCs w:val="32"/>
    </w:rPr>
  </w:style>
  <w:style w:type="character" w:customStyle="1" w:styleId="29">
    <w:name w:val="标题 3 Char"/>
    <w:link w:val="5"/>
    <w:autoRedefine/>
    <w:qFormat/>
    <w:uiPriority w:val="0"/>
    <w:rPr>
      <w:rFonts w:ascii="Times New Roman" w:hAnsi="Times New Roman" w:eastAsia="仿宋"/>
      <w:b/>
      <w:bCs/>
      <w:kern w:val="2"/>
      <w:sz w:val="32"/>
      <w:szCs w:val="32"/>
    </w:rPr>
  </w:style>
  <w:style w:type="character" w:customStyle="1" w:styleId="30">
    <w:name w:val="标题 4 Char"/>
    <w:link w:val="6"/>
    <w:autoRedefine/>
    <w:qFormat/>
    <w:uiPriority w:val="0"/>
    <w:rPr>
      <w:rFonts w:ascii="Cambria" w:hAnsi="Cambria" w:eastAsia="宋体" w:cs="Times New Roman"/>
      <w:b/>
      <w:bCs/>
      <w:kern w:val="2"/>
      <w:sz w:val="28"/>
      <w:szCs w:val="28"/>
    </w:rPr>
  </w:style>
  <w:style w:type="character" w:customStyle="1" w:styleId="31">
    <w:name w:val="正文缩进 Char"/>
    <w:link w:val="2"/>
    <w:autoRedefine/>
    <w:qFormat/>
    <w:uiPriority w:val="0"/>
    <w:rPr>
      <w:rFonts w:ascii="Times New Roman" w:hAnsi="Times New Roman"/>
    </w:rPr>
  </w:style>
  <w:style w:type="character" w:customStyle="1" w:styleId="32">
    <w:name w:val="批注文字 字符"/>
    <w:autoRedefine/>
    <w:qFormat/>
    <w:uiPriority w:val="0"/>
    <w:rPr>
      <w:kern w:val="2"/>
      <w:sz w:val="21"/>
      <w:szCs w:val="22"/>
    </w:rPr>
  </w:style>
  <w:style w:type="character" w:customStyle="1" w:styleId="33">
    <w:name w:val="正文文本 Char"/>
    <w:link w:val="10"/>
    <w:autoRedefine/>
    <w:qFormat/>
    <w:uiPriority w:val="0"/>
    <w:rPr>
      <w:rFonts w:ascii="Times New Roman" w:hAnsi="Times New Roman"/>
      <w:szCs w:val="24"/>
    </w:rPr>
  </w:style>
  <w:style w:type="character" w:customStyle="1" w:styleId="34">
    <w:name w:val="纯文本 Char"/>
    <w:link w:val="13"/>
    <w:autoRedefine/>
    <w:qFormat/>
    <w:uiPriority w:val="0"/>
    <w:rPr>
      <w:rFonts w:ascii="宋体" w:hAnsi="Courier New"/>
      <w:szCs w:val="21"/>
    </w:rPr>
  </w:style>
  <w:style w:type="character" w:customStyle="1" w:styleId="35">
    <w:name w:val="批注框文本 Char"/>
    <w:link w:val="14"/>
    <w:autoRedefine/>
    <w:qFormat/>
    <w:uiPriority w:val="99"/>
    <w:rPr>
      <w:kern w:val="2"/>
      <w:sz w:val="18"/>
      <w:szCs w:val="18"/>
    </w:rPr>
  </w:style>
  <w:style w:type="character" w:customStyle="1" w:styleId="36">
    <w:name w:val="页脚 Char"/>
    <w:link w:val="15"/>
    <w:autoRedefine/>
    <w:qFormat/>
    <w:uiPriority w:val="0"/>
    <w:rPr>
      <w:kern w:val="2"/>
      <w:sz w:val="18"/>
      <w:szCs w:val="18"/>
    </w:rPr>
  </w:style>
  <w:style w:type="character" w:customStyle="1" w:styleId="37">
    <w:name w:val="普通(网站) Char1"/>
    <w:link w:val="18"/>
    <w:autoRedefine/>
    <w:qFormat/>
    <w:uiPriority w:val="99"/>
    <w:rPr>
      <w:rFonts w:ascii="宋体" w:hAnsi="宋体" w:eastAsia="宋体" w:cs="宋体"/>
      <w:kern w:val="0"/>
      <w:sz w:val="24"/>
      <w:szCs w:val="24"/>
    </w:rPr>
  </w:style>
  <w:style w:type="character" w:customStyle="1" w:styleId="38">
    <w:name w:val="批注主题 Char"/>
    <w:link w:val="20"/>
    <w:autoRedefine/>
    <w:qFormat/>
    <w:uiPriority w:val="0"/>
    <w:rPr>
      <w:b/>
      <w:bCs/>
      <w:kern w:val="2"/>
      <w:sz w:val="21"/>
      <w:szCs w:val="22"/>
    </w:rPr>
  </w:style>
  <w:style w:type="character" w:customStyle="1" w:styleId="39">
    <w:name w:val="标题 2 字符"/>
    <w:autoRedefine/>
    <w:semiHidden/>
    <w:qFormat/>
    <w:uiPriority w:val="9"/>
    <w:rPr>
      <w:rFonts w:ascii="等线 Light" w:hAnsi="等线 Light" w:eastAsia="等线 Light" w:cs="Times New Roman"/>
      <w:b/>
      <w:bCs/>
      <w:kern w:val="2"/>
      <w:sz w:val="32"/>
      <w:szCs w:val="32"/>
    </w:rPr>
  </w:style>
  <w:style w:type="character" w:customStyle="1" w:styleId="40">
    <w:name w:val="普通(网站) Char"/>
    <w:autoRedefine/>
    <w:qFormat/>
    <w:uiPriority w:val="99"/>
    <w:rPr>
      <w:rFonts w:ascii="宋体" w:hAnsi="宋体" w:cs="宋体"/>
      <w:sz w:val="24"/>
      <w:szCs w:val="24"/>
    </w:rPr>
  </w:style>
  <w:style w:type="character" w:customStyle="1" w:styleId="41">
    <w:name w:val="纯文本 字符2"/>
    <w:autoRedefine/>
    <w:qFormat/>
    <w:uiPriority w:val="0"/>
    <w:rPr>
      <w:rFonts w:ascii="宋体" w:hAnsi="Courier New"/>
      <w:szCs w:val="21"/>
      <w:lang w:val="zh-CN"/>
    </w:rPr>
  </w:style>
  <w:style w:type="character" w:customStyle="1" w:styleId="42">
    <w:name w:val="List Paragraph Char"/>
    <w:link w:val="43"/>
    <w:autoRedefine/>
    <w:qFormat/>
    <w:locked/>
    <w:uiPriority w:val="99"/>
    <w:rPr>
      <w:rFonts w:cs="Calibri"/>
      <w:kern w:val="2"/>
      <w:sz w:val="21"/>
      <w:szCs w:val="21"/>
    </w:rPr>
  </w:style>
  <w:style w:type="paragraph" w:customStyle="1" w:styleId="43">
    <w:name w:val="列出段落1"/>
    <w:basedOn w:val="1"/>
    <w:link w:val="42"/>
    <w:autoRedefine/>
    <w:qFormat/>
    <w:uiPriority w:val="99"/>
    <w:pPr>
      <w:ind w:firstLine="420" w:firstLineChars="200"/>
    </w:pPr>
    <w:rPr>
      <w:rFonts w:cs="Calibri"/>
      <w:szCs w:val="21"/>
    </w:rPr>
  </w:style>
  <w:style w:type="character" w:customStyle="1" w:styleId="44">
    <w:name w:val="NormalCharacter"/>
    <w:autoRedefine/>
    <w:qFormat/>
    <w:uiPriority w:val="0"/>
    <w:rPr>
      <w:kern w:val="2"/>
      <w:sz w:val="21"/>
      <w:szCs w:val="22"/>
      <w:lang w:val="en-US" w:eastAsia="zh-CN" w:bidi="ar-SA"/>
    </w:rPr>
  </w:style>
  <w:style w:type="character" w:customStyle="1" w:styleId="45">
    <w:name w:val="正文缩进2格 Char"/>
    <w:link w:val="46"/>
    <w:autoRedefine/>
    <w:qFormat/>
    <w:uiPriority w:val="0"/>
    <w:rPr>
      <w:rFonts w:ascii="仿宋_GB2312" w:hAnsi="宋体" w:eastAsia="仿宋_GB2312"/>
      <w:kern w:val="2"/>
      <w:sz w:val="31"/>
      <w:szCs w:val="28"/>
    </w:rPr>
  </w:style>
  <w:style w:type="paragraph" w:customStyle="1" w:styleId="46">
    <w:name w:val="正文缩进2格"/>
    <w:basedOn w:val="1"/>
    <w:link w:val="45"/>
    <w:autoRedefine/>
    <w:qFormat/>
    <w:uiPriority w:val="0"/>
    <w:pPr>
      <w:spacing w:after="120" w:line="600" w:lineRule="exact"/>
      <w:ind w:firstLine="639" w:firstLineChars="206"/>
    </w:pPr>
    <w:rPr>
      <w:rFonts w:ascii="仿宋_GB2312" w:hAnsi="宋体" w:eastAsia="仿宋_GB2312"/>
      <w:sz w:val="31"/>
      <w:szCs w:val="28"/>
    </w:rPr>
  </w:style>
  <w:style w:type="character" w:customStyle="1" w:styleId="47">
    <w:name w:val="批注文字 Char1"/>
    <w:autoRedefine/>
    <w:qFormat/>
    <w:uiPriority w:val="0"/>
    <w:rPr>
      <w:szCs w:val="24"/>
    </w:rPr>
  </w:style>
  <w:style w:type="character" w:customStyle="1" w:styleId="48">
    <w:name w:val="列出段落 Char2"/>
    <w:autoRedefine/>
    <w:qFormat/>
    <w:uiPriority w:val="99"/>
    <w:rPr>
      <w:kern w:val="2"/>
      <w:sz w:val="21"/>
      <w:szCs w:val="22"/>
    </w:rPr>
  </w:style>
  <w:style w:type="character" w:customStyle="1" w:styleId="49">
    <w:name w:val="列出段落 Char1"/>
    <w:link w:val="50"/>
    <w:autoRedefine/>
    <w:qFormat/>
    <w:uiPriority w:val="34"/>
    <w:rPr>
      <w:kern w:val="2"/>
      <w:sz w:val="21"/>
      <w:szCs w:val="22"/>
    </w:rPr>
  </w:style>
  <w:style w:type="paragraph" w:styleId="50">
    <w:name w:val="List Paragraph"/>
    <w:basedOn w:val="1"/>
    <w:link w:val="49"/>
    <w:autoRedefine/>
    <w:qFormat/>
    <w:uiPriority w:val="34"/>
    <w:pPr>
      <w:ind w:firstLine="420" w:firstLineChars="200"/>
    </w:pPr>
  </w:style>
  <w:style w:type="paragraph" w:customStyle="1" w:styleId="51">
    <w:name w:val="_Style 5"/>
    <w:basedOn w:val="1"/>
    <w:next w:val="50"/>
    <w:autoRedefine/>
    <w:qFormat/>
    <w:uiPriority w:val="34"/>
    <w:pPr>
      <w:ind w:firstLine="420" w:firstLineChars="200"/>
    </w:pPr>
  </w:style>
  <w:style w:type="paragraph" w:customStyle="1" w:styleId="52">
    <w:name w:val="List Paragraph1"/>
    <w:basedOn w:val="1"/>
    <w:autoRedefine/>
    <w:qFormat/>
    <w:uiPriority w:val="0"/>
    <w:pPr>
      <w:spacing w:line="360" w:lineRule="auto"/>
      <w:ind w:firstLine="420" w:firstLineChars="200"/>
    </w:pPr>
  </w:style>
  <w:style w:type="paragraph" w:customStyle="1" w:styleId="53">
    <w:name w:val="样式4"/>
    <w:basedOn w:val="1"/>
    <w:autoRedefine/>
    <w:qFormat/>
    <w:uiPriority w:val="0"/>
    <w:pPr>
      <w:numPr>
        <w:ilvl w:val="3"/>
        <w:numId w:val="1"/>
      </w:numPr>
      <w:tabs>
        <w:tab w:val="left" w:pos="425"/>
        <w:tab w:val="left" w:pos="1984"/>
        <w:tab w:val="clear" w:pos="851"/>
      </w:tabs>
    </w:pPr>
    <w:rPr>
      <w:szCs w:val="24"/>
    </w:rPr>
  </w:style>
  <w:style w:type="paragraph" w:customStyle="1" w:styleId="54">
    <w:name w:val="保留正文"/>
    <w:basedOn w:val="10"/>
    <w:autoRedefine/>
    <w:qFormat/>
    <w:uiPriority w:val="0"/>
    <w:pPr>
      <w:keepNext/>
      <w:adjustRightInd/>
      <w:spacing w:after="160" w:line="240" w:lineRule="auto"/>
      <w:textAlignment w:val="auto"/>
    </w:pPr>
    <w:rPr>
      <w:rFonts w:hAnsi="Calibri"/>
      <w:kern w:val="2"/>
      <w:sz w:val="21"/>
      <w:szCs w:val="22"/>
    </w:rPr>
  </w:style>
  <w:style w:type="paragraph" w:customStyle="1" w:styleId="55">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56">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paragraph" w:customStyle="1" w:styleId="57">
    <w:name w:val="图"/>
    <w:basedOn w:val="1"/>
    <w:autoRedefine/>
    <w:qFormat/>
    <w:uiPriority w:val="0"/>
    <w:pPr>
      <w:keepNext/>
      <w:adjustRightInd w:val="0"/>
      <w:snapToGrid w:val="0"/>
      <w:spacing w:before="60" w:after="60" w:line="300" w:lineRule="auto"/>
      <w:jc w:val="center"/>
    </w:pPr>
    <w:rPr>
      <w:spacing w:val="20"/>
      <w:kern w:val="0"/>
      <w:sz w:val="24"/>
      <w:szCs w:val="20"/>
    </w:rPr>
  </w:style>
  <w:style w:type="paragraph" w:customStyle="1" w:styleId="58">
    <w:name w:val="_Style 57"/>
    <w:autoRedefine/>
    <w:unhideWhenUsed/>
    <w:qFormat/>
    <w:uiPriority w:val="99"/>
    <w:rPr>
      <w:rFonts w:ascii="Times New Roman" w:hAnsi="Times New Roman" w:eastAsia="宋体" w:cs="Times New Roman"/>
      <w:kern w:val="2"/>
      <w:sz w:val="21"/>
      <w:szCs w:val="22"/>
      <w:lang w:val="en-US" w:eastAsia="zh-CN" w:bidi="ar-SA"/>
    </w:rPr>
  </w:style>
  <w:style w:type="paragraph" w:customStyle="1" w:styleId="59">
    <w:name w:val="样式 首行缩进:  2 字符"/>
    <w:basedOn w:val="1"/>
    <w:autoRedefine/>
    <w:qFormat/>
    <w:uiPriority w:val="99"/>
    <w:pPr>
      <w:spacing w:line="360" w:lineRule="auto"/>
      <w:ind w:firstLine="480" w:firstLineChars="200"/>
      <w:jc w:val="left"/>
    </w:pPr>
    <w:rPr>
      <w:rFonts w:ascii="??" w:hAnsi="??" w:cs="??"/>
      <w:color w:val="000000"/>
      <w:sz w:val="24"/>
      <w:szCs w:val="20"/>
    </w:rPr>
  </w:style>
  <w:style w:type="paragraph" w:customStyle="1" w:styleId="60">
    <w:name w:val="Table Paragraph"/>
    <w:basedOn w:val="1"/>
    <w:autoRedefine/>
    <w:qFormat/>
    <w:uiPriority w:val="1"/>
  </w:style>
  <w:style w:type="paragraph" w:customStyle="1" w:styleId="61">
    <w:name w:val="Default"/>
    <w:next w:val="1"/>
    <w:autoRedefine/>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62">
    <w:name w:val="列出段落11"/>
    <w:basedOn w:val="1"/>
    <w:autoRedefine/>
    <w:qFormat/>
    <w:uiPriority w:val="34"/>
    <w:pPr>
      <w:ind w:firstLine="420" w:firstLineChars="200"/>
    </w:pPr>
    <w:rPr>
      <w:kern w:val="0"/>
      <w:sz w:val="20"/>
      <w:szCs w:val="20"/>
    </w:rPr>
  </w:style>
  <w:style w:type="paragraph" w:customStyle="1" w:styleId="63">
    <w:name w:val="Body text|1"/>
    <w:basedOn w:val="1"/>
    <w:autoRedefine/>
    <w:qFormat/>
    <w:uiPriority w:val="0"/>
    <w:pPr>
      <w:spacing w:line="386" w:lineRule="auto"/>
      <w:ind w:firstLine="400"/>
    </w:pPr>
    <w:rPr>
      <w:rFonts w:ascii="宋体" w:hAnsi="宋体" w:cs="宋体"/>
      <w:lang w:val="zh-TW" w:eastAsia="zh-TW" w:bidi="zh-TW"/>
    </w:rPr>
  </w:style>
  <w:style w:type="paragraph" w:customStyle="1" w:styleId="64">
    <w:name w:val="USE 1"/>
    <w:basedOn w:val="1"/>
    <w:autoRedefine/>
    <w:qFormat/>
    <w:uiPriority w:val="0"/>
    <w:pPr>
      <w:spacing w:line="200" w:lineRule="atLeast"/>
      <w:jc w:val="left"/>
    </w:pPr>
    <w:rPr>
      <w:rFonts w:ascii="宋体" w:hAnsi="宋体"/>
      <w:b/>
      <w:sz w:val="24"/>
      <w:szCs w:val="28"/>
    </w:rPr>
  </w:style>
  <w:style w:type="character" w:customStyle="1" w:styleId="65">
    <w:name w:val="cf01"/>
    <w:autoRedefine/>
    <w:qFormat/>
    <w:uiPriority w:val="0"/>
    <w:rPr>
      <w:rFonts w:hint="eastAsia" w:ascii="Microsoft YaHei UI" w:hAnsi="Microsoft YaHei UI" w:eastAsia="Microsoft YaHei UI"/>
      <w:sz w:val="18"/>
      <w:szCs w:val="18"/>
    </w:rPr>
  </w:style>
  <w:style w:type="paragraph" w:customStyle="1" w:styleId="66">
    <w:name w:val="列出段落2"/>
    <w:basedOn w:val="1"/>
    <w:next w:val="50"/>
    <w:autoRedefine/>
    <w:qFormat/>
    <w:uiPriority w:val="34"/>
    <w:pPr>
      <w:ind w:firstLine="420" w:firstLineChars="200"/>
    </w:pPr>
    <w:rPr>
      <w:rFonts w:ascii="Calibri" w:hAnsi="Calibri" w:eastAsia="黑体"/>
      <w:bCs/>
      <w:sz w:val="30"/>
      <w:szCs w:val="30"/>
    </w:rPr>
  </w:style>
  <w:style w:type="paragraph" w:customStyle="1" w:styleId="67">
    <w:name w:val="msolistparagraph"/>
    <w:basedOn w:val="1"/>
    <w:autoRedefine/>
    <w:qFormat/>
    <w:uiPriority w:val="0"/>
    <w:pPr>
      <w:ind w:firstLine="420" w:firstLineChars="200"/>
    </w:pPr>
    <w:rPr>
      <w:rFonts w:ascii="Calibri" w:hAnsi="Calibri"/>
    </w:rPr>
  </w:style>
  <w:style w:type="paragraph" w:customStyle="1" w:styleId="68">
    <w:name w:val="_Style 143"/>
    <w:basedOn w:val="1"/>
    <w:next w:val="50"/>
    <w:autoRedefine/>
    <w:qFormat/>
    <w:uiPriority w:val="99"/>
    <w:pPr>
      <w:ind w:firstLine="420" w:firstLineChars="200"/>
    </w:pPr>
    <w:rPr>
      <w:kern w:val="0"/>
      <w:sz w:val="20"/>
      <w:szCs w:val="20"/>
    </w:rPr>
  </w:style>
  <w:style w:type="character" w:customStyle="1" w:styleId="69">
    <w:name w:val="列表段落 字符3"/>
    <w:basedOn w:val="24"/>
    <w:autoRedefine/>
    <w:qFormat/>
    <w:uiPriority w:val="0"/>
    <w:rPr>
      <w:rFonts w:hint="default" w:ascii="Calibri" w:hAnsi="Calibri" w:eastAsia="宋体" w:cs="Times New Roman"/>
      <w:kern w:val="2"/>
      <w:sz w:val="21"/>
      <w:szCs w:val="22"/>
    </w:rPr>
  </w:style>
  <w:style w:type="character" w:customStyle="1" w:styleId="70">
    <w:name w:val="列出段落 Char"/>
    <w:basedOn w:val="24"/>
    <w:autoRedefine/>
    <w:qFormat/>
    <w:uiPriority w:val="0"/>
    <w:rPr>
      <w:kern w:val="2"/>
      <w:sz w:val="21"/>
      <w:szCs w:val="22"/>
    </w:rPr>
  </w:style>
  <w:style w:type="character" w:customStyle="1" w:styleId="71">
    <w:name w:val="标题 2 Char"/>
    <w:basedOn w:val="24"/>
    <w:link w:val="4"/>
    <w:autoRedefine/>
    <w:qFormat/>
    <w:uiPriority w:val="0"/>
    <w:rPr>
      <w:rFonts w:hint="default" w:ascii="Arial" w:hAnsi="Arial" w:eastAsia="黑体" w:cs="Times New Roman"/>
      <w:b/>
      <w:bCs/>
      <w:kern w:val="2"/>
      <w:sz w:val="32"/>
      <w:szCs w:val="32"/>
    </w:rPr>
  </w:style>
  <w:style w:type="character" w:customStyle="1" w:styleId="72">
    <w:name w:val="批注文字 Char"/>
    <w:basedOn w:val="24"/>
    <w:link w:val="9"/>
    <w:autoRedefine/>
    <w:qFormat/>
    <w:uiPriority w:val="0"/>
    <w:rPr>
      <w:kern w:val="2"/>
      <w:sz w:val="21"/>
      <w:szCs w:val="22"/>
    </w:rPr>
  </w:style>
  <w:style w:type="character" w:customStyle="1" w:styleId="73">
    <w:name w:val="列表段落 字符4"/>
    <w:basedOn w:val="24"/>
    <w:autoRedefine/>
    <w:qFormat/>
    <w:uiPriority w:val="0"/>
    <w:rPr>
      <w:rFonts w:hint="default" w:ascii="Calibri" w:hAnsi="Calibri" w:cs="Calibri"/>
      <w:kern w:val="2"/>
      <w:sz w:val="21"/>
      <w:szCs w:val="22"/>
    </w:rPr>
  </w:style>
  <w:style w:type="paragraph" w:customStyle="1" w:styleId="74">
    <w:name w:val="列表段落1"/>
    <w:basedOn w:val="1"/>
    <w:autoRedefine/>
    <w:qFormat/>
    <w:uiPriority w:val="0"/>
    <w:pPr>
      <w:ind w:firstLine="420" w:firstLineChars="200"/>
    </w:pPr>
    <w:rPr>
      <w:rFonts w:ascii="Calibri" w:hAnsi="Calibri"/>
    </w:rPr>
  </w:style>
  <w:style w:type="character" w:customStyle="1" w:styleId="75">
    <w:name w:val="正文文本首行缩进 2 字符"/>
    <w:basedOn w:val="76"/>
    <w:autoRedefine/>
    <w:qFormat/>
    <w:uiPriority w:val="0"/>
    <w:rPr>
      <w:rFonts w:hint="default" w:ascii="Times New Roman" w:hAnsi="Times New Roman" w:cs="Times New Roman"/>
      <w:kern w:val="2"/>
      <w:sz w:val="21"/>
      <w:szCs w:val="22"/>
    </w:rPr>
  </w:style>
  <w:style w:type="character" w:customStyle="1" w:styleId="76">
    <w:name w:val="正文文本缩进 Char"/>
    <w:basedOn w:val="24"/>
    <w:link w:val="11"/>
    <w:autoRedefine/>
    <w:qFormat/>
    <w:uiPriority w:val="0"/>
    <w:rPr>
      <w:rFonts w:hint="default" w:ascii="Times New Roman" w:hAnsi="Times New Roman" w:cs="Times New Roman"/>
      <w:kern w:val="2"/>
      <w:sz w:val="21"/>
      <w:szCs w:val="22"/>
    </w:rPr>
  </w:style>
  <w:style w:type="character" w:customStyle="1" w:styleId="77">
    <w:name w:val="页眉 Char"/>
    <w:basedOn w:val="24"/>
    <w:link w:val="16"/>
    <w:autoRedefine/>
    <w:qFormat/>
    <w:uiPriority w:val="0"/>
    <w:rPr>
      <w:kern w:val="2"/>
      <w:sz w:val="18"/>
      <w:szCs w:val="18"/>
    </w:rPr>
  </w:style>
  <w:style w:type="character" w:customStyle="1" w:styleId="78">
    <w:name w:val="font11"/>
    <w:basedOn w:val="24"/>
    <w:autoRedefine/>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28</Pages>
  <Words>2136</Words>
  <Characters>12177</Characters>
  <Lines>101</Lines>
  <Paragraphs>28</Paragraphs>
  <TotalTime>0</TotalTime>
  <ScaleCrop>false</ScaleCrop>
  <LinksUpToDate>false</LinksUpToDate>
  <CharactersWithSpaces>14285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2023-04-14T04:14:00Z</dcterms:created>
  <dc:creator>ZZD</dc:creator>
  <cp:lastModifiedBy>云采链</cp:lastModifiedBy>
  <dcterms:modified xsi:type="dcterms:W3CDTF">2024-04-24T10:45:29Z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B68040C789E246D2B60DC1D95863BE82_13</vt:lpwstr>
  </property>
</Properties>
</file>