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56" w:rsidRDefault="0084234F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检验科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设备采购项目市场调查公告</w:t>
      </w:r>
    </w:p>
    <w:p w:rsidR="008B0556" w:rsidRDefault="008B0556">
      <w:pPr>
        <w:tabs>
          <w:tab w:val="left" w:pos="1140"/>
        </w:tabs>
        <w:spacing w:line="360" w:lineRule="auto"/>
        <w:ind w:firstLineChars="200" w:firstLine="803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8B0556" w:rsidRDefault="0084234F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广州医科大学附属番禺中心医院现对</w:t>
      </w:r>
      <w:r>
        <w:rPr>
          <w:rFonts w:ascii="宋体" w:hAnsi="宋体" w:cs="宋体" w:hint="eastAsia"/>
          <w:sz w:val="24"/>
        </w:rPr>
        <w:t>检验科</w:t>
      </w:r>
      <w:r>
        <w:rPr>
          <w:rFonts w:ascii="宋体" w:hAnsi="宋体" w:cs="宋体" w:hint="eastAsia"/>
          <w:sz w:val="24"/>
        </w:rPr>
        <w:t>设备采购项目进行市场调查，请有意向的供应商按以下要求提交资料。所提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8B0556" w:rsidRDefault="0084234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9515" w:type="dxa"/>
        <w:jc w:val="center"/>
        <w:tblLook w:val="04A0" w:firstRow="1" w:lastRow="0" w:firstColumn="1" w:lastColumn="0" w:noHBand="0" w:noVBand="1"/>
      </w:tblPr>
      <w:tblGrid>
        <w:gridCol w:w="808"/>
        <w:gridCol w:w="3062"/>
        <w:gridCol w:w="751"/>
        <w:gridCol w:w="4894"/>
      </w:tblGrid>
      <w:tr w:rsidR="008B0556">
        <w:trPr>
          <w:jc w:val="center"/>
        </w:trPr>
        <w:tc>
          <w:tcPr>
            <w:tcW w:w="808" w:type="dxa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3062" w:type="dxa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751" w:type="dxa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4894" w:type="dxa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B0556">
        <w:trPr>
          <w:jc w:val="center"/>
        </w:trPr>
        <w:tc>
          <w:tcPr>
            <w:tcW w:w="808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3062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全自动毛细血管电泳仪</w:t>
            </w:r>
          </w:p>
        </w:tc>
        <w:tc>
          <w:tcPr>
            <w:tcW w:w="751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4894" w:type="dxa"/>
            <w:vAlign w:val="center"/>
          </w:tcPr>
          <w:p w:rsidR="008B0556" w:rsidRDefault="0084234F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用于将血液或体液中的蛋白质分离并检测或定量，为各种疾病的诊断提供依据。</w:t>
            </w:r>
          </w:p>
        </w:tc>
      </w:tr>
      <w:tr w:rsidR="008B0556">
        <w:trPr>
          <w:jc w:val="center"/>
        </w:trPr>
        <w:tc>
          <w:tcPr>
            <w:tcW w:w="808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3062" w:type="dxa"/>
            <w:vAlign w:val="center"/>
          </w:tcPr>
          <w:p w:rsidR="008B0556" w:rsidRDefault="0084234F" w:rsidP="003A037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全自动尿液生化分析仪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（全自动特定蛋白分析仪）</w:t>
            </w:r>
            <w:bookmarkEnd w:id="0"/>
          </w:p>
        </w:tc>
        <w:tc>
          <w:tcPr>
            <w:tcW w:w="751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4894" w:type="dxa"/>
            <w:vAlign w:val="center"/>
          </w:tcPr>
          <w:p w:rsidR="008B0556" w:rsidRDefault="0084234F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用于检测尿液、血清、血液等生化项目，是常规化学检测的重要组成部分。</w:t>
            </w:r>
          </w:p>
        </w:tc>
      </w:tr>
      <w:tr w:rsidR="008B0556">
        <w:trPr>
          <w:trHeight w:hRule="exact" w:val="850"/>
          <w:jc w:val="center"/>
        </w:trPr>
        <w:tc>
          <w:tcPr>
            <w:tcW w:w="808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3062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全自动生化免疫分析仪</w:t>
            </w:r>
          </w:p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（干式化学）</w:t>
            </w:r>
          </w:p>
        </w:tc>
        <w:tc>
          <w:tcPr>
            <w:tcW w:w="751" w:type="dxa"/>
            <w:vAlign w:val="center"/>
          </w:tcPr>
          <w:p w:rsidR="008B0556" w:rsidRDefault="008423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4894" w:type="dxa"/>
            <w:vAlign w:val="center"/>
          </w:tcPr>
          <w:p w:rsidR="008B0556" w:rsidRDefault="0084234F">
            <w:pPr>
              <w:widowControl/>
              <w:jc w:val="left"/>
              <w:rPr>
                <w:rFonts w:asciiTheme="majorEastAsia" w:eastAsiaTheme="majorEastAsia" w:hAnsiTheme="majorEastAsia" w:cstheme="majorEastAsia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用于核酸和蛋白的精确定量分析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,RNA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完整性分析。</w:t>
            </w:r>
          </w:p>
        </w:tc>
      </w:tr>
    </w:tbl>
    <w:p w:rsidR="008B0556" w:rsidRDefault="008B055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B0556" w:rsidRDefault="0084234F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944"/>
        <w:gridCol w:w="4770"/>
        <w:gridCol w:w="1857"/>
      </w:tblGrid>
      <w:tr w:rsidR="008B0556">
        <w:trPr>
          <w:trHeight w:val="802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0556" w:rsidRDefault="0084234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0556" w:rsidRDefault="0084234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0556" w:rsidRDefault="0084234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8B0556">
        <w:trPr>
          <w:trHeight w:val="1086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0556" w:rsidRDefault="008423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全自动毛细血管电泳仪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用于将血液或体液中的蛋白质分离并检测或定量，为各种疾病的诊断提供依据。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检测方法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高压液相毛细管电泳法。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需包含但不限于以下检测项目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免疫分型、冷球蛋白电泳、血清蛋白电泳、血红蛋白电泳、糖化血红蛋白电泳等。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检测通道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  <w:r>
              <w:rPr>
                <w:rFonts w:ascii="宋体" w:hAnsi="宋体" w:cs="宋体" w:hint="eastAsia"/>
                <w:sz w:val="24"/>
              </w:rPr>
              <w:t>条通道。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样本类型可检测样本类型需包含但不限于：血清、全血。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5.</w:t>
            </w:r>
            <w:r>
              <w:rPr>
                <w:rFonts w:ascii="宋体" w:hAnsi="宋体" w:cs="宋体" w:hint="eastAsia"/>
                <w:sz w:val="24"/>
              </w:rPr>
              <w:t>设备需具有自动化点样、电泳、染色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脱色、干燥、扫描程序等。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进样器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最大单次进样量≥</w:t>
            </w:r>
            <w:r>
              <w:rPr>
                <w:rFonts w:ascii="宋体" w:hAnsi="宋体" w:cs="宋体" w:hint="eastAsia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个，并可持续进样。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0556" w:rsidRDefault="008423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  <w:tr w:rsidR="008B0556">
        <w:trPr>
          <w:trHeight w:val="1538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0556" w:rsidRDefault="0084234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全自动尿液生化分析仪</w:t>
            </w:r>
          </w:p>
          <w:p w:rsidR="008B0556" w:rsidRDefault="0084234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（全自动特定蛋白分析仪）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0556" w:rsidRDefault="0084234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用于检测尿液、血清、血浆、全血、生化项目，是常规化学检测的重要组成部分。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8B0556" w:rsidRDefault="008423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测试速度：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400</w:t>
            </w:r>
            <w:r>
              <w:rPr>
                <w:rFonts w:ascii="宋体" w:hAnsi="宋体" w:cs="宋体" w:hint="eastAsia"/>
                <w:sz w:val="24"/>
              </w:rPr>
              <w:t>测试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小时。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分析原理：散射比浊法，比色法。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样品位：需模块化进样，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组模块，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126</w:t>
            </w:r>
            <w:r>
              <w:rPr>
                <w:rFonts w:ascii="宋体" w:hAnsi="宋体" w:cs="宋体" w:hint="eastAsia"/>
                <w:sz w:val="24"/>
              </w:rPr>
              <w:t>个样本位，每组模块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个样本位。</w:t>
            </w:r>
          </w:p>
          <w:p w:rsidR="008B0556" w:rsidRDefault="0084234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试剂位：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88</w:t>
            </w:r>
            <w:r>
              <w:rPr>
                <w:rFonts w:ascii="宋体" w:hAnsi="宋体" w:cs="宋体" w:hint="eastAsia"/>
                <w:sz w:val="24"/>
              </w:rPr>
              <w:t>个冷藏试剂位，可条形码扫描。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0556" w:rsidRDefault="008423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8B0556">
        <w:trPr>
          <w:trHeight w:val="1193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0556" w:rsidRDefault="0084234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全自动生化免疫分析仪</w:t>
            </w:r>
          </w:p>
          <w:p w:rsidR="008B0556" w:rsidRDefault="0084234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（干式化学）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0556" w:rsidRDefault="0084234F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实现快速、精准的自动化生化检测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。</w:t>
            </w:r>
          </w:p>
          <w:p w:rsidR="008B0556" w:rsidRDefault="0084234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8B0556" w:rsidRDefault="008423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需包含但不限于以下</w:t>
            </w:r>
            <w:r>
              <w:rPr>
                <w:rFonts w:asciiTheme="minorEastAsia" w:hAnsiTheme="minorEastAsia" w:cstheme="minorEastAsia" w:hint="eastAsia"/>
                <w:sz w:val="24"/>
              </w:rPr>
              <w:t>检测项目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: </w:t>
            </w:r>
            <w:r>
              <w:rPr>
                <w:rFonts w:asciiTheme="minorEastAsia" w:hAnsiTheme="minorEastAsia" w:cstheme="minorEastAsia" w:hint="eastAsia"/>
                <w:sz w:val="24"/>
              </w:rPr>
              <w:t>肝功、肾功、血脂、血糖、心肌酶、胰腺酶谱、酒精、血氨、特定蛋白、药物浓度等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:rsidR="008B0556" w:rsidRDefault="008423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支持样本类型包含但不限于血清，血浆，尿液，脑脊液等。</w:t>
            </w:r>
          </w:p>
          <w:p w:rsidR="008B0556" w:rsidRDefault="0084234F">
            <w:pPr>
              <w:pStyle w:val="ae"/>
              <w:tabs>
                <w:tab w:val="left" w:pos="1252"/>
                <w:tab w:val="left" w:pos="1253"/>
              </w:tabs>
              <w:spacing w:line="360" w:lineRule="auto"/>
              <w:ind w:firstLineChars="0" w:firstLine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</w:rPr>
              <w:t>综合测试速度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</w:rPr>
              <w:t>整机综合测试速度</w:t>
            </w:r>
            <w:r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00 </w:t>
            </w:r>
            <w:r>
              <w:rPr>
                <w:rFonts w:asciiTheme="minorEastAsia" w:hAnsiTheme="minorEastAsia" w:cstheme="minorEastAsia" w:hint="eastAsia"/>
                <w:sz w:val="24"/>
              </w:rPr>
              <w:t>测试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小时。</w:t>
            </w:r>
          </w:p>
          <w:p w:rsidR="008B0556" w:rsidRDefault="008423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</w:rPr>
              <w:t>分析方法</w:t>
            </w:r>
            <w:r>
              <w:rPr>
                <w:rFonts w:asciiTheme="minorEastAsia" w:hAnsiTheme="minorEastAsia" w:cstheme="minorEastAsia" w:hint="eastAsia"/>
                <w:sz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</w:rPr>
              <w:t>比色法、速率法、终点法</w:t>
            </w:r>
            <w:r>
              <w:rPr>
                <w:rFonts w:asciiTheme="minorEastAsia" w:hAnsiTheme="minorEastAsia" w:cstheme="minorEastAsia" w:hint="eastAsia"/>
                <w:sz w:val="24"/>
              </w:rPr>
              <w:t>等。</w:t>
            </w:r>
          </w:p>
          <w:p w:rsidR="008B0556" w:rsidRDefault="0084234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hAnsiTheme="minorEastAsia" w:cstheme="minorEastAsia" w:hint="eastAsia"/>
                <w:sz w:val="24"/>
              </w:rPr>
              <w:t>试剂加载要求：可不停机装载</w:t>
            </w:r>
            <w:r>
              <w:rPr>
                <w:rFonts w:ascii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</w:rPr>
              <w:t>卸载试剂，对测试流程无任何影响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0556" w:rsidRDefault="008423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8B0556" w:rsidRDefault="008B055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B0556" w:rsidRDefault="0084234F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8B0556" w:rsidRDefault="0084234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</w:p>
    <w:p w:rsidR="008B0556" w:rsidRDefault="0084234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8B0556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556" w:rsidRDefault="008423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8B0556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0556" w:rsidRDefault="008B05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8B0556" w:rsidRDefault="0084234F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8B0556" w:rsidRDefault="0084234F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★设备使用年限多少年。</w:t>
      </w:r>
    </w:p>
    <w:p w:rsidR="008B0556" w:rsidRDefault="0084234F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8B0556" w:rsidRDefault="0084234F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8B0556">
        <w:tc>
          <w:tcPr>
            <w:tcW w:w="627" w:type="dxa"/>
          </w:tcPr>
          <w:p w:rsidR="008B0556" w:rsidRDefault="0084234F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8B0556" w:rsidRDefault="0084234F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8B0556" w:rsidRDefault="0084234F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8B0556" w:rsidRDefault="0084234F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8B0556" w:rsidRDefault="0084234F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8B0556" w:rsidRDefault="0084234F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8B0556" w:rsidRDefault="0084234F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8B0556" w:rsidRDefault="0084234F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8B0556" w:rsidRDefault="0084234F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8B0556" w:rsidRDefault="0084234F">
            <w:r>
              <w:rPr>
                <w:rFonts w:hint="eastAsia"/>
              </w:rPr>
              <w:t>备注</w:t>
            </w:r>
          </w:p>
        </w:tc>
      </w:tr>
      <w:tr w:rsidR="008B0556">
        <w:tc>
          <w:tcPr>
            <w:tcW w:w="627" w:type="dxa"/>
          </w:tcPr>
          <w:p w:rsidR="008B0556" w:rsidRDefault="008B0556"/>
        </w:tc>
        <w:tc>
          <w:tcPr>
            <w:tcW w:w="1432" w:type="dxa"/>
          </w:tcPr>
          <w:p w:rsidR="008B0556" w:rsidRDefault="008B0556"/>
        </w:tc>
        <w:tc>
          <w:tcPr>
            <w:tcW w:w="1241" w:type="dxa"/>
          </w:tcPr>
          <w:p w:rsidR="008B0556" w:rsidRDefault="008B0556"/>
        </w:tc>
        <w:tc>
          <w:tcPr>
            <w:tcW w:w="845" w:type="dxa"/>
          </w:tcPr>
          <w:p w:rsidR="008B0556" w:rsidRDefault="008B0556"/>
        </w:tc>
        <w:tc>
          <w:tcPr>
            <w:tcW w:w="968" w:type="dxa"/>
          </w:tcPr>
          <w:p w:rsidR="008B0556" w:rsidRDefault="008B0556"/>
        </w:tc>
        <w:tc>
          <w:tcPr>
            <w:tcW w:w="1159" w:type="dxa"/>
          </w:tcPr>
          <w:p w:rsidR="008B0556" w:rsidRDefault="008B0556"/>
        </w:tc>
        <w:tc>
          <w:tcPr>
            <w:tcW w:w="1105" w:type="dxa"/>
          </w:tcPr>
          <w:p w:rsidR="008B0556" w:rsidRDefault="008B0556"/>
        </w:tc>
        <w:tc>
          <w:tcPr>
            <w:tcW w:w="1104" w:type="dxa"/>
          </w:tcPr>
          <w:p w:rsidR="008B0556" w:rsidRDefault="008B0556"/>
        </w:tc>
        <w:tc>
          <w:tcPr>
            <w:tcW w:w="1064" w:type="dxa"/>
          </w:tcPr>
          <w:p w:rsidR="008B0556" w:rsidRDefault="008B0556"/>
        </w:tc>
        <w:tc>
          <w:tcPr>
            <w:tcW w:w="545" w:type="dxa"/>
          </w:tcPr>
          <w:p w:rsidR="008B0556" w:rsidRDefault="008B0556"/>
        </w:tc>
      </w:tr>
    </w:tbl>
    <w:p w:rsidR="008B0556" w:rsidRDefault="0084234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（如有）提供耗材试剂单份、单人成本效益分析。</w:t>
      </w:r>
    </w:p>
    <w:p w:rsidR="008B0556" w:rsidRDefault="008423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8B0556" w:rsidRDefault="0084234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8B0556" w:rsidRDefault="0084234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8B0556" w:rsidRDefault="008423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8B0556" w:rsidRDefault="0084234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8B0556" w:rsidRDefault="008423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8B0556" w:rsidRDefault="008423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8B0556" w:rsidRDefault="0084234F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8B0556" w:rsidRDefault="0084234F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8B0556" w:rsidRDefault="0084234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8B0556" w:rsidRDefault="0084234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8B0556" w:rsidRDefault="0084234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lastRenderedPageBreak/>
        <w:t>（三）报名材料提交时间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 w:rsidR="00433E9B">
        <w:rPr>
          <w:rFonts w:ascii="宋体" w:hAnsi="宋体" w:cs="宋体" w:hint="eastAsia"/>
          <w:szCs w:val="21"/>
          <w:shd w:val="clear" w:color="auto" w:fill="FFFFFF"/>
        </w:rPr>
        <w:t>2025年9月</w:t>
      </w:r>
      <w:r w:rsidR="00433E9B">
        <w:rPr>
          <w:rFonts w:ascii="宋体" w:hAnsi="宋体" w:cs="宋体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9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433E9B">
        <w:rPr>
          <w:rFonts w:ascii="宋体" w:hAnsi="宋体" w:cs="宋体" w:hint="eastAsia"/>
          <w:szCs w:val="21"/>
          <w:shd w:val="clear" w:color="auto" w:fill="FFFFFF"/>
        </w:rPr>
        <w:t>2</w:t>
      </w:r>
      <w:r w:rsidR="00433E9B">
        <w:rPr>
          <w:rFonts w:ascii="宋体" w:hAnsi="宋体" w:cs="宋体"/>
          <w:szCs w:val="21"/>
          <w:shd w:val="clear" w:color="auto" w:fill="FFFFFF"/>
        </w:rPr>
        <w:t>6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</w:t>
      </w:r>
      <w:r>
        <w:rPr>
          <w:rFonts w:ascii="宋体" w:hAnsi="宋体" w:cs="宋体" w:hint="eastAsia"/>
          <w:szCs w:val="21"/>
          <w:shd w:val="clear" w:color="auto" w:fill="FFFFFF"/>
        </w:rPr>
        <w:t>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8B0556" w:rsidRDefault="0084234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纸质材料一式六份（一正五副），先寄一份正本纸质材料到医院地点。</w:t>
      </w:r>
    </w:p>
    <w:p w:rsidR="008B0556" w:rsidRDefault="0084234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8B0556" w:rsidRDefault="0084234F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8B0556" w:rsidRDefault="0084234F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（四）医院联系方式</w:t>
      </w:r>
    </w:p>
    <w:p w:rsidR="008B0556" w:rsidRDefault="008423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戴</w:t>
      </w:r>
      <w:r>
        <w:rPr>
          <w:rFonts w:ascii="宋体" w:hAnsi="宋体" w:hint="eastAsia"/>
          <w:szCs w:val="21"/>
        </w:rPr>
        <w:t>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8B0556" w:rsidRDefault="0084234F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8B0556" w:rsidRDefault="008B0556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8B0556" w:rsidRDefault="0084234F">
      <w:pPr>
        <w:tabs>
          <w:tab w:val="left" w:pos="114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</w:t>
      </w:r>
      <w:r>
        <w:rPr>
          <w:rFonts w:ascii="宋体" w:hAnsi="宋体" w:hint="eastAsia"/>
          <w:szCs w:val="21"/>
        </w:rPr>
        <w:t>广州医科大学附属番禺中心医院</w:t>
      </w:r>
      <w:r>
        <w:rPr>
          <w:rFonts w:ascii="宋体" w:hAnsi="宋体" w:hint="eastAsia"/>
          <w:szCs w:val="21"/>
        </w:rPr>
        <w:t>检验科</w:t>
      </w:r>
      <w:r>
        <w:rPr>
          <w:rFonts w:ascii="宋体" w:hAnsi="宋体" w:hint="eastAsia"/>
          <w:szCs w:val="21"/>
        </w:rPr>
        <w:t>设备采购项目市场调查公告</w:t>
      </w:r>
    </w:p>
    <w:p w:rsidR="008B0556" w:rsidRDefault="008B0556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B0556" w:rsidRDefault="0084234F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广州医科大学附属番禺中心医院</w:t>
      </w:r>
    </w:p>
    <w:p w:rsidR="008B0556" w:rsidRDefault="00433E9B" w:rsidP="00635B1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2025年9月</w:t>
      </w:r>
      <w:r>
        <w:rPr>
          <w:rFonts w:ascii="宋体" w:hAnsi="宋体"/>
          <w:sz w:val="24"/>
        </w:rPr>
        <w:t>22</w:t>
      </w:r>
      <w:r w:rsidR="0084234F">
        <w:rPr>
          <w:rFonts w:ascii="宋体" w:hAnsi="宋体" w:hint="eastAsia"/>
          <w:sz w:val="24"/>
        </w:rPr>
        <w:t>日</w:t>
      </w:r>
    </w:p>
    <w:sectPr w:rsidR="008B05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4F" w:rsidRDefault="0084234F">
      <w:r>
        <w:separator/>
      </w:r>
    </w:p>
  </w:endnote>
  <w:endnote w:type="continuationSeparator" w:id="0">
    <w:p w:rsidR="0084234F" w:rsidRDefault="0084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56" w:rsidRDefault="0084234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0556" w:rsidRDefault="0084234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037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B0556" w:rsidRDefault="0084234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037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4F" w:rsidRDefault="0084234F">
      <w:r>
        <w:separator/>
      </w:r>
    </w:p>
  </w:footnote>
  <w:footnote w:type="continuationSeparator" w:id="0">
    <w:p w:rsidR="0084234F" w:rsidRDefault="0084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FB2198"/>
    <w:rsid w:val="F6BBE296"/>
    <w:rsid w:val="F7EF55FD"/>
    <w:rsid w:val="F9B957F6"/>
    <w:rsid w:val="FDB008F5"/>
    <w:rsid w:val="FFEBCCC9"/>
    <w:rsid w:val="FFF7437E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A25FE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255A8"/>
    <w:rsid w:val="0033074F"/>
    <w:rsid w:val="00330B8B"/>
    <w:rsid w:val="00352EAB"/>
    <w:rsid w:val="003778EF"/>
    <w:rsid w:val="003A037B"/>
    <w:rsid w:val="003A5E09"/>
    <w:rsid w:val="003B12A7"/>
    <w:rsid w:val="003B2233"/>
    <w:rsid w:val="003E4B01"/>
    <w:rsid w:val="003E678E"/>
    <w:rsid w:val="003F11BB"/>
    <w:rsid w:val="003F398D"/>
    <w:rsid w:val="00433E9B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35B11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3FC"/>
    <w:rsid w:val="007E0591"/>
    <w:rsid w:val="008321D6"/>
    <w:rsid w:val="00835D8F"/>
    <w:rsid w:val="0084056F"/>
    <w:rsid w:val="0084234F"/>
    <w:rsid w:val="00842A47"/>
    <w:rsid w:val="00873E7F"/>
    <w:rsid w:val="00884331"/>
    <w:rsid w:val="00892DEB"/>
    <w:rsid w:val="008B0556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D52BC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1F86854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AF53C3"/>
    <w:rsid w:val="08AF6BEE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D75B02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DB5E57"/>
    <w:rsid w:val="166E3B87"/>
    <w:rsid w:val="16F11B48"/>
    <w:rsid w:val="179965BF"/>
    <w:rsid w:val="17A706EF"/>
    <w:rsid w:val="17A76872"/>
    <w:rsid w:val="181C55AD"/>
    <w:rsid w:val="18D5593B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741EBA"/>
    <w:rsid w:val="26A83FCC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150DD9"/>
    <w:rsid w:val="375F0685"/>
    <w:rsid w:val="37AD1DE2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DD31BC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BE83DD4"/>
    <w:rsid w:val="4C143864"/>
    <w:rsid w:val="4C365A00"/>
    <w:rsid w:val="4C4A4731"/>
    <w:rsid w:val="4C84647A"/>
    <w:rsid w:val="4D111FCA"/>
    <w:rsid w:val="4D273626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424C8B"/>
    <w:rsid w:val="544669FD"/>
    <w:rsid w:val="5458105A"/>
    <w:rsid w:val="548216F8"/>
    <w:rsid w:val="549C2D91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DF64C20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3FA6E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B10BAF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803880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73401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4BD3C7B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F26E0F"/>
    <w:rsid w:val="79C124FE"/>
    <w:rsid w:val="79C601B6"/>
    <w:rsid w:val="79C67B14"/>
    <w:rsid w:val="79D76E8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3BA80D"/>
    <w:rsid w:val="7D7E216A"/>
    <w:rsid w:val="7DAE2D99"/>
    <w:rsid w:val="7DF72E77"/>
    <w:rsid w:val="7E202B6D"/>
    <w:rsid w:val="7E3A63DB"/>
    <w:rsid w:val="7E792FCF"/>
    <w:rsid w:val="7E981BDD"/>
    <w:rsid w:val="7E9FE7E6"/>
    <w:rsid w:val="7EBF30AE"/>
    <w:rsid w:val="7EE56C5D"/>
    <w:rsid w:val="7F3E04DE"/>
    <w:rsid w:val="7F7F1206"/>
    <w:rsid w:val="7F871AF4"/>
    <w:rsid w:val="7F949A04"/>
    <w:rsid w:val="7F97DFAC"/>
    <w:rsid w:val="7FC12377"/>
    <w:rsid w:val="7FD55449"/>
    <w:rsid w:val="7FEF9B04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B4252"/>
  <w15:docId w15:val="{09921B81-9FFC-45DA-BEE0-7C0E95A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5</cp:revision>
  <dcterms:created xsi:type="dcterms:W3CDTF">2024-04-12T23:39:00Z</dcterms:created>
  <dcterms:modified xsi:type="dcterms:W3CDTF">2025-09-22T01:38:00Z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0C0F38FFF0F643FEB6DB86C37A67118A_13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