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IRATA（高空绳索救援）培训服务</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中山市消防救援支队港口大队</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二〇二四年五月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b/>
          <w:color w:val="000000" w:themeColor="text1"/>
          <w:kern w:val="0"/>
          <w:szCs w:val="21"/>
          <w:lang w:val="en-US" w:eastAsia="zh-CN"/>
          <w14:textFill>
            <w14:solidFill>
              <w14:schemeClr w14:val="tx1"/>
            </w14:solidFill>
          </w14:textFill>
        </w:rPr>
        <w:t>供应商须具有同类培训服务经验（提供一份业绩合同或协议）</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bookmarkStart w:id="0" w:name="_GoBack"/>
            <w:r>
              <w:rPr>
                <w:rFonts w:hint="eastAsia" w:ascii="宋体" w:hAnsi="宋体" w:eastAsia="宋体" w:cs="宋体"/>
                <w:color w:val="000000" w:themeColor="text1"/>
                <w:szCs w:val="21"/>
                <w14:textFill>
                  <w14:solidFill>
                    <w14:schemeClr w14:val="tx1"/>
                  </w14:solidFill>
                </w14:textFill>
              </w:rPr>
              <w:t>IRATA（高空绳索救援）培训服务</w:t>
            </w:r>
            <w:bookmarkEnd w:id="0"/>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7个</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18600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4106"/>
        <w:gridCol w:w="1140"/>
        <w:gridCol w:w="100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4"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序号</w:t>
            </w:r>
          </w:p>
        </w:tc>
        <w:tc>
          <w:tcPr>
            <w:tcW w:w="240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服务内容</w:t>
            </w:r>
          </w:p>
        </w:tc>
        <w:tc>
          <w:tcPr>
            <w:tcW w:w="66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单位</w:t>
            </w:r>
          </w:p>
        </w:tc>
        <w:tc>
          <w:tcPr>
            <w:tcW w:w="58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数量</w:t>
            </w:r>
          </w:p>
        </w:tc>
        <w:tc>
          <w:tcPr>
            <w:tcW w:w="917"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14"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p>
        </w:tc>
        <w:tc>
          <w:tcPr>
            <w:tcW w:w="240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lang w:val="en-US" w:eastAsia="zh-CN"/>
              </w:rPr>
              <w:t>对专职消防员进行</w:t>
            </w:r>
            <w:r>
              <w:rPr>
                <w:rFonts w:hint="default" w:hAnsi="宋体" w:cs="宋体"/>
                <w:b w:val="0"/>
                <w:bCs w:val="0"/>
                <w:sz w:val="21"/>
                <w:szCs w:val="21"/>
              </w:rPr>
              <w:t>I RATA（高空绳索救援）培训服务及取得相关证书等培训成果（包含课程、食宿、考试等费用）</w:t>
            </w:r>
          </w:p>
        </w:tc>
        <w:tc>
          <w:tcPr>
            <w:tcW w:w="66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人</w:t>
            </w:r>
          </w:p>
        </w:tc>
        <w:tc>
          <w:tcPr>
            <w:tcW w:w="58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2</w:t>
            </w:r>
          </w:p>
        </w:tc>
        <w:tc>
          <w:tcPr>
            <w:tcW w:w="917"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eastAsia="宋体" w:cs="宋体"/>
                <w:b w:val="0"/>
                <w:bCs w:val="0"/>
                <w:sz w:val="21"/>
                <w:szCs w:val="21"/>
                <w:lang w:val="en-US" w:eastAsia="zh-CN"/>
              </w:rPr>
            </w:pPr>
            <w:r>
              <w:rPr>
                <w:rFonts w:hint="default" w:hAnsi="宋体" w:cs="宋体"/>
                <w:b w:val="0"/>
                <w:bCs w:val="0"/>
                <w:sz w:val="21"/>
                <w:szCs w:val="21"/>
              </w:rPr>
              <w:t>培训单位提供</w:t>
            </w:r>
            <w:r>
              <w:rPr>
                <w:rFonts w:hint="eastAsia" w:hAnsi="宋体" w:cs="宋体"/>
                <w:b w:val="0"/>
                <w:bCs w:val="0"/>
                <w:sz w:val="21"/>
                <w:szCs w:val="21"/>
                <w:lang w:val="en-US" w:eastAsia="zh-CN"/>
              </w:rPr>
              <w:t>培训场地</w:t>
            </w: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具体要求</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（一）服务要求</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保证向采购人提供合格的服务，无正当理由不得拒绝接受委托项目。</w:t>
      </w:r>
      <w:r>
        <w:rPr>
          <w:rFonts w:hint="eastAsia" w:ascii="宋体" w:hAnsi="宋体" w:eastAsia="宋体" w:cs="宋体"/>
          <w:bCs/>
          <w:szCs w:val="21"/>
          <w:lang w:bidi="ar"/>
        </w:rPr>
        <w:t>已接受委托的项目，成交供应商必须按照协议要求按时按质完成任务</w:t>
      </w:r>
      <w:r>
        <w:rPr>
          <w:rFonts w:hint="eastAsia" w:ascii="宋体" w:hAnsi="宋体" w:eastAsia="宋体" w:cs="宋体"/>
          <w:szCs w:val="21"/>
          <w:lang w:bidi="ar"/>
        </w:rPr>
        <w:t>。</w:t>
      </w:r>
      <w:r>
        <w:rPr>
          <w:rFonts w:hint="eastAsia" w:ascii="宋体" w:hAnsi="宋体" w:eastAsia="宋体" w:cs="宋体"/>
          <w:iCs/>
          <w:szCs w:val="21"/>
          <w:lang w:bidi="ar"/>
        </w:rPr>
        <w:t>不得拒绝接受委托的服务项目，否则采购人有权中止委托合同。未经采购人书面同意，不得擅自将受委托项目转委托给第三方承担。</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为保证按时按质按量完成受委托的项目，成交供应商须提供充裕的人力、物力及相应的软件、硬件支持，不能以上述原因为理由延误项目的委托任务。若采购人对所完成的委托服务项目的质量及时间不满意，则有权发出警告信给受委托方，或停止委托，若发出第二封警告信给受委托方，则取消受委托资格。</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成交供应商须指定专人负责联系委托事宜。需在接到委托后2个工作日内与采购人联系。</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（二）其他相关要求</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成交供应商须遵守采购人提出的各项规章制度和廉政纪律要求。</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成交供应商应有健全的组织机构的内部管理制度，有完善的质量保证体系和技术经济档案管理制度，有良好的服务态度的较好的社会信誉。应提出保证项目审核质量和进度的措施。</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明确拟派工作人员必须有相当经验，能充分胜任从事工程服务工作，成交后未经采购人同意，不得随意更换项目负责人。如成交供应商派出工作人员不能胜任工作，采购人保留更换人员及成交人的权利。</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对成交供应商执行协议情况的监督管理</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（1）为保证项目工作质量，采购人将于协议期内对成交</w:t>
      </w:r>
      <w:r>
        <w:rPr>
          <w:rFonts w:hint="eastAsia" w:ascii="宋体" w:hAnsi="宋体" w:eastAsia="宋体" w:cs="宋体"/>
          <w:iCs/>
          <w:szCs w:val="21"/>
          <w:lang w:bidi="ar"/>
        </w:rPr>
        <w:t>供应商</w:t>
      </w:r>
      <w:r>
        <w:rPr>
          <w:rFonts w:hint="eastAsia" w:ascii="宋体" w:hAnsi="宋体" w:eastAsia="宋体" w:cs="宋体"/>
          <w:bCs/>
          <w:szCs w:val="21"/>
          <w:lang w:bidi="ar"/>
        </w:rPr>
        <w:t>执行协议情况进行跟踪核查；</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（2）成交</w:t>
      </w:r>
      <w:r>
        <w:rPr>
          <w:rFonts w:hint="eastAsia" w:ascii="宋体" w:hAnsi="宋体" w:eastAsia="宋体" w:cs="宋体"/>
          <w:iCs/>
          <w:szCs w:val="21"/>
          <w:lang w:bidi="ar"/>
        </w:rPr>
        <w:t>供应商</w:t>
      </w:r>
      <w:r>
        <w:rPr>
          <w:rFonts w:hint="eastAsia" w:ascii="宋体" w:hAnsi="宋体" w:eastAsia="宋体" w:cs="宋体"/>
          <w:bCs/>
          <w:szCs w:val="21"/>
          <w:lang w:bidi="ar"/>
        </w:rPr>
        <w:t>在协议执行期内如被发现以下问题，通过有关部门查实，采购人有权终止服务协议，采购人保留停止支付或追回已支付的费用和追究其法律责任的权利，并将有关情况向建设行政主管部门反映：</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违反有关法律、法规和政策规定，造成采购人及相关单位损失；</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通过提供虚假信息、误导或欺骗等方式，以谋取非法利益的；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采用非法手段进行不正当竞争，构成恶劣影响的；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无正当理由拒绝委托或未经采购人同意擅自将受委托项目转委托给第三方的；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违反保密规定的；</w:t>
      </w:r>
    </w:p>
    <w:p>
      <w:pPr>
        <w:numPr>
          <w:ilvl w:val="0"/>
          <w:numId w:val="17"/>
        </w:numPr>
        <w:snapToGrid w:val="0"/>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Cs/>
          <w:kern w:val="0"/>
          <w:szCs w:val="21"/>
          <w:lang w:bidi="ar"/>
        </w:rPr>
        <w:t>拒绝接受采购人跟踪核查的。</w:t>
      </w:r>
    </w:p>
    <w:p>
      <w:pPr>
        <w:pStyle w:val="10"/>
        <w:numPr>
          <w:ilvl w:val="0"/>
          <w:numId w:val="18"/>
        </w:numPr>
        <w:tabs>
          <w:tab w:val="left" w:pos="540"/>
        </w:tabs>
        <w:adjustRightIn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付款方式</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由采购人按下列程序付款： </w:t>
      </w:r>
    </w:p>
    <w:p>
      <w:pPr>
        <w:numPr>
          <w:ilvl w:val="0"/>
          <w:numId w:val="19"/>
        </w:numPr>
        <w:autoSpaceDE w:val="0"/>
        <w:autoSpaceDN w:val="0"/>
        <w:adjustRightInd w:val="0"/>
        <w:snapToGrid w:val="0"/>
        <w:spacing w:after="160"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w:t>
      </w:r>
      <w:r>
        <w:rPr>
          <w:rFonts w:hint="eastAsia" w:ascii="宋体" w:hAnsi="宋体" w:eastAsia="宋体" w:cs="宋体"/>
          <w:color w:val="000000" w:themeColor="text1"/>
          <w:szCs w:val="21"/>
          <w:lang w:val="en-US" w:eastAsia="zh-CN"/>
          <w14:textFill>
            <w14:solidFill>
              <w14:schemeClr w14:val="tx1"/>
            </w14:solidFill>
          </w14:textFill>
        </w:rPr>
        <w:t>取得合格证书后</w:t>
      </w:r>
      <w:r>
        <w:rPr>
          <w:rFonts w:hint="eastAsia" w:ascii="宋体" w:hAnsi="宋体" w:eastAsia="宋体" w:cs="宋体"/>
          <w:color w:val="000000" w:themeColor="text1"/>
          <w:szCs w:val="21"/>
          <w14:textFill>
            <w14:solidFill>
              <w14:schemeClr w14:val="tx1"/>
            </w14:solidFill>
          </w14:textFill>
        </w:rPr>
        <w:t>，支付合同总价的</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100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numPr>
          <w:ilvl w:val="0"/>
          <w:numId w:val="19"/>
        </w:numPr>
        <w:autoSpaceDE w:val="0"/>
        <w:autoSpaceDN w:val="0"/>
        <w:adjustRightInd w:val="0"/>
        <w:snapToGrid w:val="0"/>
        <w:spacing w:after="160" w:line="360" w:lineRule="auto"/>
        <w:ind w:left="425" w:hanging="425"/>
        <w:jc w:val="left"/>
        <w:rPr>
          <w:rFonts w:ascii="宋体" w:hAnsi="宋体" w:eastAsia="宋体" w:cs="宋体"/>
          <w:color w:val="000000" w:themeColor="text1"/>
          <w:kern w:val="21"/>
          <w:szCs w:val="21"/>
          <w14:textFill>
            <w14:solidFill>
              <w14:schemeClr w14:val="tx1"/>
            </w14:solidFill>
          </w14:textFill>
        </w:rPr>
      </w:pPr>
      <w:r>
        <w:rPr>
          <w:rFonts w:hint="eastAsia" w:ascii="宋体" w:hAnsi="宋体" w:eastAsia="宋体" w:cs="宋体"/>
          <w:color w:val="000000" w:themeColor="text1"/>
          <w:kern w:val="21"/>
          <w:szCs w:val="21"/>
          <w14:textFill>
            <w14:solidFill>
              <w14:schemeClr w14:val="tx1"/>
            </w14:solidFill>
          </w14:textFill>
        </w:rPr>
        <w:t>成交人凭以下有效文件与采购人结算：</w:t>
      </w:r>
    </w:p>
    <w:p>
      <w:pPr>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w:t>
      </w:r>
    </w:p>
    <w:p>
      <w:pPr>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（2）成交人开具的正式发票；</w:t>
      </w:r>
    </w:p>
    <w:p>
      <w:pPr>
        <w:snapToGrid w:val="0"/>
        <w:spacing w:line="360" w:lineRule="auto"/>
        <w:ind w:firstLine="315"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）成交通知书。</w:t>
      </w:r>
      <w:r>
        <w:rPr>
          <w:rFonts w:hint="eastAsia" w:ascii="宋体" w:hAnsi="宋体" w:eastAsia="宋体" w:cs="宋体"/>
          <w:b/>
          <w:color w:val="000000" w:themeColor="text1"/>
          <w:szCs w:val="21"/>
          <w14:textFill>
            <w14:solidFill>
              <w14:schemeClr w14:val="tx1"/>
            </w14:solidFill>
          </w14:textFill>
        </w:rPr>
        <w:tab/>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服务期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lang w:bidi="ar"/>
              </w:rPr>
              <w:t>IRATA（高空绳索救援）培训服务</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7个</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致：中山市消防救援支队港口大队、</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IRATA（高空绳索救援）培训服务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中山市消防救援支队港口大队、</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IRATA（高空绳索救援）培训服务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1D85"/>
    <w:multiLevelType w:val="multilevel"/>
    <w:tmpl w:val="98EF1D85"/>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9BECB6F6"/>
    <w:multiLevelType w:val="singleLevel"/>
    <w:tmpl w:val="9BECB6F6"/>
    <w:lvl w:ilvl="0" w:tentative="0">
      <w:start w:val="1"/>
      <w:numFmt w:val="decimal"/>
      <w:suff w:val="nothing"/>
      <w:lvlText w:val="%1．"/>
      <w:lvlJc w:val="left"/>
      <w:pPr>
        <w:ind w:left="0" w:firstLine="400"/>
      </w:pPr>
      <w:rPr>
        <w:rFonts w:hint="default"/>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E91EF292"/>
    <w:multiLevelType w:val="multilevel"/>
    <w:tmpl w:val="E91EF292"/>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1D776CB8"/>
    <w:multiLevelType w:val="multilevel"/>
    <w:tmpl w:val="1D776CB8"/>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0">
    <w:nsid w:val="6230C6E1"/>
    <w:multiLevelType w:val="multilevel"/>
    <w:tmpl w:val="6230C6E1"/>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1"/>
  </w:num>
  <w:num w:numId="3">
    <w:abstractNumId w:val="7"/>
  </w:num>
  <w:num w:numId="4">
    <w:abstractNumId w:val="17"/>
  </w:num>
  <w:num w:numId="5">
    <w:abstractNumId w:val="4"/>
  </w:num>
  <w:num w:numId="6">
    <w:abstractNumId w:val="10"/>
  </w:num>
  <w:num w:numId="7">
    <w:abstractNumId w:val="12"/>
  </w:num>
  <w:num w:numId="8">
    <w:abstractNumId w:val="19"/>
  </w:num>
  <w:num w:numId="9">
    <w:abstractNumId w:val="13"/>
  </w:num>
  <w:num w:numId="10">
    <w:abstractNumId w:val="6"/>
  </w:num>
  <w:num w:numId="11">
    <w:abstractNumId w:val="2"/>
  </w:num>
  <w:num w:numId="12">
    <w:abstractNumId w:val="11"/>
  </w:num>
  <w:num w:numId="13">
    <w:abstractNumId w:val="15"/>
  </w:num>
  <w:num w:numId="14">
    <w:abstractNumId w:val="8"/>
  </w:num>
  <w:num w:numId="15">
    <w:abstractNumId w:val="14"/>
  </w:num>
  <w:num w:numId="16">
    <w:abstractNumId w:val="0"/>
  </w:num>
  <w:num w:numId="17">
    <w:abstractNumId w:val="20"/>
  </w:num>
  <w:num w:numId="18">
    <w:abstractNumId w:val="5"/>
  </w:num>
  <w:num w:numId="19">
    <w:abstractNumId w:val="1"/>
  </w:num>
  <w:num w:numId="20">
    <w:abstractNumId w:val="22"/>
  </w:num>
  <w:num w:numId="21">
    <w:abstractNumId w:val="1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4A73F4"/>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7C63FB"/>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BB3249"/>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2"/>
    <w:qFormat/>
    <w:uiPriority w:val="0"/>
    <w:rPr>
      <w:b/>
      <w:bCs/>
      <w:kern w:val="44"/>
      <w:sz w:val="44"/>
      <w:szCs w:val="44"/>
    </w:rPr>
  </w:style>
  <w:style w:type="character" w:customStyle="1" w:styleId="56">
    <w:name w:val="页脚 字符1"/>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5622</Words>
  <Characters>5671</Characters>
  <Lines>1</Lines>
  <Paragraphs>1</Paragraphs>
  <TotalTime>2</TotalTime>
  <ScaleCrop>false</ScaleCrop>
  <LinksUpToDate>false</LinksUpToDate>
  <CharactersWithSpaces>5780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2024-05-31T08:27:02Z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BE353DE776EA44E7BE9A052527AF4223_13</vt:lpwstr>
  </property>
</Properties>
</file>