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bookmarkStart w:id="1" w:name="_GoBack"/>
      <w:bookmarkEnd w:id="1"/>
      <w:r>
        <w:rPr>
          <w:rFonts w:hint="eastAsia" w:ascii="宋体" w:hAnsi="宋体" w:eastAsia="宋体"/>
          <w:b/>
          <w:sz w:val="32"/>
          <w:szCs w:val="32"/>
        </w:rPr>
        <w:t>项目需求</w:t>
      </w:r>
      <w:bookmarkStart w:id="0" w:name="占用书签"/>
      <w:bookmarkEnd w:id="0"/>
    </w:p>
    <w:p>
      <w:pPr>
        <w:pStyle w:val="13"/>
        <w:numPr>
          <w:ilvl w:val="0"/>
          <w:numId w:val="1"/>
        </w:numPr>
        <w:tabs>
          <w:tab w:val="left" w:pos="709"/>
        </w:tabs>
        <w:ind w:left="0" w:firstLine="0" w:firstLineChars="0"/>
        <w:rPr>
          <w:rFonts w:ascii="宋体" w:hAnsi="宋体" w:eastAsia="宋体"/>
          <w:b/>
          <w:sz w:val="28"/>
          <w:szCs w:val="28"/>
        </w:rPr>
      </w:pPr>
      <w:r>
        <w:rPr>
          <w:rFonts w:hint="eastAsia" w:ascii="宋体" w:hAnsi="宋体" w:eastAsia="宋体"/>
          <w:b/>
          <w:sz w:val="28"/>
          <w:szCs w:val="28"/>
        </w:rPr>
        <w:t>项目</w:t>
      </w:r>
      <w:r>
        <w:rPr>
          <w:rFonts w:ascii="宋体" w:hAnsi="宋体" w:eastAsia="宋体"/>
          <w:b/>
          <w:sz w:val="28"/>
          <w:szCs w:val="28"/>
        </w:rPr>
        <w:t>概况</w:t>
      </w:r>
    </w:p>
    <w:tbl>
      <w:tblPr>
        <w:tblStyle w:val="9"/>
        <w:tblpPr w:leftFromText="180" w:rightFromText="180" w:vertAnchor="text" w:horzAnchor="margin" w:tblpY="200"/>
        <w:tblW w:w="14030"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62"/>
        <w:gridCol w:w="2694"/>
        <w:gridCol w:w="1276"/>
        <w:gridCol w:w="992"/>
        <w:gridCol w:w="1276"/>
        <w:gridCol w:w="1559"/>
        <w:gridCol w:w="2269"/>
        <w:gridCol w:w="851"/>
        <w:gridCol w:w="1417"/>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4"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1162"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使用科室</w:t>
            </w:r>
          </w:p>
        </w:tc>
        <w:tc>
          <w:tcPr>
            <w:tcW w:w="2694"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项目名称</w:t>
            </w:r>
          </w:p>
        </w:tc>
        <w:tc>
          <w:tcPr>
            <w:tcW w:w="1276"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预算单价</w:t>
            </w:r>
            <w:r>
              <w:rPr>
                <w:rFonts w:hint="eastAsia" w:ascii="宋体" w:hAnsi="宋体" w:eastAsia="宋体" w:cs="宋体"/>
                <w:b/>
                <w:color w:val="000000"/>
                <w:szCs w:val="21"/>
              </w:rPr>
              <w:t>（万元）</w:t>
            </w:r>
          </w:p>
        </w:tc>
        <w:tc>
          <w:tcPr>
            <w:tcW w:w="992"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276"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预算金额（万元）</w:t>
            </w:r>
          </w:p>
        </w:tc>
        <w:tc>
          <w:tcPr>
            <w:tcW w:w="1559" w:type="dxa"/>
            <w:vAlign w:val="center"/>
          </w:tcPr>
          <w:p>
            <w:pPr>
              <w:widowControl/>
              <w:jc w:val="center"/>
              <w:rPr>
                <w:rFonts w:ascii="宋体" w:hAnsi="宋体" w:eastAsia="宋体" w:cs="宋体"/>
                <w:b/>
                <w:color w:val="000000"/>
                <w:szCs w:val="21"/>
              </w:rPr>
            </w:pPr>
            <w:r>
              <w:rPr>
                <w:rFonts w:hint="eastAsia" w:ascii="宋体" w:hAnsi="宋体" w:eastAsia="宋体" w:cs="宋体"/>
                <w:b/>
                <w:bCs/>
                <w:color w:val="000000"/>
                <w:szCs w:val="21"/>
              </w:rPr>
              <w:t>品牌</w:t>
            </w:r>
          </w:p>
        </w:tc>
        <w:tc>
          <w:tcPr>
            <w:tcW w:w="2269"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厂家/经销商</w:t>
            </w:r>
          </w:p>
        </w:tc>
        <w:tc>
          <w:tcPr>
            <w:tcW w:w="851"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联系人</w:t>
            </w:r>
          </w:p>
        </w:tc>
        <w:tc>
          <w:tcPr>
            <w:tcW w:w="1417"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联系方式</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4" w:type="dxa"/>
            <w:vAlign w:val="center"/>
          </w:tcPr>
          <w:p>
            <w:pPr>
              <w:widowControl/>
              <w:jc w:val="center"/>
              <w:rPr>
                <w:rFonts w:ascii="宋体" w:hAnsi="宋体" w:eastAsia="宋体" w:cs="宋体"/>
                <w:bCs/>
                <w:color w:val="000000"/>
                <w:szCs w:val="21"/>
              </w:rPr>
            </w:pPr>
          </w:p>
        </w:tc>
        <w:tc>
          <w:tcPr>
            <w:tcW w:w="1162" w:type="dxa"/>
            <w:vAlign w:val="center"/>
          </w:tcPr>
          <w:p>
            <w:pPr>
              <w:widowControl/>
              <w:jc w:val="center"/>
              <w:rPr>
                <w:rFonts w:ascii="宋体" w:hAnsi="宋体" w:eastAsia="宋体" w:cs="宋体"/>
                <w:bCs/>
                <w:color w:val="000000"/>
                <w:szCs w:val="21"/>
              </w:rPr>
            </w:pPr>
            <w:r>
              <w:rPr>
                <w:rFonts w:hint="eastAsia" w:ascii="宋体" w:hAnsi="宋体" w:eastAsia="宋体" w:cs="宋体"/>
                <w:bCs/>
                <w:color w:val="000000"/>
                <w:szCs w:val="21"/>
              </w:rPr>
              <w:t>全院</w:t>
            </w:r>
          </w:p>
        </w:tc>
        <w:tc>
          <w:tcPr>
            <w:tcW w:w="2694" w:type="dxa"/>
            <w:vAlign w:val="center"/>
          </w:tcPr>
          <w:p>
            <w:pPr>
              <w:widowControl/>
              <w:jc w:val="center"/>
              <w:textAlignment w:val="center"/>
              <w:rPr>
                <w:rFonts w:ascii="宋体" w:hAnsi="宋体" w:eastAsia="宋体" w:cs="宋体"/>
                <w:color w:val="000000"/>
                <w:kern w:val="0"/>
                <w:sz w:val="24"/>
                <w:szCs w:val="24"/>
                <w:lang w:bidi="ar"/>
              </w:rPr>
            </w:pPr>
            <w:r>
              <w:rPr>
                <w:rFonts w:hint="eastAsia"/>
                <w:bCs/>
                <w:kern w:val="0"/>
                <w:sz w:val="24"/>
                <w:szCs w:val="24"/>
                <w:lang w:val="en-US" w:eastAsia="zh-CN"/>
              </w:rPr>
              <w:t>2025</w:t>
            </w:r>
            <w:r>
              <w:rPr>
                <w:rFonts w:hint="eastAsia"/>
                <w:bCs/>
                <w:kern w:val="0"/>
                <w:sz w:val="24"/>
                <w:szCs w:val="24"/>
              </w:rPr>
              <w:t>广州医科大学附属番禺中心医院医疗集团标识牌及活动布置采购项目</w:t>
            </w:r>
          </w:p>
        </w:tc>
        <w:tc>
          <w:tcPr>
            <w:tcW w:w="1276"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见需求表明细</w:t>
            </w:r>
          </w:p>
        </w:tc>
        <w:tc>
          <w:tcPr>
            <w:tcW w:w="992"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一批</w:t>
            </w:r>
          </w:p>
        </w:tc>
        <w:tc>
          <w:tcPr>
            <w:tcW w:w="1276" w:type="dxa"/>
            <w:vAlign w:val="center"/>
          </w:tcPr>
          <w:p>
            <w:pPr>
              <w:widowControl/>
              <w:jc w:val="center"/>
              <w:textAlignment w:val="center"/>
              <w:rPr>
                <w:rFonts w:ascii="宋体" w:hAnsi="宋体" w:eastAsia="宋体" w:cs="宋体"/>
                <w:color w:val="000000"/>
                <w:kern w:val="0"/>
                <w:szCs w:val="21"/>
                <w:lang w:bidi="ar"/>
              </w:rPr>
            </w:pPr>
          </w:p>
        </w:tc>
        <w:tc>
          <w:tcPr>
            <w:tcW w:w="1559" w:type="dxa"/>
            <w:vAlign w:val="center"/>
          </w:tcPr>
          <w:p>
            <w:pPr>
              <w:jc w:val="center"/>
              <w:rPr>
                <w:rFonts w:ascii="宋体" w:hAnsi="宋体" w:eastAsia="宋体" w:cs="宋体"/>
                <w:bCs/>
                <w:color w:val="000000"/>
                <w:szCs w:val="21"/>
              </w:rPr>
            </w:pPr>
          </w:p>
        </w:tc>
        <w:tc>
          <w:tcPr>
            <w:tcW w:w="2269" w:type="dxa"/>
            <w:tcBorders>
              <w:right w:val="single" w:color="auto" w:sz="4" w:space="0"/>
            </w:tcBorders>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 xml:space="preserve"> </w:t>
            </w:r>
          </w:p>
        </w:tc>
        <w:tc>
          <w:tcPr>
            <w:tcW w:w="851" w:type="dxa"/>
            <w:tcBorders>
              <w:right w:val="single" w:color="auto" w:sz="4" w:space="0"/>
            </w:tcBorders>
            <w:vAlign w:val="center"/>
          </w:tcPr>
          <w:p>
            <w:pPr>
              <w:jc w:val="center"/>
              <w:rPr>
                <w:rFonts w:ascii="宋体" w:hAnsi="宋体" w:eastAsia="宋体" w:cs="宋体"/>
                <w:bCs/>
                <w:color w:val="000000"/>
                <w:szCs w:val="21"/>
              </w:rPr>
            </w:pPr>
          </w:p>
        </w:tc>
        <w:tc>
          <w:tcPr>
            <w:tcW w:w="1417" w:type="dxa"/>
            <w:tcBorders>
              <w:right w:val="single" w:color="auto" w:sz="4" w:space="0"/>
            </w:tcBorders>
            <w:vAlign w:val="center"/>
          </w:tcPr>
          <w:p>
            <w:pPr>
              <w:jc w:val="center"/>
              <w:rPr>
                <w:rFonts w:ascii="宋体" w:hAnsi="宋体" w:eastAsia="宋体" w:cs="宋体"/>
                <w:bCs/>
                <w:color w:val="000000"/>
                <w:szCs w:val="21"/>
              </w:rPr>
            </w:pPr>
          </w:p>
        </w:tc>
      </w:tr>
    </w:tbl>
    <w:p>
      <w:pPr>
        <w:pStyle w:val="13"/>
        <w:tabs>
          <w:tab w:val="left" w:pos="709"/>
        </w:tabs>
        <w:ind w:firstLine="0" w:firstLineChars="0"/>
        <w:rPr>
          <w:rFonts w:ascii="宋体" w:hAnsi="宋体" w:eastAsia="宋体"/>
          <w:sz w:val="28"/>
          <w:szCs w:val="28"/>
        </w:rPr>
      </w:pPr>
      <w:r>
        <w:rPr>
          <w:rFonts w:hint="eastAsia" w:ascii="宋体" w:hAnsi="宋体" w:eastAsia="宋体"/>
          <w:b/>
          <w:sz w:val="28"/>
          <w:szCs w:val="28"/>
        </w:rPr>
        <w:t>二、项目需求简述：</w:t>
      </w:r>
    </w:p>
    <w:p>
      <w:pPr>
        <w:jc w:val="left"/>
        <w:outlineLvl w:val="0"/>
        <w:rPr>
          <w:rFonts w:ascii="宋体" w:hAnsi="宋体" w:cs="宋体"/>
          <w:color w:val="000000"/>
          <w:szCs w:val="21"/>
        </w:rPr>
      </w:pPr>
      <w:r>
        <w:rPr>
          <w:rFonts w:hint="eastAsia" w:ascii="宋体" w:hAnsi="宋体"/>
          <w:b/>
          <w:bCs/>
          <w:color w:val="000000"/>
          <w:szCs w:val="21"/>
        </w:rPr>
        <w:t>（一）、采购项目总体要求</w:t>
      </w:r>
    </w:p>
    <w:p>
      <w:pPr>
        <w:pStyle w:val="13"/>
        <w:ind w:left="2" w:firstLine="0" w:firstLineChars="0"/>
        <w:jc w:val="left"/>
        <w:outlineLvl w:val="0"/>
        <w:rPr>
          <w:rFonts w:ascii="宋体" w:hAnsi="宋体"/>
          <w:color w:val="000000"/>
          <w:szCs w:val="21"/>
        </w:rPr>
      </w:pPr>
      <w:r>
        <w:rPr>
          <w:rFonts w:hint="eastAsia" w:ascii="宋体" w:hAnsi="宋体"/>
          <w:color w:val="000000"/>
          <w:szCs w:val="21"/>
        </w:rPr>
        <w:t>1.</w:t>
      </w:r>
      <w:r>
        <w:rPr>
          <w:rFonts w:hint="eastAsia" w:ascii="宋体" w:hAnsi="宋体" w:cs="宋体"/>
          <w:bCs/>
          <w:color w:val="000000"/>
        </w:rPr>
        <w:t>本项目为大包干项目，投标报价包括设计、货物成本、人工费、包装、安装费、拆装费、仓储、运输、验收、技术服务、质保期保障、备品备件、版权专利、培训、所有税费和其他服务以及供应商认为实施过程中应预见和不可预见的一切费用，如发生缺漏项视同已包含在报价之中</w:t>
      </w:r>
      <w:r>
        <w:rPr>
          <w:rFonts w:ascii="宋体" w:hAnsi="宋体"/>
          <w:bCs/>
          <w:color w:val="000000"/>
          <w:szCs w:val="21"/>
        </w:rPr>
        <w:t>。</w:t>
      </w:r>
      <w:r>
        <w:rPr>
          <w:rFonts w:hint="eastAsia" w:ascii="宋体" w:hAnsi="宋体"/>
          <w:color w:val="000000"/>
          <w:szCs w:val="21"/>
        </w:rPr>
        <w:t>结算时按实际供货量进行结算。</w:t>
      </w:r>
    </w:p>
    <w:p>
      <w:pPr>
        <w:pStyle w:val="13"/>
        <w:ind w:left="2" w:firstLine="0" w:firstLineChars="0"/>
        <w:jc w:val="left"/>
        <w:outlineLvl w:val="0"/>
        <w:rPr>
          <w:rFonts w:ascii="宋体" w:hAnsi="宋体"/>
          <w:color w:val="000000"/>
          <w:szCs w:val="21"/>
        </w:rPr>
      </w:pPr>
      <w:r>
        <w:rPr>
          <w:rFonts w:ascii="宋体" w:hAnsi="宋体"/>
          <w:color w:val="000000"/>
          <w:szCs w:val="21"/>
        </w:rPr>
        <w:t>2.合同期限：自签订之日起，以2年或合同金额使用完毕为合同结束。</w:t>
      </w:r>
    </w:p>
    <w:p>
      <w:pPr>
        <w:pStyle w:val="13"/>
        <w:ind w:left="-5" w:leftChars="-7" w:hanging="10" w:hangingChars="5"/>
        <w:jc w:val="left"/>
        <w:outlineLvl w:val="0"/>
        <w:rPr>
          <w:rFonts w:ascii="宋体" w:hAnsi="宋体"/>
          <w:color w:val="000000"/>
          <w:szCs w:val="21"/>
        </w:rPr>
      </w:pPr>
      <w:r>
        <w:rPr>
          <w:rFonts w:ascii="宋体" w:hAnsi="宋体"/>
          <w:color w:val="000000"/>
          <w:szCs w:val="21"/>
        </w:rPr>
        <w:t>3</w:t>
      </w:r>
      <w:r>
        <w:rPr>
          <w:rFonts w:hint="eastAsia" w:ascii="宋体" w:hAnsi="宋体"/>
          <w:color w:val="000000"/>
          <w:szCs w:val="21"/>
        </w:rPr>
        <w:t>.供应商应保证本项目下提供的服务或其任何一部分不会因第三方依法享有的专利权、商标权或其他知识产权产生侵权；如果供应商不拥有相应的知识产权，则须在投标报价中包括合法获取该知识产权的相关费用，并在响应文件中附有相关证明文件，如因第三方提出其专利权、商标权或其他知识产权的侵权之诉讼，则一切法律责任由供应商承担。同时采购人将追究供应商的法律连带责任和经济赔偿。</w:t>
      </w:r>
    </w:p>
    <w:p>
      <w:pPr>
        <w:pStyle w:val="13"/>
        <w:ind w:left="-2" w:leftChars="-6" w:hanging="10" w:hangingChars="5"/>
        <w:jc w:val="left"/>
        <w:outlineLvl w:val="0"/>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hint="eastAsia" w:ascii="宋体" w:hAnsi="宋体"/>
          <w:bCs/>
          <w:color w:val="000000"/>
          <w:szCs w:val="21"/>
        </w:rPr>
        <w:t>采购人组织相关活动时，供应商必须无条件配合，按要求制作并负责将所需物品运送并安装至采购人指定</w:t>
      </w:r>
      <w:r>
        <w:rPr>
          <w:rFonts w:hint="eastAsia" w:ascii="宋体" w:hAnsi="宋体"/>
          <w:color w:val="000000"/>
          <w:szCs w:val="21"/>
        </w:rPr>
        <w:t>活动场地。</w:t>
      </w:r>
    </w:p>
    <w:p>
      <w:pPr>
        <w:pStyle w:val="13"/>
        <w:ind w:left="-2" w:leftChars="-6" w:hanging="10" w:hangingChars="5"/>
        <w:jc w:val="left"/>
        <w:outlineLvl w:val="0"/>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.供应商需派驻至少一名驻点人员，能完成日常</w:t>
      </w:r>
      <w:r>
        <w:rPr>
          <w:rFonts w:ascii="宋体" w:hAnsi="宋体"/>
          <w:color w:val="000000"/>
          <w:szCs w:val="21"/>
        </w:rPr>
        <w:t>安装及设计</w:t>
      </w:r>
      <w:r>
        <w:rPr>
          <w:rFonts w:hint="eastAsia" w:ascii="宋体" w:hAnsi="宋体"/>
          <w:color w:val="000000"/>
          <w:szCs w:val="21"/>
        </w:rPr>
        <w:t>，成立项目工作组。派驻</w:t>
      </w:r>
      <w:r>
        <w:rPr>
          <w:rFonts w:ascii="宋体" w:hAnsi="宋体"/>
          <w:color w:val="000000"/>
          <w:szCs w:val="21"/>
        </w:rPr>
        <w:t>驻点人员</w:t>
      </w:r>
      <w:r>
        <w:rPr>
          <w:rFonts w:hint="eastAsia" w:ascii="宋体" w:hAnsi="宋体"/>
          <w:color w:val="000000"/>
          <w:szCs w:val="21"/>
        </w:rPr>
        <w:t>必须</w:t>
      </w:r>
      <w:r>
        <w:rPr>
          <w:rFonts w:ascii="宋体" w:hAnsi="宋体"/>
          <w:color w:val="000000"/>
          <w:szCs w:val="21"/>
        </w:rPr>
        <w:t>需具备独立安装</w:t>
      </w:r>
      <w:r>
        <w:rPr>
          <w:rFonts w:hint="eastAsia" w:ascii="宋体" w:hAnsi="宋体"/>
          <w:color w:val="000000"/>
          <w:szCs w:val="21"/>
          <w:lang w:val="en-US" w:eastAsia="zh-CN"/>
        </w:rPr>
        <w:t>和维修</w:t>
      </w:r>
      <w:r>
        <w:rPr>
          <w:rFonts w:ascii="宋体" w:hAnsi="宋体"/>
          <w:color w:val="000000"/>
          <w:szCs w:val="21"/>
        </w:rPr>
        <w:t>日常标识的能力</w:t>
      </w:r>
      <w:r>
        <w:rPr>
          <w:rFonts w:hint="eastAsia" w:ascii="宋体" w:hAnsi="宋体"/>
          <w:color w:val="000000"/>
          <w:szCs w:val="21"/>
        </w:rPr>
        <w:t>，按采购人工作时间驻点，提供现场巡查、设计修定、检测维修等服务。</w:t>
      </w:r>
    </w:p>
    <w:p>
      <w:pPr>
        <w:pStyle w:val="13"/>
        <w:ind w:left="-2" w:leftChars="-6" w:hanging="10" w:hangingChars="5"/>
        <w:jc w:val="left"/>
        <w:outlineLvl w:val="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.所有项目效果图需采购人签名确认后下单，否则不予支付。</w:t>
      </w:r>
    </w:p>
    <w:p>
      <w:pPr>
        <w:pStyle w:val="13"/>
        <w:ind w:left="-2" w:leftChars="-6" w:hanging="10" w:hangingChars="5"/>
        <w:jc w:val="left"/>
        <w:outlineLvl w:val="0"/>
        <w:rPr>
          <w:rFonts w:ascii="宋体" w:hAns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w:t>
      </w:r>
      <w:r>
        <w:rPr>
          <w:rFonts w:ascii="宋体" w:hAnsi="宋体"/>
          <w:color w:val="000000"/>
          <w:szCs w:val="21"/>
        </w:rPr>
        <w:t>中标人须满足定稿后：导向标识15天内完成安装，日常标识3-5天内完成安装，活动标识视场地情况协商完成安装。同时中标人指定的项目负责人须24小时保证电话畅通，同时</w:t>
      </w:r>
      <w:r>
        <w:rPr>
          <w:rFonts w:hint="eastAsia" w:ascii="宋体" w:hAnsi="宋体"/>
          <w:color w:val="000000"/>
          <w:szCs w:val="21"/>
        </w:rPr>
        <w:t>需有两小时内紧急制作配送能力，</w:t>
      </w:r>
      <w:r>
        <w:rPr>
          <w:rFonts w:ascii="宋体" w:hAnsi="宋体"/>
          <w:color w:val="000000"/>
          <w:szCs w:val="21"/>
        </w:rPr>
        <w:t>需提供承诺书</w:t>
      </w:r>
      <w:r>
        <w:rPr>
          <w:rFonts w:hint="eastAsia" w:ascii="宋体" w:hAnsi="宋体"/>
          <w:color w:val="000000"/>
          <w:szCs w:val="21"/>
        </w:rPr>
        <w:t>。</w:t>
      </w:r>
    </w:p>
    <w:p>
      <w:pPr>
        <w:jc w:val="left"/>
        <w:rPr>
          <w:rFonts w:ascii="宋体" w:hAnsi="宋体"/>
          <w:b/>
          <w:color w:val="000000"/>
          <w:szCs w:val="21"/>
        </w:rPr>
      </w:pPr>
      <w:r>
        <w:rPr>
          <w:rFonts w:hint="eastAsia" w:ascii="宋体" w:hAnsi="宋体"/>
          <w:b/>
          <w:color w:val="000000"/>
          <w:szCs w:val="21"/>
        </w:rPr>
        <w:t>（二）、材料要求</w:t>
      </w:r>
    </w:p>
    <w:p>
      <w:pPr>
        <w:ind w:firstLine="420"/>
        <w:jc w:val="left"/>
        <w:rPr>
          <w:rFonts w:ascii="宋体" w:hAnsi="宋体"/>
          <w:color w:val="000000"/>
          <w:szCs w:val="21"/>
        </w:rPr>
      </w:pPr>
      <w:r>
        <w:rPr>
          <w:rFonts w:hint="eastAsia" w:ascii="宋体" w:hAnsi="宋体"/>
          <w:color w:val="000000"/>
          <w:szCs w:val="21"/>
        </w:rPr>
        <w:t>1.本项目的材料、成品等按照采购人要求的规格、型号、国家标准提供。材料、货物进场时，须提交相关检测报告并经采购人验收通过后进入。如有短缺、次品、损坏或其他不符合招标文件的，供应商必须立刻更换，并提供不低于成交档次的材料供采购人使用。</w:t>
      </w:r>
    </w:p>
    <w:p>
      <w:pPr>
        <w:ind w:firstLine="420"/>
        <w:jc w:val="left"/>
        <w:rPr>
          <w:rFonts w:ascii="宋体" w:hAnsi="宋体"/>
          <w:color w:val="000000"/>
          <w:szCs w:val="21"/>
        </w:rPr>
      </w:pPr>
      <w:r>
        <w:rPr>
          <w:rFonts w:hint="eastAsia" w:ascii="宋体" w:hAnsi="宋体"/>
          <w:color w:val="000000"/>
          <w:szCs w:val="21"/>
        </w:rPr>
        <w:t>2.所有材料需符合国家质量、环保、节能、防火要求。所有材料均须防水防锈蚀。</w:t>
      </w:r>
    </w:p>
    <w:p>
      <w:pPr>
        <w:jc w:val="left"/>
        <w:rPr>
          <w:rFonts w:ascii="宋体" w:hAnsi="宋体"/>
          <w:b/>
          <w:color w:val="000000"/>
          <w:szCs w:val="21"/>
        </w:rPr>
      </w:pPr>
      <w:r>
        <w:rPr>
          <w:rFonts w:hint="eastAsia" w:ascii="宋体" w:hAnsi="宋体"/>
          <w:b/>
          <w:color w:val="000000"/>
          <w:szCs w:val="21"/>
        </w:rPr>
        <w:t>（三）、标识系统技术规范</w:t>
      </w:r>
    </w:p>
    <w:p>
      <w:pPr>
        <w:ind w:firstLine="420"/>
        <w:jc w:val="left"/>
        <w:rPr>
          <w:rFonts w:ascii="宋体" w:hAnsi="宋体"/>
          <w:color w:val="000000"/>
          <w:szCs w:val="21"/>
        </w:rPr>
      </w:pPr>
      <w:r>
        <w:rPr>
          <w:rFonts w:hint="eastAsia" w:ascii="宋体" w:hAnsi="宋体"/>
          <w:color w:val="000000"/>
          <w:szCs w:val="21"/>
        </w:rPr>
        <w:t>本技术规范中涉及的所有规范、标准（包括一切有效的补充或附录）均为最新版本，若发现本规范书与参照的文献之间有不一致之处，供应商应向采购人书面说明，并由采购人最后决定。如供应商使用本规范书以外的规范和标准，应征得采购人的同意。</w:t>
      </w:r>
    </w:p>
    <w:p>
      <w:pPr>
        <w:ind w:firstLine="420"/>
        <w:jc w:val="left"/>
        <w:rPr>
          <w:rFonts w:ascii="宋体" w:hAnsi="宋体"/>
          <w:color w:val="000000"/>
          <w:szCs w:val="21"/>
        </w:rPr>
      </w:pPr>
      <w:r>
        <w:rPr>
          <w:rFonts w:hint="eastAsia" w:ascii="宋体" w:hAnsi="宋体"/>
          <w:color w:val="000000"/>
          <w:szCs w:val="21"/>
        </w:rPr>
        <w:t>（1）《安全色》（GB 2893—2008）</w:t>
      </w:r>
    </w:p>
    <w:p>
      <w:pPr>
        <w:ind w:firstLine="420"/>
        <w:jc w:val="left"/>
        <w:rPr>
          <w:rFonts w:ascii="宋体" w:hAnsi="宋体"/>
          <w:color w:val="000000"/>
          <w:szCs w:val="21"/>
        </w:rPr>
      </w:pPr>
      <w:r>
        <w:rPr>
          <w:rFonts w:hint="eastAsia" w:ascii="宋体" w:hAnsi="宋体"/>
          <w:color w:val="000000"/>
          <w:szCs w:val="21"/>
        </w:rPr>
        <w:t>（2）《安全标志及其使用导则》（GB 2894—2008）</w:t>
      </w:r>
    </w:p>
    <w:p>
      <w:pPr>
        <w:ind w:firstLine="420"/>
        <w:jc w:val="left"/>
        <w:rPr>
          <w:rFonts w:ascii="宋体" w:hAnsi="宋体"/>
          <w:color w:val="000000"/>
          <w:szCs w:val="21"/>
        </w:rPr>
      </w:pPr>
      <w:r>
        <w:rPr>
          <w:rFonts w:hint="eastAsia" w:ascii="宋体" w:hAnsi="宋体"/>
          <w:color w:val="000000"/>
          <w:szCs w:val="21"/>
        </w:rPr>
        <w:t>（3）《工业管道的基本识别色、识别符号和安全标识》（GB 7231—2003）</w:t>
      </w:r>
    </w:p>
    <w:p>
      <w:pPr>
        <w:ind w:firstLine="420"/>
        <w:jc w:val="left"/>
        <w:rPr>
          <w:rFonts w:ascii="宋体" w:hAnsi="宋体"/>
          <w:color w:val="000000"/>
          <w:szCs w:val="21"/>
        </w:rPr>
      </w:pPr>
      <w:r>
        <w:rPr>
          <w:rFonts w:hint="eastAsia" w:ascii="宋体" w:hAnsi="宋体"/>
          <w:color w:val="000000"/>
          <w:szCs w:val="21"/>
        </w:rPr>
        <w:t>（4）《消防安全标志设置要求》（GB 15630—1995）</w:t>
      </w:r>
    </w:p>
    <w:p>
      <w:pPr>
        <w:ind w:firstLine="420"/>
        <w:jc w:val="left"/>
        <w:rPr>
          <w:rFonts w:ascii="宋体" w:hAnsi="宋体"/>
          <w:color w:val="000000"/>
          <w:szCs w:val="21"/>
        </w:rPr>
      </w:pPr>
      <w:r>
        <w:rPr>
          <w:rFonts w:hint="eastAsia" w:ascii="宋体" w:hAnsi="宋体"/>
          <w:color w:val="000000"/>
          <w:szCs w:val="21"/>
        </w:rPr>
        <w:t>（5）《消防安全标志》（GB 13495—1992）</w:t>
      </w:r>
    </w:p>
    <w:p>
      <w:pPr>
        <w:ind w:firstLine="420"/>
        <w:jc w:val="left"/>
        <w:rPr>
          <w:rFonts w:ascii="宋体" w:hAnsi="宋体"/>
          <w:color w:val="000000"/>
          <w:szCs w:val="21"/>
        </w:rPr>
      </w:pPr>
      <w:r>
        <w:rPr>
          <w:rFonts w:hint="eastAsia" w:ascii="宋体" w:hAnsi="宋体"/>
          <w:color w:val="000000"/>
          <w:szCs w:val="21"/>
        </w:rPr>
        <w:t>（6）《道路交通标志和标线》（GB 5768—2009）</w:t>
      </w:r>
    </w:p>
    <w:p>
      <w:pPr>
        <w:ind w:firstLine="420"/>
        <w:jc w:val="left"/>
        <w:rPr>
          <w:rFonts w:ascii="宋体" w:hAnsi="宋体"/>
          <w:color w:val="000000"/>
          <w:szCs w:val="21"/>
        </w:rPr>
      </w:pPr>
      <w:r>
        <w:rPr>
          <w:rFonts w:hint="eastAsia" w:ascii="宋体" w:hAnsi="宋体"/>
          <w:color w:val="000000"/>
          <w:szCs w:val="21"/>
        </w:rPr>
        <w:t>（7）《工作场所职业病危害警示标识》（GBZ 158—2003）</w:t>
      </w:r>
    </w:p>
    <w:p>
      <w:pPr>
        <w:ind w:firstLine="420" w:firstLineChars="200"/>
        <w:rPr>
          <w:rFonts w:ascii="宋体" w:hAnsi="宋体" w:cs="Calibri"/>
          <w:color w:val="000000"/>
          <w:szCs w:val="21"/>
        </w:rPr>
      </w:pPr>
      <w:r>
        <w:rPr>
          <w:rFonts w:hint="eastAsia" w:ascii="宋体" w:hAnsi="宋体"/>
          <w:color w:val="000000"/>
          <w:szCs w:val="21"/>
        </w:rPr>
        <w:t>（8）《图形符号 安全色和安全标志 第1部分：工作场所和公共区域中安全标志的设计原则》（GB/T 2893.1—2004）</w:t>
      </w:r>
    </w:p>
    <w:p>
      <w:pPr>
        <w:jc w:val="left"/>
        <w:rPr>
          <w:rFonts w:ascii="宋体" w:hAnsi="宋体"/>
          <w:b/>
          <w:color w:val="000000"/>
          <w:szCs w:val="21"/>
        </w:rPr>
      </w:pPr>
      <w:r>
        <w:rPr>
          <w:rFonts w:hint="eastAsia" w:ascii="宋体" w:hAnsi="宋体"/>
          <w:b/>
          <w:color w:val="000000"/>
          <w:szCs w:val="21"/>
        </w:rPr>
        <w:t>（四）、设计要求</w:t>
      </w:r>
    </w:p>
    <w:p>
      <w:pPr>
        <w:ind w:firstLine="420"/>
        <w:jc w:val="left"/>
        <w:rPr>
          <w:rFonts w:ascii="宋体" w:hAnsi="宋体"/>
          <w:color w:val="000000"/>
          <w:szCs w:val="21"/>
        </w:rPr>
      </w:pPr>
      <w:r>
        <w:rPr>
          <w:rFonts w:hint="eastAsia" w:ascii="宋体" w:hAnsi="宋体"/>
          <w:color w:val="000000"/>
          <w:szCs w:val="21"/>
        </w:rPr>
        <w:t>1.风格独特、个性鲜明，具有时代特色，符合医院的特征。</w:t>
      </w:r>
    </w:p>
    <w:p>
      <w:pPr>
        <w:ind w:firstLine="420"/>
        <w:jc w:val="left"/>
        <w:rPr>
          <w:rFonts w:ascii="宋体" w:hAnsi="宋体"/>
          <w:color w:val="000000"/>
          <w:szCs w:val="21"/>
        </w:rPr>
      </w:pPr>
      <w:r>
        <w:rPr>
          <w:rFonts w:hint="eastAsia" w:ascii="宋体" w:hAnsi="宋体"/>
          <w:color w:val="000000"/>
          <w:szCs w:val="21"/>
        </w:rPr>
        <w:t>2.能体现健康、积极向上、阳光的精神及理念。</w:t>
      </w:r>
    </w:p>
    <w:p>
      <w:pPr>
        <w:ind w:firstLine="420"/>
        <w:jc w:val="left"/>
        <w:rPr>
          <w:rFonts w:ascii="宋体" w:hAnsi="宋体"/>
          <w:color w:val="000000"/>
          <w:szCs w:val="21"/>
        </w:rPr>
      </w:pPr>
      <w:r>
        <w:rPr>
          <w:rFonts w:hint="eastAsia" w:ascii="宋体" w:hAnsi="宋体"/>
          <w:color w:val="000000"/>
          <w:szCs w:val="21"/>
        </w:rPr>
        <w:t>3.设计风格美观、简洁而富含现代感，寓意鲜明，视觉冲击力强并便于识别和记忆。</w:t>
      </w:r>
    </w:p>
    <w:p>
      <w:pPr>
        <w:jc w:val="left"/>
        <w:rPr>
          <w:rFonts w:ascii="宋体" w:hAnsi="宋体"/>
          <w:b/>
          <w:color w:val="000000"/>
          <w:szCs w:val="21"/>
        </w:rPr>
      </w:pPr>
      <w:r>
        <w:rPr>
          <w:rFonts w:hint="eastAsia" w:ascii="宋体" w:hAnsi="宋体"/>
          <w:b/>
          <w:color w:val="000000"/>
          <w:szCs w:val="21"/>
        </w:rPr>
        <w:t>（五）、项目要求</w:t>
      </w:r>
    </w:p>
    <w:p>
      <w:pPr>
        <w:ind w:firstLine="420"/>
        <w:jc w:val="left"/>
        <w:rPr>
          <w:rFonts w:ascii="宋体" w:hAnsi="宋体"/>
          <w:color w:val="000000"/>
          <w:szCs w:val="21"/>
        </w:rPr>
      </w:pPr>
      <w:r>
        <w:rPr>
          <w:rFonts w:hint="eastAsia" w:ascii="宋体" w:hAnsi="宋体"/>
          <w:color w:val="000000"/>
          <w:szCs w:val="21"/>
        </w:rPr>
        <w:t>1.项目安装实施工作必须由中标人负责，不得分包，并实行“三包”：包质量、包工期、包安全。并由供应商直接进行项目实施全过程监管、承担项目实施全过程的相关人员人身安全责任。如对现场产生损坏，供应商必须予以恢复。</w:t>
      </w:r>
    </w:p>
    <w:p>
      <w:pPr>
        <w:ind w:firstLine="420"/>
        <w:jc w:val="left"/>
        <w:rPr>
          <w:rFonts w:ascii="宋体" w:hAnsi="宋体"/>
          <w:color w:val="000000"/>
          <w:szCs w:val="21"/>
        </w:rPr>
      </w:pPr>
      <w:r>
        <w:rPr>
          <w:rFonts w:hint="eastAsia" w:ascii="宋体" w:hAnsi="宋体"/>
          <w:color w:val="000000"/>
          <w:szCs w:val="21"/>
        </w:rPr>
        <w:t>2.供应商应提供安装调试工艺流程、质量控制程序和检验方法，处理关键点、难点的对策及措施，实施前须经采购人（或监理人）批准后方能实施。实施内容应包括对所有货物的安装、调试及现场验收作出详尽安排和说明，并包括派出或参与人员的人数、工作时间、具体分工及工作内容等。</w:t>
      </w:r>
    </w:p>
    <w:p>
      <w:pPr>
        <w:ind w:firstLine="420"/>
        <w:jc w:val="left"/>
        <w:rPr>
          <w:rFonts w:ascii="宋体" w:hAnsi="宋体"/>
          <w:color w:val="000000"/>
          <w:szCs w:val="21"/>
        </w:rPr>
      </w:pPr>
      <w:r>
        <w:rPr>
          <w:rFonts w:hint="eastAsia" w:ascii="宋体" w:hAnsi="宋体"/>
          <w:color w:val="000000"/>
          <w:szCs w:val="21"/>
        </w:rPr>
        <w:t>3.项目现场的管理：供应商在项目实施全过程中应服从采购人现场代表或监理代表的统一管理和监督检查。</w:t>
      </w:r>
    </w:p>
    <w:p>
      <w:pPr>
        <w:ind w:firstLine="420"/>
        <w:jc w:val="left"/>
        <w:rPr>
          <w:rFonts w:ascii="宋体" w:hAnsi="宋体"/>
          <w:color w:val="000000"/>
          <w:szCs w:val="21"/>
        </w:rPr>
      </w:pPr>
      <w:r>
        <w:rPr>
          <w:rFonts w:hint="eastAsia" w:ascii="宋体" w:hAnsi="宋体"/>
          <w:color w:val="000000"/>
          <w:szCs w:val="21"/>
        </w:rPr>
        <w:t>4.供应商安装现场工作和生活条件、人员人身安全由供应商负责并自行解决。安装所需工具设施物料由供应商自备、自费运到现场，完工后自费搬走。</w:t>
      </w:r>
    </w:p>
    <w:p>
      <w:pPr>
        <w:ind w:firstLine="420"/>
        <w:jc w:val="left"/>
        <w:rPr>
          <w:rFonts w:ascii="宋体" w:hAnsi="宋体"/>
          <w:color w:val="000000"/>
          <w:szCs w:val="21"/>
        </w:rPr>
      </w:pPr>
      <w:r>
        <w:rPr>
          <w:rFonts w:hint="eastAsia" w:ascii="宋体" w:hAnsi="宋体"/>
          <w:color w:val="000000"/>
          <w:szCs w:val="21"/>
        </w:rPr>
        <w:t>5.供应商须指派经验丰富的安装现场负责人，全面负责安装质量、安全及与采购人沟通等工作。</w:t>
      </w:r>
    </w:p>
    <w:p>
      <w:pPr>
        <w:pStyle w:val="4"/>
        <w:tabs>
          <w:tab w:val="left" w:pos="1755"/>
          <w:tab w:val="left" w:pos="2025"/>
        </w:tabs>
        <w:adjustRightInd w:val="0"/>
        <w:snapToGrid w:val="0"/>
        <w:ind w:firstLine="420" w:firstLineChars="200"/>
        <w:rPr>
          <w:rFonts w:hAnsi="宋体" w:cs="宋体"/>
          <w:bCs/>
          <w:szCs w:val="21"/>
        </w:rPr>
      </w:pPr>
      <w:r>
        <w:rPr>
          <w:rFonts w:hint="eastAsia" w:hAnsi="宋体"/>
          <w:color w:val="000000"/>
          <w:szCs w:val="21"/>
        </w:rPr>
        <w:t>6.固定扣安装牢固，外露的固定扣置与货物颜色饰面相匹配。可见固定装置的空洞边缘整齐。</w:t>
      </w:r>
    </w:p>
    <w:p>
      <w:pPr>
        <w:jc w:val="left"/>
        <w:rPr>
          <w:rFonts w:ascii="宋体" w:hAnsi="宋体"/>
          <w:b/>
          <w:color w:val="000000"/>
          <w:szCs w:val="21"/>
        </w:rPr>
      </w:pPr>
      <w:r>
        <w:rPr>
          <w:rFonts w:hint="eastAsia" w:ascii="宋体" w:hAnsi="宋体"/>
          <w:b/>
          <w:color w:val="000000"/>
          <w:szCs w:val="21"/>
        </w:rPr>
        <w:t>（六）、质量技术服务及验收要求</w:t>
      </w:r>
    </w:p>
    <w:p>
      <w:pPr>
        <w:ind w:firstLine="420"/>
        <w:jc w:val="left"/>
        <w:rPr>
          <w:rFonts w:ascii="宋体" w:hAnsi="宋体"/>
          <w:color w:val="000000"/>
          <w:szCs w:val="21"/>
        </w:rPr>
      </w:pPr>
      <w:r>
        <w:rPr>
          <w:rFonts w:hint="eastAsia" w:ascii="宋体" w:hAnsi="宋体"/>
          <w:color w:val="000000"/>
          <w:szCs w:val="21"/>
        </w:rPr>
        <w:t>1.货物及材料安装及调试</w:t>
      </w:r>
    </w:p>
    <w:p>
      <w:pPr>
        <w:ind w:firstLine="420"/>
        <w:jc w:val="left"/>
        <w:rPr>
          <w:rFonts w:ascii="宋体" w:hAnsi="宋体"/>
          <w:color w:val="000000"/>
          <w:szCs w:val="21"/>
        </w:rPr>
      </w:pPr>
      <w:r>
        <w:rPr>
          <w:rFonts w:hint="eastAsia" w:ascii="宋体" w:hAnsi="宋体"/>
          <w:color w:val="000000"/>
          <w:szCs w:val="21"/>
        </w:rPr>
        <w:t>1.1供应商在货物及材料安装前必须根据现场装修情况提供效果图与采购人共同确认，并派员进行实地勘察，确保有关线路设计合理、运行可靠、维护方便。</w:t>
      </w:r>
    </w:p>
    <w:p>
      <w:pPr>
        <w:ind w:firstLine="420"/>
        <w:jc w:val="left"/>
        <w:rPr>
          <w:rFonts w:ascii="宋体" w:hAnsi="宋体"/>
          <w:color w:val="000000"/>
          <w:szCs w:val="21"/>
        </w:rPr>
      </w:pPr>
      <w:r>
        <w:rPr>
          <w:rFonts w:hint="eastAsia" w:ascii="宋体" w:hAnsi="宋体"/>
          <w:color w:val="000000"/>
          <w:szCs w:val="21"/>
        </w:rPr>
        <w:t>1.2供应商负责运输费用，并在货物及材料运抵现场一周前，向采购人提供安装使用书面要求，中标人负责派技术人员到现场进行安装、调试，直至验收合格。</w:t>
      </w:r>
    </w:p>
    <w:p>
      <w:pPr>
        <w:ind w:firstLine="420"/>
        <w:jc w:val="left"/>
        <w:rPr>
          <w:rFonts w:ascii="宋体" w:hAnsi="宋体"/>
          <w:color w:val="000000"/>
          <w:szCs w:val="21"/>
        </w:rPr>
      </w:pPr>
      <w:r>
        <w:rPr>
          <w:rFonts w:hint="eastAsia" w:ascii="宋体" w:hAnsi="宋体"/>
          <w:color w:val="000000"/>
          <w:szCs w:val="21"/>
        </w:rPr>
        <w:t>1.3供应商负责组织专业技术人员进行货物及材料安装调试，采购人提供必须的基本条件和专人配合，保证各项安装工作顺处进行。</w:t>
      </w:r>
    </w:p>
    <w:p>
      <w:pPr>
        <w:ind w:firstLine="420"/>
        <w:jc w:val="left"/>
        <w:rPr>
          <w:rFonts w:ascii="宋体" w:hAnsi="宋体"/>
          <w:color w:val="000000"/>
          <w:szCs w:val="21"/>
        </w:rPr>
      </w:pPr>
      <w:r>
        <w:rPr>
          <w:rFonts w:hint="eastAsia" w:ascii="宋体" w:hAnsi="宋体"/>
          <w:color w:val="000000"/>
          <w:szCs w:val="21"/>
        </w:rPr>
        <w:t>1.4供应商交货时应同时提供出厂检验报告、显示器件原产地证明文件、安装条件详细技术说明书、使用、维修说明书及相应操作手册各1套。</w:t>
      </w:r>
    </w:p>
    <w:p>
      <w:pPr>
        <w:ind w:firstLine="420"/>
        <w:jc w:val="left"/>
        <w:rPr>
          <w:rFonts w:ascii="宋体" w:hAnsi="宋体"/>
          <w:color w:val="000000"/>
          <w:szCs w:val="21"/>
        </w:rPr>
      </w:pPr>
      <w:r>
        <w:rPr>
          <w:rFonts w:hint="eastAsia" w:ascii="宋体" w:hAnsi="宋体"/>
          <w:color w:val="000000"/>
          <w:szCs w:val="21"/>
        </w:rPr>
        <w:t>1.5供应商在用户现场安装至最终验收所发生的一切费用均包含在报价中。</w:t>
      </w:r>
    </w:p>
    <w:p>
      <w:pPr>
        <w:ind w:firstLine="420"/>
        <w:jc w:val="left"/>
        <w:rPr>
          <w:rFonts w:ascii="宋体" w:hAnsi="宋体"/>
          <w:color w:val="000000"/>
          <w:szCs w:val="21"/>
        </w:rPr>
      </w:pPr>
      <w:r>
        <w:rPr>
          <w:rFonts w:hint="eastAsia" w:ascii="宋体" w:hAnsi="宋体"/>
          <w:color w:val="000000"/>
          <w:szCs w:val="21"/>
        </w:rPr>
        <w:t>2.验收标准和验收方式</w:t>
      </w:r>
    </w:p>
    <w:p>
      <w:pPr>
        <w:ind w:firstLine="420"/>
        <w:jc w:val="left"/>
        <w:rPr>
          <w:rFonts w:ascii="宋体" w:hAnsi="宋体"/>
          <w:color w:val="000000"/>
          <w:szCs w:val="21"/>
        </w:rPr>
      </w:pPr>
      <w:r>
        <w:rPr>
          <w:rFonts w:hint="eastAsia" w:ascii="宋体" w:hAnsi="宋体"/>
          <w:color w:val="000000"/>
          <w:szCs w:val="21"/>
        </w:rPr>
        <w:t>2.1</w:t>
      </w:r>
      <w:r>
        <w:rPr>
          <w:rFonts w:ascii="宋体" w:hAnsi="宋体"/>
          <w:color w:val="000000"/>
          <w:szCs w:val="21"/>
        </w:rPr>
        <w:t>验收时间：在收到供应商项目验收建议之日7个工作日内按照合同的约定对履约情况进行验收。</w:t>
      </w:r>
    </w:p>
    <w:p>
      <w:pPr>
        <w:ind w:firstLine="420"/>
        <w:jc w:val="left"/>
        <w:rPr>
          <w:rFonts w:ascii="宋体" w:hAnsi="宋体"/>
          <w:color w:val="000000"/>
          <w:szCs w:val="21"/>
        </w:rPr>
      </w:pPr>
      <w:r>
        <w:rPr>
          <w:rFonts w:hint="eastAsia" w:ascii="宋体" w:hAnsi="宋体"/>
          <w:color w:val="000000"/>
          <w:szCs w:val="21"/>
        </w:rPr>
        <w:t>2.2验收：采购人按照合同及招标文件、投标文件和国家的相关法律法规要求验收，采购人和供应商双方认可后签字。</w:t>
      </w:r>
    </w:p>
    <w:p>
      <w:pPr>
        <w:ind w:firstLine="420"/>
        <w:jc w:val="left"/>
        <w:rPr>
          <w:rFonts w:ascii="宋体" w:hAnsi="宋体"/>
          <w:color w:val="000000"/>
          <w:szCs w:val="21"/>
        </w:rPr>
      </w:pPr>
      <w:r>
        <w:rPr>
          <w:rFonts w:hint="eastAsia" w:ascii="宋体" w:hAnsi="宋体"/>
          <w:color w:val="000000"/>
          <w:szCs w:val="21"/>
        </w:rPr>
        <w:t>3.售后服务要求</w:t>
      </w:r>
    </w:p>
    <w:p>
      <w:pPr>
        <w:ind w:firstLine="420"/>
        <w:jc w:val="left"/>
        <w:rPr>
          <w:rFonts w:ascii="宋体" w:hAnsi="宋体"/>
          <w:color w:val="000000"/>
          <w:szCs w:val="21"/>
        </w:rPr>
      </w:pPr>
      <w:r>
        <w:rPr>
          <w:rFonts w:hint="eastAsia" w:ascii="宋体" w:hAnsi="宋体"/>
          <w:color w:val="000000"/>
          <w:szCs w:val="21"/>
        </w:rPr>
        <w:t>3.1货物及材料验收合格后的质量保证期不少于两年保修（质量保证期从安装完毕并验收合格日算起），售后服务质保期内，供应商负责保证系统全部设备及材料、器件及软件等的正常运转。对任何因安装工艺、材料和产品部件、质量造成的设备及材料或部件的损坏，进行无偿的更换和维修。当发生故障后，供应商在接维修电话后8小时内排除故障。</w:t>
      </w:r>
    </w:p>
    <w:p>
      <w:pPr>
        <w:ind w:firstLine="420"/>
        <w:jc w:val="left"/>
        <w:rPr>
          <w:rFonts w:ascii="宋体" w:hAnsi="宋体"/>
          <w:color w:val="000000"/>
          <w:szCs w:val="21"/>
        </w:rPr>
      </w:pPr>
      <w:r>
        <w:rPr>
          <w:rFonts w:hint="eastAsia" w:ascii="宋体" w:hAnsi="宋体"/>
          <w:color w:val="000000"/>
          <w:szCs w:val="21"/>
        </w:rPr>
        <w:t>3.2若国家或生产厂家对本项目所涉及货物的质保期的规定高于本项目的要求，按国家或生产厂家的规定执行</w:t>
      </w:r>
    </w:p>
    <w:p>
      <w:pPr>
        <w:pStyle w:val="4"/>
        <w:tabs>
          <w:tab w:val="left" w:pos="1755"/>
          <w:tab w:val="left" w:pos="2025"/>
        </w:tabs>
        <w:adjustRightInd w:val="0"/>
        <w:snapToGrid w:val="0"/>
        <w:ind w:firstLine="420" w:firstLineChars="200"/>
        <w:rPr>
          <w:rFonts w:hAnsi="宋体"/>
          <w:color w:val="000000"/>
          <w:szCs w:val="21"/>
        </w:rPr>
      </w:pPr>
      <w:r>
        <w:rPr>
          <w:rFonts w:hint="eastAsia" w:hAnsi="宋体"/>
          <w:color w:val="000000"/>
          <w:szCs w:val="21"/>
        </w:rPr>
        <w:t>3.3人员培训：免费为采购人培训2名操作员，培训的主要内容包括标识标牌的日常维护方法和电源控制开关的设置和调整，以及更换标牌的拆装结构示意等。</w:t>
      </w:r>
    </w:p>
    <w:p>
      <w:pPr>
        <w:jc w:val="left"/>
        <w:rPr>
          <w:rFonts w:ascii="宋体" w:hAnsi="宋体"/>
          <w:color w:val="000000"/>
          <w:szCs w:val="21"/>
        </w:rPr>
      </w:pPr>
      <w:r>
        <w:rPr>
          <w:rFonts w:hint="eastAsia" w:ascii="宋体" w:hAnsi="宋体" w:cs="Calibri"/>
          <w:b/>
          <w:color w:val="000000"/>
          <w:szCs w:val="21"/>
        </w:rPr>
        <w:t>三、商务要求</w:t>
      </w:r>
    </w:p>
    <w:p>
      <w:pPr>
        <w:ind w:firstLine="420"/>
        <w:jc w:val="left"/>
        <w:rPr>
          <w:rFonts w:ascii="宋体" w:hAnsi="宋体"/>
          <w:color w:val="000000"/>
          <w:szCs w:val="21"/>
        </w:rPr>
      </w:pPr>
      <w:r>
        <w:rPr>
          <w:rFonts w:hint="eastAsia" w:ascii="宋体" w:hAnsi="宋体"/>
          <w:color w:val="000000"/>
          <w:szCs w:val="21"/>
        </w:rPr>
        <w:t>（一）深化设计</w:t>
      </w:r>
    </w:p>
    <w:p>
      <w:pPr>
        <w:ind w:firstLine="420"/>
        <w:jc w:val="left"/>
        <w:rPr>
          <w:rFonts w:ascii="宋体" w:hAnsi="宋体"/>
          <w:color w:val="000000"/>
          <w:szCs w:val="21"/>
        </w:rPr>
      </w:pPr>
      <w:r>
        <w:rPr>
          <w:rFonts w:hint="eastAsia" w:ascii="宋体" w:hAnsi="宋体"/>
          <w:color w:val="000000"/>
          <w:szCs w:val="21"/>
        </w:rPr>
        <w:t>1.本项目需求表为初步设计，最终产品选型设计需由供应商根据采购项目清单进行深化设计，设备及材料参数需满足或优于设计参数。深化设计经采购人同意后实施。</w:t>
      </w:r>
    </w:p>
    <w:p>
      <w:pPr>
        <w:ind w:firstLine="420"/>
        <w:jc w:val="left"/>
        <w:rPr>
          <w:rFonts w:ascii="宋体" w:hAnsi="宋体"/>
          <w:color w:val="000000"/>
          <w:szCs w:val="21"/>
        </w:rPr>
      </w:pPr>
      <w:r>
        <w:rPr>
          <w:rFonts w:hint="eastAsia" w:ascii="宋体" w:hAnsi="宋体"/>
          <w:color w:val="000000"/>
          <w:szCs w:val="21"/>
        </w:rPr>
        <w:t>2．深化设计原则：</w:t>
      </w:r>
    </w:p>
    <w:p>
      <w:pPr>
        <w:ind w:firstLine="420"/>
        <w:jc w:val="left"/>
        <w:rPr>
          <w:rFonts w:ascii="宋体" w:hAnsi="宋体"/>
          <w:color w:val="000000"/>
          <w:szCs w:val="21"/>
        </w:rPr>
      </w:pPr>
      <w:r>
        <w:rPr>
          <w:rFonts w:hint="eastAsia" w:ascii="宋体" w:hAnsi="宋体"/>
          <w:color w:val="000000"/>
          <w:szCs w:val="21"/>
        </w:rPr>
        <w:t>（1）设计方案确保具备较高的安全性、可靠性、可维护性和容错能力。</w:t>
      </w:r>
    </w:p>
    <w:p>
      <w:pPr>
        <w:ind w:firstLine="420"/>
        <w:jc w:val="left"/>
        <w:rPr>
          <w:rFonts w:ascii="宋体" w:hAnsi="宋体"/>
          <w:color w:val="000000"/>
          <w:szCs w:val="21"/>
        </w:rPr>
      </w:pPr>
      <w:r>
        <w:rPr>
          <w:rFonts w:hint="eastAsia" w:ascii="宋体" w:hAnsi="宋体"/>
          <w:color w:val="000000"/>
          <w:szCs w:val="21"/>
        </w:rPr>
        <w:t>（2）产品及材料配置在保证可靠性、先进性的同时，应本着经济、实用、合理的原则，使产品具有良好的性能价格比。</w:t>
      </w:r>
    </w:p>
    <w:p>
      <w:pPr>
        <w:ind w:firstLine="420"/>
        <w:jc w:val="left"/>
        <w:rPr>
          <w:rFonts w:ascii="宋体" w:hAnsi="宋体"/>
          <w:color w:val="000000"/>
          <w:szCs w:val="21"/>
        </w:rPr>
      </w:pPr>
      <w:r>
        <w:rPr>
          <w:rFonts w:hint="eastAsia" w:ascii="宋体" w:hAnsi="宋体"/>
          <w:color w:val="000000"/>
          <w:szCs w:val="21"/>
        </w:rPr>
        <w:t>（3）图纸需按采购人的要求提供效果图以及深化设计方案，且深化设计不作为设计变更，深化设计的费用已包含在投标报价中，合同金额不作调整。</w:t>
      </w:r>
    </w:p>
    <w:p>
      <w:pPr>
        <w:ind w:firstLine="420"/>
        <w:jc w:val="left"/>
        <w:rPr>
          <w:rFonts w:ascii="宋体" w:hAnsi="宋体"/>
          <w:color w:val="000000"/>
          <w:szCs w:val="21"/>
        </w:rPr>
      </w:pPr>
      <w:r>
        <w:rPr>
          <w:rFonts w:hint="eastAsia" w:ascii="宋体" w:hAnsi="宋体"/>
          <w:color w:val="000000"/>
          <w:szCs w:val="21"/>
        </w:rPr>
        <w:t>（4）深化设计方案完成后续向采购人提供整体效果图。</w:t>
      </w:r>
    </w:p>
    <w:p>
      <w:pPr>
        <w:ind w:firstLine="420"/>
        <w:jc w:val="left"/>
        <w:rPr>
          <w:rFonts w:ascii="宋体" w:hAnsi="宋体" w:cs="宋体"/>
          <w:color w:val="000000"/>
          <w:lang w:val="zh-TW"/>
        </w:rPr>
      </w:pPr>
      <w:r>
        <w:rPr>
          <w:rFonts w:ascii="宋体" w:hAnsi="宋体"/>
          <w:color w:val="000000"/>
          <w:szCs w:val="21"/>
        </w:rPr>
        <w:t>3</w:t>
      </w:r>
      <w:r>
        <w:rPr>
          <w:rFonts w:hint="eastAsia" w:ascii="宋体" w:hAnsi="宋体"/>
          <w:color w:val="000000"/>
          <w:szCs w:val="21"/>
        </w:rPr>
        <w:t>.</w:t>
      </w:r>
      <w:r>
        <w:rPr>
          <w:rFonts w:ascii="宋体" w:hAnsi="宋体" w:cs="宋体"/>
          <w:color w:val="000000"/>
          <w:lang w:val="zh-TW" w:eastAsia="zh-TW"/>
        </w:rPr>
        <w:t>质量要求：</w:t>
      </w:r>
      <w:r>
        <w:rPr>
          <w:rFonts w:hint="eastAsia" w:ascii="宋体" w:hAnsi="宋体"/>
          <w:color w:val="000000"/>
          <w:szCs w:val="21"/>
        </w:rPr>
        <w:t>供应商</w:t>
      </w:r>
      <w:r>
        <w:rPr>
          <w:rFonts w:ascii="宋体" w:hAnsi="宋体" w:cs="宋体"/>
          <w:color w:val="000000"/>
          <w:lang w:val="zh-TW" w:eastAsia="zh-TW"/>
        </w:rPr>
        <w:t>的产品及安装质量须符合国家、行业相关现行标准。</w:t>
      </w:r>
    </w:p>
    <w:p>
      <w:pPr>
        <w:tabs>
          <w:tab w:val="left" w:pos="735"/>
        </w:tabs>
        <w:ind w:firstLine="420" w:firstLineChars="200"/>
        <w:rPr>
          <w:rFonts w:ascii="宋体" w:hAnsi="宋体"/>
          <w:b/>
          <w:color w:val="000000"/>
          <w:szCs w:val="21"/>
        </w:rPr>
      </w:pPr>
      <w:r>
        <w:rPr>
          <w:rFonts w:hint="eastAsia" w:ascii="宋体" w:hAnsi="宋体"/>
          <w:b/>
          <w:color w:val="000000"/>
          <w:szCs w:val="21"/>
        </w:rPr>
        <w:t>（二）付款方式</w:t>
      </w:r>
    </w:p>
    <w:p>
      <w:pPr>
        <w:tabs>
          <w:tab w:val="left" w:pos="735"/>
        </w:tabs>
        <w:ind w:firstLine="420" w:firstLineChars="200"/>
        <w:rPr>
          <w:rFonts w:ascii="宋体" w:hAnsi="宋体" w:cs="Calibri"/>
          <w:color w:val="000000"/>
          <w:szCs w:val="21"/>
        </w:rPr>
      </w:pPr>
      <w:r>
        <w:rPr>
          <w:rFonts w:hint="eastAsia" w:ascii="宋体" w:hAnsi="宋体" w:cs="Calibri"/>
          <w:color w:val="000000"/>
          <w:szCs w:val="21"/>
        </w:rPr>
        <w:t>1.本项目按月、按数量、按中标单价结算，即结算价=中标单价*实际供货数量。双方核对清楚并确定了该结算周期的付款金额后，由采购人于5个</w:t>
      </w:r>
      <w:r>
        <w:rPr>
          <w:rFonts w:ascii="宋体" w:hAnsi="宋体" w:cs="Calibri"/>
          <w:color w:val="000000"/>
          <w:szCs w:val="21"/>
        </w:rPr>
        <w:t>工作日内</w:t>
      </w:r>
      <w:r>
        <w:rPr>
          <w:rFonts w:hint="eastAsia" w:ascii="宋体" w:hAnsi="宋体" w:cs="Calibri"/>
          <w:color w:val="000000"/>
          <w:szCs w:val="21"/>
        </w:rPr>
        <w:t>向中标人办理全额支付当月货款。</w:t>
      </w:r>
    </w:p>
    <w:p>
      <w:pPr>
        <w:tabs>
          <w:tab w:val="left" w:pos="735"/>
        </w:tabs>
        <w:ind w:firstLine="420" w:firstLineChars="200"/>
        <w:rPr>
          <w:rFonts w:ascii="宋体" w:hAnsi="宋体" w:cs="Calibri"/>
          <w:color w:val="000000"/>
          <w:szCs w:val="21"/>
        </w:rPr>
      </w:pPr>
      <w:r>
        <w:rPr>
          <w:rFonts w:hint="eastAsia" w:ascii="宋体" w:hAnsi="宋体" w:cs="Calibri"/>
          <w:color w:val="000000"/>
          <w:szCs w:val="21"/>
        </w:rPr>
        <w:t>2.中标人需提供以下有效文件与采购人结算：</w:t>
      </w:r>
    </w:p>
    <w:p>
      <w:pPr>
        <w:ind w:firstLine="420" w:firstLineChars="200"/>
        <w:jc w:val="left"/>
        <w:rPr>
          <w:rFonts w:ascii="宋体" w:hAnsi="宋体" w:cs="Calibri"/>
          <w:color w:val="000000"/>
          <w:szCs w:val="21"/>
        </w:rPr>
      </w:pPr>
      <w:r>
        <w:rPr>
          <w:rFonts w:hint="eastAsia" w:ascii="宋体" w:hAnsi="宋体" w:cs="Calibri"/>
          <w:color w:val="000000"/>
          <w:szCs w:val="21"/>
        </w:rPr>
        <w:t>2.1合同。</w:t>
      </w:r>
    </w:p>
    <w:p>
      <w:pPr>
        <w:ind w:firstLine="420" w:firstLineChars="200"/>
        <w:jc w:val="left"/>
        <w:rPr>
          <w:rFonts w:ascii="宋体" w:hAnsi="宋体" w:cs="Calibri"/>
          <w:color w:val="000000"/>
          <w:szCs w:val="21"/>
        </w:rPr>
      </w:pPr>
      <w:r>
        <w:rPr>
          <w:rFonts w:hint="eastAsia" w:ascii="宋体" w:hAnsi="宋体" w:cs="Calibri"/>
          <w:color w:val="000000"/>
          <w:szCs w:val="21"/>
        </w:rPr>
        <w:t>2.2中标人开具的正式发票。</w:t>
      </w:r>
    </w:p>
    <w:p>
      <w:pPr>
        <w:ind w:firstLine="420" w:firstLineChars="200"/>
        <w:jc w:val="left"/>
        <w:rPr>
          <w:rFonts w:ascii="宋体" w:hAnsi="宋体" w:cs="Calibri"/>
          <w:color w:val="000000"/>
          <w:szCs w:val="21"/>
        </w:rPr>
      </w:pPr>
      <w:r>
        <w:rPr>
          <w:rFonts w:hint="eastAsia" w:ascii="宋体" w:hAnsi="宋体" w:cs="Calibri"/>
          <w:color w:val="000000"/>
          <w:szCs w:val="21"/>
        </w:rPr>
        <w:t>2.3首次结算需提交验收报告（加盖采购人公章）。</w:t>
      </w:r>
    </w:p>
    <w:p>
      <w:pPr>
        <w:pStyle w:val="4"/>
        <w:tabs>
          <w:tab w:val="left" w:pos="1755"/>
          <w:tab w:val="left" w:pos="2025"/>
        </w:tabs>
        <w:adjustRightInd w:val="0"/>
        <w:snapToGrid w:val="0"/>
        <w:ind w:firstLine="420" w:firstLineChars="200"/>
        <w:rPr>
          <w:rFonts w:hAnsi="宋体" w:cs="Calibri"/>
          <w:color w:val="000000"/>
          <w:szCs w:val="21"/>
        </w:rPr>
      </w:pPr>
      <w:r>
        <w:rPr>
          <w:rFonts w:hint="eastAsia" w:hAnsi="宋体" w:cs="Calibri"/>
          <w:color w:val="000000"/>
          <w:szCs w:val="21"/>
        </w:rPr>
        <w:t>2.4中标通知书。</w:t>
      </w:r>
    </w:p>
    <w:p>
      <w:pPr>
        <w:pStyle w:val="4"/>
        <w:tabs>
          <w:tab w:val="left" w:pos="1755"/>
          <w:tab w:val="left" w:pos="2025"/>
        </w:tabs>
        <w:autoSpaceDE w:val="0"/>
        <w:autoSpaceDN w:val="0"/>
        <w:adjustRightInd w:val="0"/>
        <w:snapToGrid w:val="0"/>
        <w:spacing w:line="360" w:lineRule="auto"/>
        <w:ind w:firstLine="420" w:firstLineChars="200"/>
        <w:jc w:val="left"/>
        <w:rPr>
          <w:rFonts w:hAnsi="宋体" w:cs="Calibri"/>
          <w:color w:val="000000"/>
          <w:szCs w:val="21"/>
        </w:rPr>
      </w:pPr>
      <w:r>
        <w:rPr>
          <w:rFonts w:hint="eastAsia" w:hAnsi="宋体" w:cs="Calibri"/>
          <w:color w:val="000000"/>
          <w:szCs w:val="21"/>
        </w:rPr>
        <w:t>2.5采购人签名确定的制作清单。</w:t>
      </w:r>
    </w:p>
    <w:p>
      <w:pPr>
        <w:pStyle w:val="4"/>
        <w:numPr>
          <w:ilvl w:val="0"/>
          <w:numId w:val="2"/>
        </w:numPr>
        <w:tabs>
          <w:tab w:val="left" w:pos="1755"/>
          <w:tab w:val="left" w:pos="2025"/>
        </w:tabs>
        <w:adjustRightInd w:val="0"/>
        <w:snapToGrid w:val="0"/>
        <w:rPr>
          <w:rFonts w:hint="eastAsia" w:hAnsi="宋体" w:cs="Calibri"/>
          <w:color w:val="000000"/>
          <w:szCs w:val="21"/>
        </w:rPr>
      </w:pPr>
      <w:r>
        <w:rPr>
          <w:rFonts w:hAnsi="宋体" w:cs="Calibri"/>
          <w:color w:val="000000"/>
          <w:szCs w:val="21"/>
        </w:rPr>
        <w:t>报价要求：</w:t>
      </w:r>
      <w:r>
        <w:rPr>
          <w:rFonts w:hint="eastAsia" w:ascii="宋体" w:hAnsi="宋体" w:cs="Calibri" w:eastAsiaTheme="minorEastAsia"/>
          <w:color w:val="000000"/>
          <w:kern w:val="2"/>
          <w:sz w:val="21"/>
          <w:szCs w:val="21"/>
        </w:rPr>
        <w:t>采购人《需求清单》中产品均设定</w:t>
      </w:r>
      <w:r>
        <w:rPr>
          <w:rFonts w:hint="eastAsia" w:hAnsi="宋体" w:cs="Calibri"/>
          <w:color w:val="000000"/>
          <w:kern w:val="2"/>
          <w:sz w:val="21"/>
          <w:szCs w:val="21"/>
          <w:lang w:val="en-US" w:eastAsia="zh-CN"/>
        </w:rPr>
        <w:t>参考</w:t>
      </w:r>
      <w:r>
        <w:rPr>
          <w:rFonts w:hint="eastAsia" w:ascii="宋体" w:hAnsi="宋体" w:cs="Calibri" w:eastAsiaTheme="minorEastAsia"/>
          <w:color w:val="000000"/>
          <w:kern w:val="2"/>
          <w:sz w:val="21"/>
          <w:szCs w:val="21"/>
        </w:rPr>
        <w:t>价，</w:t>
      </w:r>
      <w:r>
        <w:rPr>
          <w:rFonts w:hint="eastAsia" w:hAnsi="宋体" w:cs="Calibri"/>
          <w:color w:val="000000"/>
          <w:kern w:val="2"/>
          <w:sz w:val="21"/>
          <w:szCs w:val="21"/>
          <w:lang w:val="en-US" w:eastAsia="zh-CN"/>
        </w:rPr>
        <w:t>供应商</w:t>
      </w:r>
      <w:r>
        <w:rPr>
          <w:rFonts w:hint="eastAsia" w:ascii="宋体" w:hAnsi="宋体" w:cs="Calibri" w:eastAsiaTheme="minorEastAsia"/>
          <w:color w:val="000000"/>
          <w:kern w:val="2"/>
          <w:sz w:val="21"/>
          <w:szCs w:val="21"/>
        </w:rPr>
        <w:t>需对清单产品报出</w:t>
      </w:r>
      <w:r>
        <w:rPr>
          <w:rFonts w:hint="eastAsia" w:hAnsi="宋体" w:cs="Calibri"/>
          <w:color w:val="000000"/>
          <w:kern w:val="2"/>
          <w:sz w:val="21"/>
          <w:szCs w:val="21"/>
          <w:lang w:val="en-US" w:eastAsia="zh-CN"/>
        </w:rPr>
        <w:t>各项单价</w:t>
      </w:r>
      <w:r>
        <w:rPr>
          <w:rFonts w:hint="eastAsia" w:ascii="宋体" w:hAnsi="宋体" w:cs="Calibri" w:eastAsiaTheme="minorEastAsia"/>
          <w:color w:val="000000"/>
          <w:kern w:val="2"/>
          <w:sz w:val="21"/>
          <w:szCs w:val="21"/>
        </w:rPr>
        <w:t>。</w:t>
      </w:r>
    </w:p>
    <w:p>
      <w:pPr>
        <w:pStyle w:val="4"/>
        <w:numPr>
          <w:ilvl w:val="0"/>
          <w:numId w:val="2"/>
        </w:numPr>
        <w:tabs>
          <w:tab w:val="left" w:pos="1755"/>
          <w:tab w:val="left" w:pos="2025"/>
        </w:tabs>
        <w:adjustRightInd w:val="0"/>
        <w:snapToGrid w:val="0"/>
        <w:rPr>
          <w:rFonts w:hAnsi="宋体" w:cs="Calibri"/>
          <w:color w:val="000000"/>
          <w:szCs w:val="21"/>
        </w:rPr>
      </w:pPr>
      <w:r>
        <w:rPr>
          <w:rFonts w:hAnsi="宋体" w:cs="Calibri"/>
          <w:color w:val="000000"/>
          <w:szCs w:val="21"/>
        </w:rPr>
        <w:t>其他要求：</w:t>
      </w:r>
    </w:p>
    <w:p>
      <w:pPr>
        <w:pStyle w:val="4"/>
        <w:numPr>
          <w:ilvl w:val="255"/>
          <w:numId w:val="0"/>
        </w:numPr>
        <w:tabs>
          <w:tab w:val="left" w:pos="1755"/>
          <w:tab w:val="left" w:pos="2025"/>
        </w:tabs>
        <w:adjustRightInd w:val="0"/>
        <w:snapToGrid w:val="0"/>
        <w:rPr>
          <w:rFonts w:hAnsi="宋体" w:cs="Calibri"/>
          <w:color w:val="000000"/>
          <w:szCs w:val="21"/>
        </w:rPr>
      </w:pPr>
      <w:r>
        <w:rPr>
          <w:rFonts w:hAnsi="宋体" w:cs="Calibri"/>
          <w:color w:val="000000"/>
          <w:szCs w:val="21"/>
        </w:rPr>
        <w:t>1.本项目专门面向中小企。</w:t>
      </w:r>
    </w:p>
    <w:p>
      <w:pPr>
        <w:pStyle w:val="4"/>
        <w:numPr>
          <w:ilvl w:val="255"/>
          <w:numId w:val="0"/>
        </w:numPr>
        <w:tabs>
          <w:tab w:val="left" w:pos="1755"/>
          <w:tab w:val="left" w:pos="2025"/>
        </w:tabs>
        <w:adjustRightInd w:val="0"/>
        <w:snapToGrid w:val="0"/>
        <w:rPr>
          <w:rFonts w:hAnsi="宋体" w:cs="Calibri"/>
          <w:color w:val="000000"/>
          <w:szCs w:val="21"/>
        </w:rPr>
      </w:pPr>
      <w:r>
        <w:rPr>
          <w:rFonts w:hAnsi="宋体" w:cs="Calibri"/>
          <w:color w:val="000000"/>
          <w:szCs w:val="21"/>
        </w:rPr>
        <w:t>2.本项目不接受联合体投标。</w:t>
      </w:r>
    </w:p>
    <w:p>
      <w:pPr>
        <w:pStyle w:val="13"/>
        <w:tabs>
          <w:tab w:val="left" w:pos="709"/>
        </w:tabs>
        <w:ind w:firstLine="0" w:firstLineChars="0"/>
        <w:rPr>
          <w:rFonts w:ascii="宋体" w:hAnsi="宋体" w:eastAsia="宋体"/>
          <w:sz w:val="28"/>
          <w:szCs w:val="28"/>
        </w:rPr>
      </w:pPr>
    </w:p>
    <w:p/>
    <w:sectPr>
      <w:pgSz w:w="16838" w:h="11906" w:orient="landscape"/>
      <w:pgMar w:top="709"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7F9A8"/>
    <w:multiLevelType w:val="singleLevel"/>
    <w:tmpl w:val="CFB7F9A8"/>
    <w:lvl w:ilvl="0" w:tentative="0">
      <w:start w:val="4"/>
      <w:numFmt w:val="chineseCounting"/>
      <w:suff w:val="nothing"/>
      <w:lvlText w:val="%1、"/>
      <w:lvlJc w:val="left"/>
      <w:rPr>
        <w:rFonts w:hint="eastAsia"/>
      </w:rPr>
    </w:lvl>
  </w:abstractNum>
  <w:abstractNum w:abstractNumId="1">
    <w:nsid w:val="5208384F"/>
    <w:multiLevelType w:val="multilevel"/>
    <w:tmpl w:val="5208384F"/>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YWViNmZhMTg1OWQ2MzVjNjdkYzRjZDM5M2ZlMDAifQ=="/>
    <w:docVar w:name="KGWebUrl" w:val="http://59.37.7.85:11336/seeyon/officeservlet"/>
  </w:docVars>
  <w:rsids>
    <w:rsidRoot w:val="00AA6F6F"/>
    <w:rsid w:val="00015237"/>
    <w:rsid w:val="000674CD"/>
    <w:rsid w:val="00093F81"/>
    <w:rsid w:val="000D1C19"/>
    <w:rsid w:val="000E4CA1"/>
    <w:rsid w:val="000F3573"/>
    <w:rsid w:val="00177D58"/>
    <w:rsid w:val="0020540F"/>
    <w:rsid w:val="00247D7A"/>
    <w:rsid w:val="002645CD"/>
    <w:rsid w:val="002F7F2B"/>
    <w:rsid w:val="0030293A"/>
    <w:rsid w:val="00397F5B"/>
    <w:rsid w:val="003C4DBA"/>
    <w:rsid w:val="003C773A"/>
    <w:rsid w:val="00431A09"/>
    <w:rsid w:val="0063076F"/>
    <w:rsid w:val="00704ED1"/>
    <w:rsid w:val="007D38EA"/>
    <w:rsid w:val="007F7856"/>
    <w:rsid w:val="0081633C"/>
    <w:rsid w:val="008361DA"/>
    <w:rsid w:val="009338C0"/>
    <w:rsid w:val="0094211D"/>
    <w:rsid w:val="00964241"/>
    <w:rsid w:val="00A1459D"/>
    <w:rsid w:val="00A1487B"/>
    <w:rsid w:val="00A65B89"/>
    <w:rsid w:val="00AA6F6F"/>
    <w:rsid w:val="00B101AF"/>
    <w:rsid w:val="00B27575"/>
    <w:rsid w:val="00B96142"/>
    <w:rsid w:val="00D214F6"/>
    <w:rsid w:val="00D9111B"/>
    <w:rsid w:val="00E14E6A"/>
    <w:rsid w:val="00E525F5"/>
    <w:rsid w:val="00F1311C"/>
    <w:rsid w:val="00FE5082"/>
    <w:rsid w:val="2A6C55DE"/>
    <w:rsid w:val="2E5A39C3"/>
    <w:rsid w:val="37F761CD"/>
    <w:rsid w:val="43917270"/>
    <w:rsid w:val="5A921251"/>
    <w:rsid w:val="5DFDCE71"/>
    <w:rsid w:val="5FA7306D"/>
    <w:rsid w:val="6FCF44EF"/>
    <w:rsid w:val="75D96A3C"/>
    <w:rsid w:val="79745ABC"/>
    <w:rsid w:val="7CBEDE56"/>
    <w:rsid w:val="7DFDD19C"/>
    <w:rsid w:val="7DFEE311"/>
    <w:rsid w:val="8BFF87D3"/>
    <w:rsid w:val="8FFFA3CF"/>
    <w:rsid w:val="AFEF7A98"/>
    <w:rsid w:val="BC6E428C"/>
    <w:rsid w:val="D86BF6F5"/>
    <w:rsid w:val="DB8F0711"/>
    <w:rsid w:val="E7CEC9D0"/>
    <w:rsid w:val="EB3F4422"/>
    <w:rsid w:val="ED3D85E0"/>
    <w:rsid w:val="FD3F3D72"/>
    <w:rsid w:val="FFBA3C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Cambria" w:hAnsi="Cambria" w:cs="Cambria"/>
      <w:sz w:val="24"/>
      <w:szCs w:val="24"/>
    </w:rPr>
  </w:style>
  <w:style w:type="paragraph" w:styleId="3">
    <w:name w:val="annotation text"/>
    <w:basedOn w:val="1"/>
    <w:link w:val="15"/>
    <w:semiHidden/>
    <w:unhideWhenUsed/>
    <w:qFormat/>
    <w:uiPriority w:val="99"/>
    <w:pPr>
      <w:jc w:val="left"/>
    </w:pPr>
  </w:style>
  <w:style w:type="paragraph" w:styleId="4">
    <w:name w:val="Plain Text"/>
    <w:basedOn w:val="1"/>
    <w:link w:val="14"/>
    <w:qFormat/>
    <w:uiPriority w:val="99"/>
    <w:rPr>
      <w:rFonts w:ascii="宋体" w:hAnsi="Courier New" w:cs="Times New Roman"/>
    </w:rPr>
  </w:style>
  <w:style w:type="paragraph" w:styleId="5">
    <w:name w:val="Balloon Text"/>
    <w:basedOn w:val="1"/>
    <w:link w:val="17"/>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paragraph" w:styleId="13">
    <w:name w:val="List Paragraph"/>
    <w:basedOn w:val="1"/>
    <w:qFormat/>
    <w:uiPriority w:val="34"/>
    <w:pPr>
      <w:ind w:firstLine="420" w:firstLineChars="200"/>
    </w:pPr>
  </w:style>
  <w:style w:type="character" w:customStyle="1" w:styleId="14">
    <w:name w:val="纯文本 字符"/>
    <w:basedOn w:val="11"/>
    <w:link w:val="4"/>
    <w:qFormat/>
    <w:uiPriority w:val="99"/>
    <w:rPr>
      <w:rFonts w:ascii="宋体" w:hAnsi="Courier New" w:cs="Times New Roman"/>
    </w:rPr>
  </w:style>
  <w:style w:type="character" w:customStyle="1" w:styleId="15">
    <w:name w:val="批注文字 字符"/>
    <w:basedOn w:val="11"/>
    <w:link w:val="3"/>
    <w:semiHidden/>
    <w:uiPriority w:val="99"/>
  </w:style>
  <w:style w:type="character" w:customStyle="1" w:styleId="16">
    <w:name w:val="批注主题 字符"/>
    <w:basedOn w:val="15"/>
    <w:link w:val="8"/>
    <w:semiHidden/>
    <w:uiPriority w:val="99"/>
    <w:rPr>
      <w:b/>
      <w:bCs/>
    </w:rPr>
  </w:style>
  <w:style w:type="character" w:customStyle="1" w:styleId="17">
    <w:name w:val="批注框文本 字符"/>
    <w:basedOn w:val="11"/>
    <w:link w:val="5"/>
    <w:semiHidden/>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页眉 字符"/>
    <w:basedOn w:val="11"/>
    <w:link w:val="7"/>
    <w:uiPriority w:val="99"/>
    <w:rPr>
      <w:rFonts w:asciiTheme="minorHAnsi" w:hAnsiTheme="minorHAnsi" w:eastAsiaTheme="minorEastAsia" w:cstheme="minorBidi"/>
      <w:kern w:val="2"/>
      <w:sz w:val="18"/>
      <w:szCs w:val="18"/>
    </w:rPr>
  </w:style>
  <w:style w:type="character" w:customStyle="1" w:styleId="20">
    <w:name w:val="页脚 字符"/>
    <w:basedOn w:val="11"/>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5F8823C5-D95F-4A8E-AF93-294B9B038B92}">
  <ds:schemaRefs/>
</ds:datastoreItem>
</file>

<file path=docProps/app.xml><?xml version="1.0" encoding="utf-8"?>
<Properties xmlns="http://schemas.openxmlformats.org/officeDocument/2006/extended-properties" xmlns:vt="http://schemas.openxmlformats.org/officeDocument/2006/docPropsVTypes">
  <Company>Microsoft</Company>
  <Pages>4</Pages>
  <Words>3016</Words>
  <Characters>3160</Characters>
  <Lines>23</Lines>
  <Paragraphs>6</Paragraphs>
  <TotalTime>136</TotalTime>
  <ScaleCrop>false</ScaleCrop>
  <LinksUpToDate>false</LinksUpToDate>
  <CharactersWithSpaces>3171</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2023-01-16T17:09:00Z</dcterms:created>
  <dc:creator>肖翔</dc:creator>
  <cp:lastModifiedBy>fanny</cp:lastModifiedBy>
  <dcterms:modified xsi:type="dcterms:W3CDTF">2024-12-24T16:39:04Z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B9DFBFA49F4540DFB8C369B5C76E49FE_12</vt:lpwstr>
  </property>
</Properties>
</file>