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扩建城东院区摩托车停车场项目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德庆县中医院</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color w:val="000000"/>
          <w:szCs w:val="21"/>
          <w:shd w:val="clear" w:color="auto" w:fill="FFFFFF"/>
        </w:rPr>
        <w:t>本项目采用邀请供应商竞价的方式进行竞价采购，不接受邀请名单之外的供应商参与竞价。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w:t>
      </w:r>
      <w:r>
        <w:rPr>
          <w:rFonts w:ascii="宋体" w:hAnsi="宋体" w:eastAsia="宋体" w:cs="宋体"/>
          <w:color w:val="000000" w:themeColor="text1"/>
          <w:kern w:val="0"/>
          <w:szCs w:val="20"/>
          <w14:textFill>
            <w14:solidFill>
              <w14:schemeClr w14:val="tx1"/>
            </w14:solidFill>
          </w14:textFill>
        </w:rPr>
        <w:t xml:space="preserve"> </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供应商须持有建设行政主管部门颁发有效的《安全生产许可证》；</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供应商具有有效的建筑业企业资质证书，资质类别为建筑工程施工总承包三级或以上资质（如国家另有规定，则适用其规定）</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spacing w:line="375" w:lineRule="auto"/>
        <w:ind w:left="840" w:hanging="420"/>
      </w:pPr>
      <w:r>
        <w:rPr>
          <w:rFonts w:ascii="宋体" w:hAnsi="宋体" w:eastAsia="宋体" w:cs="宋体"/>
          <w:color w:val="000000"/>
          <w:szCs w:val="21"/>
        </w:rPr>
        <w:t>1．出现下列情况的，本项目竞价活动失败：</w:t>
      </w:r>
    </w:p>
    <w:p>
      <w:pPr>
        <w:spacing w:line="375" w:lineRule="auto"/>
        <w:ind w:left="1260" w:hanging="420"/>
      </w:pPr>
      <w:r>
        <w:rPr>
          <w:rFonts w:ascii="宋体" w:hAnsi="宋体" w:eastAsia="宋体" w:cs="宋体"/>
          <w:color w:val="000000"/>
          <w:szCs w:val="21"/>
        </w:rPr>
        <w:t>（1）报名供应商不足3家；</w:t>
      </w:r>
    </w:p>
    <w:p>
      <w:pPr>
        <w:spacing w:line="375" w:lineRule="auto"/>
        <w:ind w:left="1260" w:hanging="420"/>
      </w:pPr>
      <w:r>
        <w:rPr>
          <w:rFonts w:ascii="宋体" w:hAnsi="宋体" w:eastAsia="宋体" w:cs="宋体"/>
          <w:color w:val="000000"/>
          <w:szCs w:val="21"/>
        </w:rPr>
        <w:t>（2）报价供应商不足3家。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75" w:lineRule="auto"/>
        <w:ind w:left="840" w:hanging="420"/>
      </w:pPr>
      <w:r>
        <w:rPr>
          <w:rFonts w:ascii="宋体" w:hAnsi="宋体" w:eastAsia="宋体" w:cs="宋体"/>
          <w:color w:val="000000"/>
          <w:szCs w:val="21"/>
        </w:rPr>
        <w:t>1．成交供应商须向平台服务商云采链线上采购一体化平台缴纳平台使用费，</w:t>
      </w:r>
      <w:r>
        <w:rPr>
          <w:rFonts w:hint="eastAsia" w:ascii="宋体" w:hAnsi="宋体" w:cs="宋体"/>
          <w:szCs w:val="21"/>
        </w:rPr>
        <w:t>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69"/>
        <w:gridCol w:w="1963"/>
        <w:gridCol w:w="3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152"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工期</w:t>
            </w:r>
          </w:p>
        </w:tc>
        <w:tc>
          <w:tcPr>
            <w:tcW w:w="1775"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扩建城东院区摩托车停车场项目</w:t>
            </w:r>
          </w:p>
        </w:tc>
        <w:tc>
          <w:tcPr>
            <w:tcW w:w="569"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152" w:type="pct"/>
            <w:tcBorders>
              <w:top w:val="single" w:color="auto" w:sz="2" w:space="0"/>
              <w:bottom w:val="single" w:color="auto" w:sz="2" w:space="0"/>
            </w:tcBorders>
            <w:vAlign w:val="center"/>
          </w:tcPr>
          <w:p>
            <w:pPr>
              <w:pStyle w:val="37"/>
              <w:spacing w:line="360" w:lineRule="auto"/>
              <w:ind w:right="-82" w:rightChars="-39" w:hanging="54"/>
              <w:rPr>
                <w:rFonts w:hint="eastAsia" w:ascii="宋体" w:hAnsi="宋体" w:eastAsia="宋体" w:cs="宋体"/>
                <w:snapToGrid/>
                <w:color w:val="000000" w:themeColor="text1"/>
                <w:spacing w:val="0"/>
                <w:kern w:val="2"/>
                <w:sz w:val="21"/>
                <w:szCs w:val="24"/>
                <w:lang w:eastAsia="zh-CN"/>
                <w14:textFill>
                  <w14:solidFill>
                    <w14:schemeClr w14:val="tx1"/>
                  </w14:solidFill>
                </w14:textFill>
              </w:rPr>
            </w:pPr>
            <w:r>
              <w:rPr>
                <w:rFonts w:hint="eastAsia" w:ascii="宋体" w:hAnsi="宋体" w:cs="宋体"/>
                <w:snapToGrid/>
                <w:color w:val="000000" w:themeColor="text1"/>
                <w:spacing w:val="0"/>
                <w:kern w:val="2"/>
                <w:sz w:val="21"/>
                <w:szCs w:val="24"/>
                <w14:textFill>
                  <w14:solidFill>
                    <w14:schemeClr w14:val="tx1"/>
                  </w14:solidFill>
                </w14:textFill>
              </w:rPr>
              <w:t>合同签订后</w:t>
            </w:r>
            <w:r>
              <w:rPr>
                <w:rFonts w:hint="eastAsia" w:ascii="宋体" w:hAnsi="宋体" w:cs="宋体"/>
                <w:snapToGrid/>
                <w:color w:val="000000" w:themeColor="text1"/>
                <w:spacing w:val="0"/>
                <w:kern w:val="2"/>
                <w:sz w:val="21"/>
                <w:szCs w:val="24"/>
                <w:lang w:val="en-US" w:eastAsia="zh-CN"/>
                <w14:textFill>
                  <w14:solidFill>
                    <w14:schemeClr w14:val="tx1"/>
                  </w14:solidFill>
                </w14:textFill>
              </w:rPr>
              <w:t>一个月</w:t>
            </w:r>
          </w:p>
        </w:tc>
        <w:tc>
          <w:tcPr>
            <w:tcW w:w="1775" w:type="pct"/>
            <w:tcBorders>
              <w:top w:val="single" w:color="auto" w:sz="2" w:space="0"/>
              <w:bottom w:val="single" w:color="auto" w:sz="2" w:space="0"/>
            </w:tcBorders>
            <w:vAlign w:val="center"/>
          </w:tcPr>
          <w:p>
            <w:pPr>
              <w:spacing w:line="360" w:lineRule="auto"/>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人民币</w:t>
            </w:r>
            <w:r>
              <w:rPr>
                <w:rFonts w:cs="宋体" w:asciiTheme="minorEastAsia" w:hAnsiTheme="minorEastAsia"/>
                <w:color w:val="000000" w:themeColor="text1"/>
                <w:szCs w:val="21"/>
                <w:u w:val="single"/>
                <w14:textFill>
                  <w14:solidFill>
                    <w14:schemeClr w14:val="tx1"/>
                  </w14:solidFill>
                </w14:textFill>
              </w:rPr>
              <w:t>110295.18</w:t>
            </w:r>
            <w:r>
              <w:rPr>
                <w:rFonts w:hint="eastAsia" w:cs="宋体" w:asciiTheme="minorEastAsia" w:hAnsiTheme="minorEastAsia"/>
                <w:color w:val="000000" w:themeColor="text1"/>
                <w:szCs w:val="21"/>
                <w14:textFill>
                  <w14:solidFill>
                    <w14:schemeClr w14:val="tx1"/>
                  </w14:solidFill>
                </w14:textFill>
              </w:rPr>
              <w:t>元，</w:t>
            </w:r>
            <w:r>
              <w:rPr>
                <w:rFonts w:hint="eastAsia" w:cs="Times New Roman" w:asciiTheme="minorEastAsia" w:hAnsiTheme="minorEastAsia"/>
                <w:color w:val="000000"/>
                <w:szCs w:val="21"/>
                <w:lang w:bidi="ar"/>
              </w:rPr>
              <w:t>其中</w:t>
            </w:r>
            <w:r>
              <w:rPr>
                <w:rFonts w:hint="eastAsia" w:cs="Times New Roman" w:asciiTheme="minorEastAsia" w:hAnsiTheme="minorEastAsia"/>
                <w:b/>
                <w:bCs/>
                <w:color w:val="000000"/>
                <w:szCs w:val="21"/>
                <w:lang w:bidi="ar"/>
              </w:rPr>
              <w:t>绿色施工安全防护措施费</w:t>
            </w:r>
            <w:r>
              <w:rPr>
                <w:rFonts w:cs="Times New Roman" w:asciiTheme="minorEastAsia" w:hAnsiTheme="minorEastAsia"/>
                <w:b/>
                <w:bCs/>
                <w:color w:val="000000"/>
                <w:szCs w:val="21"/>
                <w:u w:val="single"/>
                <w:lang w:bidi="ar"/>
              </w:rPr>
              <w:t>3027.39</w:t>
            </w:r>
            <w:r>
              <w:rPr>
                <w:rFonts w:hint="eastAsia" w:cs="Times New Roman" w:asciiTheme="minorEastAsia" w:hAnsiTheme="minorEastAsia"/>
                <w:b/>
                <w:bCs/>
                <w:color w:val="000000"/>
                <w:szCs w:val="21"/>
                <w:lang w:bidi="ar"/>
              </w:rPr>
              <w:t>元</w:t>
            </w:r>
            <w:r>
              <w:rPr>
                <w:rFonts w:hint="eastAsia" w:cs="Times New Roman" w:asciiTheme="minorEastAsia" w:hAnsiTheme="minorEastAsia"/>
                <w:b/>
                <w:bCs/>
                <w:color w:val="000000"/>
                <w:szCs w:val="21"/>
                <w:lang w:eastAsia="zh-CN" w:bidi="ar"/>
              </w:rPr>
              <w:t>、其他措施费</w:t>
            </w:r>
            <w:r>
              <w:rPr>
                <w:rFonts w:hint="eastAsia" w:cs="Times New Roman" w:asciiTheme="minorEastAsia" w:hAnsiTheme="minorEastAsia"/>
                <w:b/>
                <w:bCs/>
                <w:color w:val="000000"/>
                <w:szCs w:val="21"/>
                <w:u w:val="single"/>
                <w:lang w:eastAsia="zh-CN" w:bidi="ar"/>
              </w:rPr>
              <w:t>378.14</w:t>
            </w:r>
            <w:r>
              <w:rPr>
                <w:rFonts w:hint="eastAsia" w:cs="Times New Roman" w:asciiTheme="minorEastAsia" w:hAnsiTheme="minorEastAsia"/>
                <w:b/>
                <w:bCs/>
                <w:color w:val="000000"/>
                <w:szCs w:val="21"/>
                <w:lang w:eastAsia="zh-CN" w:bidi="ar"/>
              </w:rPr>
              <w:t>元</w:t>
            </w:r>
            <w:r>
              <w:rPr>
                <w:rFonts w:hint="eastAsia" w:cs="Times New Roman" w:asciiTheme="minorEastAsia" w:hAnsiTheme="minorEastAsia"/>
                <w:color w:val="000000"/>
                <w:szCs w:val="21"/>
                <w:lang w:bidi="ar"/>
              </w:rPr>
              <w:t>为不可竞争费用</w:t>
            </w:r>
          </w:p>
        </w:tc>
      </w:tr>
    </w:tbl>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项目情况说明</w:t>
      </w:r>
    </w:p>
    <w:p>
      <w:pPr>
        <w:numPr>
          <w:ilvl w:val="0"/>
          <w:numId w:val="13"/>
        </w:numPr>
        <w:tabs>
          <w:tab w:val="left" w:pos="360"/>
        </w:tabs>
        <w:autoSpaceDE w:val="0"/>
        <w:autoSpaceDN w:val="0"/>
        <w:adjustRightInd w:val="0"/>
        <w:snapToGrid w:val="0"/>
        <w:spacing w:line="360" w:lineRule="auto"/>
        <w:ind w:firstLine="420" w:firstLineChars="200"/>
        <w:jc w:val="left"/>
        <w:rPr>
          <w:rFonts w:ascii="Calibri" w:hAnsi="Calibri" w:eastAsia="宋体" w:cs="宋体"/>
          <w:bCs/>
          <w:szCs w:val="21"/>
          <w:lang w:bidi="ar"/>
        </w:rPr>
      </w:pPr>
      <w:r>
        <w:rPr>
          <w:rFonts w:hint="eastAsia" w:ascii="Calibri" w:hAnsi="Calibri" w:eastAsia="宋体" w:cs="宋体"/>
          <w:bCs/>
          <w:szCs w:val="21"/>
          <w:lang w:bidi="ar"/>
        </w:rPr>
        <w:t>工程范围：</w:t>
      </w:r>
      <w:r>
        <w:rPr>
          <w:rFonts w:hint="eastAsia" w:ascii="宋体" w:hAnsi="宋体" w:eastAsia="宋体" w:cs="宋体"/>
          <w:color w:val="000000" w:themeColor="text1"/>
          <w:szCs w:val="21"/>
          <w14:textFill>
            <w14:solidFill>
              <w14:schemeClr w14:val="tx1"/>
            </w14:solidFill>
          </w14:textFill>
        </w:rPr>
        <w:t>扩建城东院区摩托车停车场项目，</w:t>
      </w:r>
      <w:r>
        <w:rPr>
          <w:rFonts w:hint="eastAsia" w:ascii="Calibri" w:hAnsi="Calibri" w:eastAsia="宋体" w:cs="宋体"/>
          <w:bCs/>
          <w:szCs w:val="21"/>
          <w:lang w:bidi="ar"/>
        </w:rPr>
        <w:t>主要范围包括：</w:t>
      </w:r>
      <w:r>
        <w:rPr>
          <w:rFonts w:hint="eastAsia" w:ascii="Calibri" w:hAnsi="Calibri" w:eastAsia="宋体" w:cs="宋体"/>
          <w:color w:val="000000"/>
          <w:szCs w:val="21"/>
          <w:lang w:bidi="ar"/>
        </w:rPr>
        <w:t>电气工程、给排水工程、拆除工程、安装工程等</w:t>
      </w:r>
      <w:r>
        <w:rPr>
          <w:rFonts w:hint="eastAsia" w:ascii="Calibri" w:hAnsi="Calibri" w:eastAsia="宋体" w:cs="宋体"/>
          <w:bCs/>
          <w:szCs w:val="21"/>
          <w:lang w:bidi="ar"/>
        </w:rPr>
        <w:t>。</w:t>
      </w:r>
    </w:p>
    <w:p>
      <w:pPr>
        <w:numPr>
          <w:ilvl w:val="0"/>
          <w:numId w:val="13"/>
        </w:numPr>
        <w:tabs>
          <w:tab w:val="left" w:pos="360"/>
        </w:tabs>
        <w:autoSpaceDE w:val="0"/>
        <w:autoSpaceDN w:val="0"/>
        <w:adjustRightInd w:val="0"/>
        <w:snapToGrid w:val="0"/>
        <w:spacing w:line="360" w:lineRule="auto"/>
        <w:ind w:firstLine="420" w:firstLineChars="200"/>
        <w:jc w:val="left"/>
        <w:rPr>
          <w:rFonts w:ascii="宋体" w:hAnsi="宋体" w:eastAsia="宋体" w:cs="宋体"/>
          <w:bCs/>
          <w:szCs w:val="21"/>
          <w:lang w:bidi="ar"/>
        </w:rPr>
      </w:pPr>
      <w:r>
        <w:rPr>
          <w:rFonts w:hint="eastAsia" w:ascii="宋体" w:hAnsi="宋体" w:eastAsia="宋体" w:cs="宋体"/>
          <w:bCs/>
          <w:szCs w:val="21"/>
          <w:lang w:bidi="ar"/>
        </w:rPr>
        <w:t>本合同属总价包干合同、工程量清单、施工图包干。工程项目实施期间和结算时，施工图纸和工程量清单中的内容(工程变更和现场签证除外)不予增加，即使工程量清单有漏列，只要施工图纸已有相关内容，均不调整价款。最终结算价以财审后为准。</w:t>
      </w:r>
    </w:p>
    <w:p>
      <w:pPr>
        <w:numPr>
          <w:ilvl w:val="0"/>
          <w:numId w:val="13"/>
        </w:numPr>
        <w:tabs>
          <w:tab w:val="left" w:pos="360"/>
        </w:tabs>
        <w:autoSpaceDE w:val="0"/>
        <w:autoSpaceDN w:val="0"/>
        <w:adjustRightInd w:val="0"/>
        <w:snapToGrid w:val="0"/>
        <w:spacing w:line="360" w:lineRule="auto"/>
        <w:ind w:firstLine="420" w:firstLineChars="200"/>
        <w:jc w:val="left"/>
        <w:rPr>
          <w:rFonts w:ascii="Calibri" w:hAnsi="Calibri" w:eastAsia="宋体" w:cs="宋体"/>
          <w:bCs/>
          <w:szCs w:val="21"/>
          <w:lang w:bidi="ar"/>
        </w:rPr>
      </w:pPr>
      <w:r>
        <w:rPr>
          <w:rFonts w:hint="eastAsia" w:ascii="Calibri" w:hAnsi="Calibri" w:eastAsia="宋体" w:cs="宋体"/>
          <w:bCs/>
          <w:szCs w:val="21"/>
          <w:lang w:bidi="ar"/>
        </w:rPr>
        <w:t>具体工程量清单详见附件。</w:t>
      </w:r>
    </w:p>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质量要求和质量保修期</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（一）质量要求：符合《工程施工质量验收规范》合格标准。</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（二）质保期：工程保修期为一年，保修期自竣工验收之日起计算，质保期内成交供应商须进行质量“三包”。质保期及文件中未列明的其它项目的保修期按国家现行的质量保修办法的规定执行。</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（三）本工程以国家制订的施工及验收标准及有关规范为质量评定验收合格标准。</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（四）工程竣工验收由成交供应商、采购人共同进行，验收合格后双方签署验收合格证书，工程交付采购人使用。</w:t>
      </w:r>
    </w:p>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资料与归档</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（一）本项目竣工验收后10天内提供工程结算书及相关资料统一送采购人审核，确认后办理结算手续。</w:t>
      </w:r>
    </w:p>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施工要求与施工管理</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（一）在签订合同后，采购人根据实际需要，每次向成交供应商发出工程内容的通知，成交供应商在收到通知后，应立即进行确认。</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（二）成交供应商必须严格按照已经确认的施工方案组织施工，并接受采购人或其委托的监理单位对工程质量、工期、安全、文明施工、环保及工地纪律的监督和管理。</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三）成交供应商在工程施工期间，须严格遵守政府职能部门的各项规章制度，由于管理不善，导致政府职能部门的罚款和停工整改，由其发生的费用与损失由成交供应商自行承担，且采购人保留暂缓支付工程款的权利，以确保文明施工有效实行。</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（四）成交供应商在工程施工期间，必须建立健全安全制度。</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（五）成交供应商在施工期间，必须建立施工安全用电制度，确保施工用电设备的完好无损，并设置漏电保护装置。</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六）作业人员必须遵守国家及肇庆地区安全生产相关规定，严格执行安全作业规程，做足安全防范措施，做到不安全不生产，项目建设期间所发生的任何人身安全事故或因个人疾病引起的伤亡病故均与采购方无关，由成交供应商负全部责任。</w:t>
      </w:r>
    </w:p>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施工工期、条件及要求</w:t>
      </w:r>
    </w:p>
    <w:p>
      <w:pPr>
        <w:pStyle w:val="10"/>
        <w:tabs>
          <w:tab w:val="left" w:pos="540"/>
        </w:tabs>
        <w:adjustRightInd w:val="0"/>
        <w:snapToGrid w:val="0"/>
        <w:spacing w:line="360" w:lineRule="auto"/>
        <w:rPr>
          <w:rFonts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（一） 完工日期以采购人签认的竣工时间为准。</w:t>
      </w:r>
    </w:p>
    <w:p>
      <w:pPr>
        <w:pStyle w:val="10"/>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 xml:space="preserve">（二）合同约定的工程项目，成交供应商不得转包。否则，采购人有权单方面终止合同，并令其退场，由此而造成直接经济损失由成交供应商负责赔偿。 </w:t>
      </w:r>
    </w:p>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付款方式</w:t>
      </w:r>
    </w:p>
    <w:p>
      <w:pPr>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1、工程进度完成50%时，支付工程前期款项的30%(即合同总价的30%金额)；</w:t>
      </w:r>
    </w:p>
    <w:p>
      <w:pPr>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2、工程进度完成80%时，支付工程进度款30%(即合同总价的30%金额)；</w:t>
      </w:r>
    </w:p>
    <w:p>
      <w:pPr>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3、工程完成并验收合格，支付工程款37%(即合同总价的37%金额)；</w:t>
      </w:r>
    </w:p>
    <w:p>
      <w:pPr>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4、工程完成并验收合格壹年后15天内，支付剩余3%的质保金(即合同总价的3%金额)；</w:t>
      </w:r>
    </w:p>
    <w:p>
      <w:pPr>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5、每笔款项支付时，成交人同时向采购人提供相应金额的正式发票。</w:t>
      </w:r>
    </w:p>
    <w:p>
      <w:pPr>
        <w:snapToGrid w:val="0"/>
        <w:spacing w:line="360" w:lineRule="auto"/>
        <w:ind w:firstLine="420" w:firstLineChars="200"/>
        <w:rPr>
          <w:rFonts w:ascii="宋体" w:hAnsi="宋体" w:eastAsia="宋体" w:cs="宋体"/>
          <w:bCs/>
          <w:color w:val="000000" w:themeColor="text1"/>
          <w:szCs w:val="21"/>
          <w14:textFill>
            <w14:solidFill>
              <w14:schemeClr w14:val="tx1"/>
            </w14:solidFill>
          </w14:textFill>
        </w:rPr>
      </w:pPr>
      <w:r>
        <w:rPr>
          <w:rFonts w:ascii="宋体" w:hAnsi="宋体" w:eastAsia="宋体" w:cs="宋体"/>
          <w:bCs/>
          <w:color w:val="000000" w:themeColor="text1"/>
          <w:szCs w:val="21"/>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、供应商申请工程款同时，向采购人提供等值有效的工程发票。</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344"/>
        <w:gridCol w:w="1357"/>
        <w:gridCol w:w="2064"/>
        <w:gridCol w:w="1759"/>
        <w:gridCol w:w="99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1375"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796"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1211"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工期</w:t>
            </w:r>
          </w:p>
        </w:tc>
        <w:tc>
          <w:tcPr>
            <w:tcW w:w="1032"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报价</w:t>
            </w:r>
          </w:p>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（人民币 元）</w:t>
            </w:r>
          </w:p>
        </w:tc>
        <w:tc>
          <w:tcPr>
            <w:tcW w:w="584"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375"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lang w:bidi="ar"/>
              </w:rPr>
              <w:t>扩建城东院区摩托车停车场项目</w:t>
            </w:r>
          </w:p>
        </w:tc>
        <w:tc>
          <w:tcPr>
            <w:tcW w:w="796"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1211"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合同签订后40日历日内</w:t>
            </w:r>
          </w:p>
        </w:tc>
        <w:tc>
          <w:tcPr>
            <w:tcW w:w="1032"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c>
          <w:tcPr>
            <w:tcW w:w="584"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r>
    </w:tbl>
    <w:p>
      <w:pPr>
        <w:spacing w:line="360" w:lineRule="auto"/>
        <w:ind w:firstLine="422" w:firstLineChars="200"/>
        <w:rPr>
          <w:rFonts w:ascii="宋体" w:hAnsi="宋体" w:eastAsia="宋体" w:cs="宋体"/>
          <w:b/>
          <w:bCs/>
        </w:rPr>
      </w:pPr>
      <w:r>
        <w:rPr>
          <w:rFonts w:hint="eastAsia" w:ascii="宋体" w:hAnsi="宋体" w:eastAsia="宋体" w:cs="宋体"/>
          <w:b/>
          <w:bCs/>
        </w:rPr>
        <w:t>本项目预算金额为</w:t>
      </w:r>
      <w:r>
        <w:rPr>
          <w:rFonts w:hint="eastAsia" w:ascii="宋体" w:hAnsi="宋体" w:eastAsia="宋体" w:cs="宋体"/>
          <w:b/>
          <w:bCs/>
          <w:color w:val="000000" w:themeColor="text1"/>
          <w:szCs w:val="21"/>
          <w14:textFill>
            <w14:solidFill>
              <w14:schemeClr w14:val="tx1"/>
            </w14:solidFill>
          </w14:textFill>
        </w:rPr>
        <w:t>人民币</w:t>
      </w:r>
      <w:r>
        <w:rPr>
          <w:rFonts w:ascii="宋体" w:hAnsi="宋体" w:eastAsia="宋体" w:cs="宋体"/>
          <w:b/>
          <w:bCs/>
          <w:color w:val="000000" w:themeColor="text1"/>
          <w:szCs w:val="21"/>
          <w:u w:val="single"/>
          <w14:textFill>
            <w14:solidFill>
              <w14:schemeClr w14:val="tx1"/>
            </w14:solidFill>
          </w14:textFill>
        </w:rPr>
        <w:t>110295.18</w:t>
      </w:r>
      <w:r>
        <w:rPr>
          <w:rFonts w:hint="eastAsia" w:ascii="宋体" w:hAnsi="宋体" w:eastAsia="宋体" w:cs="宋体"/>
          <w:b/>
          <w:bCs/>
          <w:color w:val="000000" w:themeColor="text1"/>
          <w:szCs w:val="21"/>
          <w14:textFill>
            <w14:solidFill>
              <w14:schemeClr w14:val="tx1"/>
            </w14:solidFill>
          </w14:textFill>
        </w:rPr>
        <w:t>元，</w:t>
      </w:r>
      <w:r>
        <w:rPr>
          <w:rFonts w:hint="eastAsia" w:ascii="宋体" w:hAnsi="宋体" w:eastAsia="宋体" w:cs="宋体"/>
          <w:b/>
          <w:bCs/>
          <w:color w:val="000000"/>
          <w:szCs w:val="21"/>
          <w:lang w:bidi="ar"/>
        </w:rPr>
        <w:t>其中绿色施工安全防护措施费</w:t>
      </w:r>
      <w:r>
        <w:rPr>
          <w:rFonts w:cs="Times New Roman" w:asciiTheme="minorEastAsia" w:hAnsiTheme="minorEastAsia"/>
          <w:b/>
          <w:bCs/>
          <w:color w:val="000000"/>
          <w:szCs w:val="21"/>
          <w:u w:val="single"/>
          <w:lang w:bidi="ar"/>
        </w:rPr>
        <w:t>3027.39</w:t>
      </w:r>
      <w:r>
        <w:rPr>
          <w:rFonts w:hint="eastAsia" w:ascii="宋体" w:hAnsi="宋体" w:eastAsia="宋体" w:cs="宋体"/>
          <w:b/>
          <w:bCs/>
          <w:color w:val="000000"/>
          <w:szCs w:val="21"/>
          <w:lang w:bidi="ar"/>
        </w:rPr>
        <w:t>元</w:t>
      </w:r>
      <w:r>
        <w:rPr>
          <w:rFonts w:hint="eastAsia" w:ascii="宋体" w:hAnsi="宋体" w:eastAsia="宋体" w:cs="宋体"/>
          <w:b/>
          <w:bCs/>
          <w:color w:val="000000"/>
          <w:szCs w:val="21"/>
          <w:lang w:eastAsia="zh-CN" w:bidi="ar"/>
        </w:rPr>
        <w:t>、</w:t>
      </w:r>
      <w:r>
        <w:rPr>
          <w:rFonts w:hint="eastAsia" w:cs="Times New Roman" w:asciiTheme="minorEastAsia" w:hAnsiTheme="minorEastAsia"/>
          <w:b/>
          <w:bCs/>
          <w:color w:val="000000"/>
          <w:szCs w:val="21"/>
          <w:lang w:eastAsia="zh-CN" w:bidi="ar"/>
        </w:rPr>
        <w:t>其他措施费</w:t>
      </w:r>
      <w:r>
        <w:rPr>
          <w:rFonts w:hint="eastAsia" w:cs="Times New Roman" w:asciiTheme="minorEastAsia" w:hAnsiTheme="minorEastAsia"/>
          <w:b/>
          <w:bCs/>
          <w:color w:val="000000"/>
          <w:szCs w:val="21"/>
          <w:u w:val="single"/>
          <w:lang w:eastAsia="zh-CN" w:bidi="ar"/>
        </w:rPr>
        <w:t>378.14</w:t>
      </w:r>
      <w:r>
        <w:rPr>
          <w:rFonts w:hint="eastAsia" w:cs="Times New Roman" w:asciiTheme="minorEastAsia" w:hAnsiTheme="minorEastAsia"/>
          <w:b/>
          <w:bCs/>
          <w:color w:val="000000"/>
          <w:szCs w:val="21"/>
          <w:lang w:eastAsia="zh-CN" w:bidi="ar"/>
        </w:rPr>
        <w:t>元</w:t>
      </w:r>
      <w:bookmarkStart w:id="0" w:name="_GoBack"/>
      <w:bookmarkEnd w:id="0"/>
      <w:r>
        <w:rPr>
          <w:rFonts w:hint="eastAsia" w:ascii="宋体" w:hAnsi="宋体" w:eastAsia="宋体" w:cs="宋体"/>
          <w:b/>
          <w:bCs/>
          <w:color w:val="000000"/>
          <w:szCs w:val="21"/>
          <w:lang w:bidi="ar"/>
        </w:rPr>
        <w:t>为不可竞争费用</w:t>
      </w:r>
    </w:p>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4"/>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4"/>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4"/>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4"/>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4"/>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致：德庆县中医院、</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扩建城东院区摩托车停车场项目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5"/>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5"/>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widowControl/>
        <w:spacing w:line="360" w:lineRule="auto"/>
        <w:jc w:val="left"/>
        <w:rPr>
          <w:rFonts w:ascii="宋体" w:hAnsi="宋体" w:eastAsia="宋体" w:cs="宋体"/>
          <w:color w:val="000000"/>
          <w:szCs w:val="21"/>
          <w:lang w:val="zh-CN" w:bidi="ar"/>
        </w:rPr>
      </w:pPr>
    </w:p>
    <w:sectPr>
      <w:headerReference r:id="rId3" w:type="firs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3">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8">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1">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0F686E"/>
    <w:multiLevelType w:val="singleLevel"/>
    <w:tmpl w:val="700F686E"/>
    <w:lvl w:ilvl="0" w:tentative="0">
      <w:start w:val="1"/>
      <w:numFmt w:val="chineseCounting"/>
      <w:suff w:val="nothing"/>
      <w:lvlText w:val="（%1）"/>
      <w:lvlJc w:val="left"/>
      <w:rPr>
        <w:rFonts w:hint="eastAsia"/>
      </w:rPr>
    </w:lvl>
  </w:abstractNum>
  <w:num w:numId="1">
    <w:abstractNumId w:val="4"/>
  </w:num>
  <w:num w:numId="2">
    <w:abstractNumId w:val="12"/>
  </w:num>
  <w:num w:numId="3">
    <w:abstractNumId w:val="2"/>
  </w:num>
  <w:num w:numId="4">
    <w:abstractNumId w:val="10"/>
  </w:num>
  <w:num w:numId="5">
    <w:abstractNumId w:val="0"/>
  </w:num>
  <w:num w:numId="6">
    <w:abstractNumId w:val="5"/>
  </w:num>
  <w:num w:numId="7">
    <w:abstractNumId w:val="6"/>
  </w:num>
  <w:num w:numId="8">
    <w:abstractNumId w:val="11"/>
  </w:num>
  <w:num w:numId="9">
    <w:abstractNumId w:val="7"/>
  </w:num>
  <w:num w:numId="10">
    <w:abstractNumId w:val="1"/>
  </w:num>
  <w:num w:numId="11">
    <w:abstractNumId w:val="8"/>
  </w:num>
  <w:num w:numId="12">
    <w:abstractNumId w:val="3"/>
  </w:num>
  <w:num w:numId="13">
    <w:abstractNumId w:val="1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TliYjdhODM0NGYyNzYzNGM0ZWRhM2U0YjhmOWM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3F9B"/>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D63C2"/>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4DE3"/>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0D09"/>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1393E"/>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C6921"/>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E2DD1"/>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2EA9"/>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C60E8"/>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0479C"/>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26C5"/>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3EC3F89"/>
    <w:rsid w:val="44796D3B"/>
    <w:rsid w:val="44861074"/>
    <w:rsid w:val="44A2656B"/>
    <w:rsid w:val="44B32765"/>
    <w:rsid w:val="450D6168"/>
    <w:rsid w:val="451F3201"/>
    <w:rsid w:val="452A026D"/>
    <w:rsid w:val="456816EF"/>
    <w:rsid w:val="45E345BD"/>
    <w:rsid w:val="45FB2764"/>
    <w:rsid w:val="464E468D"/>
    <w:rsid w:val="468E1B7A"/>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A0699"/>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4E70C13"/>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Char"/>
    <w:basedOn w:val="25"/>
    <w:link w:val="11"/>
    <w:semiHidden/>
    <w:qFormat/>
    <w:uiPriority w:val="99"/>
    <w:rPr>
      <w:sz w:val="18"/>
      <w:szCs w:val="18"/>
    </w:rPr>
  </w:style>
  <w:style w:type="character" w:customStyle="1" w:styleId="33">
    <w:name w:val="批注主题 Char"/>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出段落 Char3"/>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首行缩进 2 Char"/>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Char"/>
    <w:basedOn w:val="25"/>
    <w:link w:val="2"/>
    <w:qFormat/>
    <w:uiPriority w:val="0"/>
    <w:rPr>
      <w:b/>
      <w:bCs/>
      <w:kern w:val="44"/>
      <w:sz w:val="44"/>
      <w:szCs w:val="44"/>
    </w:rPr>
  </w:style>
  <w:style w:type="character" w:customStyle="1" w:styleId="56">
    <w:name w:val="页脚 Char"/>
    <w:basedOn w:val="25"/>
    <w:link w:val="12"/>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Char2"/>
    <w:basedOn w:val="25"/>
    <w:link w:val="10"/>
    <w:qFormat/>
    <w:uiPriority w:val="0"/>
    <w:rPr>
      <w:rFonts w:hint="eastAsia" w:ascii="宋体" w:hAnsi="Courier New" w:eastAsia="宋体" w:cs="宋体"/>
      <w:szCs w:val="21"/>
      <w:lang w:val="zh-CN"/>
    </w:rPr>
  </w:style>
  <w:style w:type="character" w:customStyle="1" w:styleId="61">
    <w:name w:val="标题 3 Char"/>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Char1"/>
    <w:basedOn w:val="25"/>
    <w:link w:val="19"/>
    <w:qFormat/>
    <w:uiPriority w:val="0"/>
    <w:rPr>
      <w:rFonts w:hint="default" w:ascii="Cambria" w:hAnsi="Cambria" w:eastAsia="Cambria" w:cs="Times New Roman"/>
      <w:b/>
      <w:bCs/>
      <w:kern w:val="2"/>
      <w:sz w:val="32"/>
      <w:szCs w:val="32"/>
    </w:rPr>
  </w:style>
  <w:style w:type="character" w:customStyle="1" w:styleId="73">
    <w:name w:val="脚注文本 Char"/>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Char1"/>
    <w:basedOn w:val="25"/>
    <w:link w:val="3"/>
    <w:qFormat/>
    <w:uiPriority w:val="0"/>
    <w:rPr>
      <w:rFonts w:hint="default" w:ascii="Arial" w:hAnsi="Arial" w:eastAsia="黑体" w:cs="Arial"/>
      <w:b/>
      <w:bCs/>
      <w:kern w:val="2"/>
      <w:sz w:val="32"/>
      <w:szCs w:val="32"/>
    </w:rPr>
  </w:style>
  <w:style w:type="character" w:customStyle="1" w:styleId="86">
    <w:name w:val="批注文字 Char1"/>
    <w:basedOn w:val="25"/>
    <w:link w:val="6"/>
    <w:qFormat/>
    <w:uiPriority w:val="0"/>
    <w:rPr>
      <w:kern w:val="2"/>
      <w:sz w:val="21"/>
      <w:szCs w:val="24"/>
    </w:rPr>
  </w:style>
  <w:style w:type="character" w:customStyle="1" w:styleId="87">
    <w:name w:val="普通(网站) Char"/>
    <w:basedOn w:val="25"/>
    <w:link w:val="18"/>
    <w:qFormat/>
    <w:uiPriority w:val="0"/>
    <w:rPr>
      <w:rFonts w:hint="eastAsia" w:ascii="宋体" w:hAnsi="宋体" w:eastAsia="宋体" w:cs="宋体"/>
      <w:sz w:val="24"/>
      <w:szCs w:val="24"/>
    </w:rPr>
  </w:style>
  <w:style w:type="character" w:customStyle="1" w:styleId="88">
    <w:name w:val="正文文本缩进 Char"/>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Char"/>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Char"/>
    <w:basedOn w:val="25"/>
    <w:link w:val="16"/>
    <w:qFormat/>
    <w:uiPriority w:val="0"/>
    <w:rPr>
      <w:rFonts w:hint="eastAsia" w:ascii="等线" w:hAnsi="等线" w:eastAsia="等线" w:cs="等线"/>
      <w:kern w:val="2"/>
      <w:sz w:val="16"/>
      <w:szCs w:val="16"/>
    </w:rPr>
  </w:style>
  <w:style w:type="character" w:customStyle="1" w:styleId="94">
    <w:name w:val="正文首行缩进 Char"/>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Char"/>
    <w:basedOn w:val="25"/>
    <w:link w:val="13"/>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paragraph" w:customStyle="1" w:styleId="104">
    <w:name w:val="new file normal"/>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785</Words>
  <Characters>4477</Characters>
  <Lines>37</Lines>
  <Paragraphs>10</Paragraphs>
  <TotalTime>0</TotalTime>
  <ScaleCrop>false</ScaleCrop>
  <LinksUpToDate>false</LinksUpToDate>
  <CharactersWithSpaces>5252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2024-03-29T01:31:00Z</dcterms:created>
  <dc:creator>dreamsummit</dc:creator>
  <cp:lastModifiedBy>云采链</cp:lastModifiedBy>
  <cp:lastPrinted>2018-10-16T04:01:00Z</cp:lastPrinted>
  <dcterms:modified xsi:type="dcterms:W3CDTF">2024-04-22T11:38:48Z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BE353DE776EA44E7BE9A052527AF4223_13</vt:lpwstr>
  </property>
</Properties>
</file>