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B5AEE">
      <w:pPr>
        <w:tabs>
          <w:tab w:val="left" w:pos="2977"/>
        </w:tabs>
        <w:snapToGrid w:val="0"/>
        <w:spacing w:before="156" w:beforeLines="50"/>
        <w:jc w:val="center"/>
        <w:rPr>
          <w:rFonts w:hint="eastAsia" w:ascii="宋体" w:hAnsi="宋体"/>
          <w:b/>
          <w:color w:val="auto"/>
          <w:sz w:val="84"/>
          <w:szCs w:val="84"/>
          <w:highlight w:val="none"/>
        </w:rPr>
      </w:pPr>
    </w:p>
    <w:p w14:paraId="5FED52DE">
      <w:pPr>
        <w:tabs>
          <w:tab w:val="left" w:pos="2977"/>
        </w:tabs>
        <w:snapToGrid w:val="0"/>
        <w:spacing w:before="156" w:beforeLines="50"/>
        <w:jc w:val="center"/>
        <w:rPr>
          <w:rFonts w:hint="eastAsia" w:ascii="宋体" w:hAnsi="宋体"/>
          <w:b/>
          <w:color w:val="auto"/>
          <w:sz w:val="84"/>
          <w:szCs w:val="84"/>
          <w:highlight w:val="none"/>
        </w:rPr>
      </w:pPr>
    </w:p>
    <w:p w14:paraId="425121DD">
      <w:pPr>
        <w:snapToGrid w:val="0"/>
        <w:spacing w:before="156" w:beforeLines="50"/>
        <w:jc w:val="center"/>
        <w:rPr>
          <w:rFonts w:hint="eastAsia" w:ascii="宋体" w:hAnsi="宋体"/>
          <w:b/>
          <w:color w:val="auto"/>
          <w:sz w:val="84"/>
          <w:szCs w:val="84"/>
          <w:highlight w:val="none"/>
        </w:rPr>
      </w:pPr>
    </w:p>
    <w:p w14:paraId="4012FFED">
      <w:pPr>
        <w:snapToGrid w:val="0"/>
        <w:spacing w:before="156" w:beforeLines="50"/>
        <w:jc w:val="center"/>
        <w:rPr>
          <w:rFonts w:hint="eastAsia" w:ascii="宋体" w:hAnsi="宋体"/>
          <w:b/>
          <w:bCs/>
          <w:color w:val="auto"/>
          <w:sz w:val="84"/>
          <w:szCs w:val="84"/>
          <w:highlight w:val="none"/>
        </w:rPr>
      </w:pPr>
      <w:r>
        <w:rPr>
          <w:rFonts w:hint="eastAsia" w:ascii="宋体" w:hAnsi="宋体"/>
          <w:b/>
          <w:color w:val="auto"/>
          <w:sz w:val="84"/>
          <w:szCs w:val="84"/>
          <w:highlight w:val="none"/>
        </w:rPr>
        <w:t>遴选文件</w:t>
      </w:r>
    </w:p>
    <w:p w14:paraId="4849450B">
      <w:pPr>
        <w:spacing w:line="360" w:lineRule="auto"/>
        <w:jc w:val="center"/>
        <w:rPr>
          <w:rFonts w:hint="eastAsia" w:ascii="宋体" w:hAnsi="宋体"/>
          <w:color w:val="auto"/>
          <w:sz w:val="30"/>
          <w:szCs w:val="30"/>
          <w:highlight w:val="none"/>
        </w:rPr>
      </w:pPr>
    </w:p>
    <w:p w14:paraId="39BD3A4E">
      <w:pPr>
        <w:spacing w:line="360" w:lineRule="auto"/>
        <w:jc w:val="center"/>
        <w:rPr>
          <w:rFonts w:hint="eastAsia" w:ascii="宋体" w:hAnsi="宋体"/>
          <w:color w:val="auto"/>
          <w:sz w:val="30"/>
          <w:szCs w:val="30"/>
          <w:highlight w:val="none"/>
        </w:rPr>
      </w:pPr>
    </w:p>
    <w:p w14:paraId="14699FAF">
      <w:pPr>
        <w:spacing w:line="360" w:lineRule="auto"/>
        <w:jc w:val="center"/>
        <w:rPr>
          <w:rFonts w:hint="eastAsia" w:ascii="宋体" w:hAnsi="宋体"/>
          <w:color w:val="auto"/>
          <w:sz w:val="30"/>
          <w:szCs w:val="30"/>
          <w:highlight w:val="none"/>
        </w:rPr>
      </w:pPr>
    </w:p>
    <w:p w14:paraId="65801C2F">
      <w:pPr>
        <w:spacing w:line="360" w:lineRule="auto"/>
        <w:jc w:val="center"/>
        <w:rPr>
          <w:rFonts w:hint="eastAsia" w:ascii="宋体" w:hAnsi="宋体"/>
          <w:color w:val="auto"/>
          <w:sz w:val="30"/>
          <w:szCs w:val="30"/>
          <w:highlight w:val="none"/>
        </w:rPr>
      </w:pPr>
    </w:p>
    <w:p w14:paraId="4975FD68">
      <w:pPr>
        <w:spacing w:line="360" w:lineRule="auto"/>
        <w:jc w:val="center"/>
        <w:rPr>
          <w:rFonts w:hint="eastAsia" w:ascii="宋体" w:hAnsi="宋体"/>
          <w:color w:val="auto"/>
          <w:sz w:val="30"/>
          <w:szCs w:val="30"/>
          <w:highlight w:val="none"/>
        </w:rPr>
      </w:pPr>
    </w:p>
    <w:p w14:paraId="047747BE">
      <w:pPr>
        <w:spacing w:line="360" w:lineRule="auto"/>
        <w:jc w:val="left"/>
        <w:rPr>
          <w:rFonts w:hint="eastAsia" w:ascii="宋体" w:hAnsi="宋体"/>
          <w:b/>
          <w:bCs/>
          <w:color w:val="auto"/>
          <w:sz w:val="28"/>
          <w:szCs w:val="32"/>
          <w:highlight w:val="none"/>
        </w:rPr>
      </w:pPr>
      <w:r>
        <w:rPr>
          <w:rFonts w:ascii="宋体" w:hAnsi="宋体"/>
          <w:b/>
          <w:bCs/>
          <w:color w:val="auto"/>
          <w:sz w:val="28"/>
          <w:szCs w:val="32"/>
          <w:highlight w:val="none"/>
        </w:rPr>
        <w:t>遴选方式：</w:t>
      </w:r>
      <w:r>
        <w:rPr>
          <w:rFonts w:hint="eastAsia" w:ascii="宋体" w:hAnsi="宋体"/>
          <w:b/>
          <w:bCs/>
          <w:color w:val="auto"/>
          <w:sz w:val="28"/>
          <w:szCs w:val="32"/>
          <w:highlight w:val="none"/>
        </w:rPr>
        <w:t>综合评分</w:t>
      </w:r>
    </w:p>
    <w:p w14:paraId="2D1D4E4A">
      <w:pPr>
        <w:spacing w:line="360" w:lineRule="auto"/>
        <w:ind w:left="1405" w:hanging="1405" w:hangingChars="500"/>
        <w:jc w:val="both"/>
        <w:rPr>
          <w:rFonts w:hint="default" w:ascii="宋体" w:hAnsi="宋体" w:eastAsia="宋体"/>
          <w:color w:val="auto"/>
          <w:sz w:val="30"/>
          <w:szCs w:val="30"/>
          <w:highlight w:val="none"/>
          <w:lang w:val="en-US" w:eastAsia="zh-CN"/>
        </w:rPr>
      </w:pPr>
      <w:r>
        <w:rPr>
          <w:rFonts w:ascii="宋体" w:hAnsi="宋体"/>
          <w:b/>
          <w:bCs/>
          <w:color w:val="auto"/>
          <w:sz w:val="28"/>
          <w:szCs w:val="32"/>
          <w:highlight w:val="none"/>
        </w:rPr>
        <w:t>项目</w:t>
      </w:r>
      <w:r>
        <w:rPr>
          <w:rFonts w:hint="eastAsia" w:ascii="宋体" w:hAnsi="宋体"/>
          <w:b/>
          <w:bCs/>
          <w:color w:val="auto"/>
          <w:sz w:val="28"/>
          <w:szCs w:val="32"/>
          <w:highlight w:val="none"/>
        </w:rPr>
        <w:t>名称</w:t>
      </w:r>
      <w:r>
        <w:rPr>
          <w:rFonts w:ascii="宋体" w:hAnsi="宋体"/>
          <w:b/>
          <w:bCs/>
          <w:color w:val="auto"/>
          <w:sz w:val="28"/>
          <w:szCs w:val="32"/>
          <w:highlight w:val="none"/>
        </w:rPr>
        <w:t>：</w:t>
      </w:r>
      <w:r>
        <w:rPr>
          <w:rFonts w:hint="eastAsia" w:ascii="宋体" w:hAnsi="宋体"/>
          <w:b/>
          <w:bCs/>
          <w:color w:val="auto"/>
          <w:sz w:val="28"/>
          <w:szCs w:val="32"/>
          <w:highlight w:val="none"/>
        </w:rPr>
        <w:t>广州市机电技师学院2025年智慧校园管理平台优化服务</w:t>
      </w:r>
      <w:bookmarkStart w:id="82" w:name="_GoBack"/>
      <w:bookmarkEnd w:id="82"/>
      <w:r>
        <w:rPr>
          <w:rFonts w:hint="eastAsia" w:ascii="宋体" w:hAnsi="宋体"/>
          <w:b/>
          <w:bCs/>
          <w:color w:val="auto"/>
          <w:sz w:val="28"/>
          <w:szCs w:val="32"/>
          <w:highlight w:val="none"/>
        </w:rPr>
        <w:t>项目</w:t>
      </w:r>
      <w:r>
        <w:rPr>
          <w:rFonts w:hint="eastAsia" w:ascii="宋体" w:hAnsi="宋体"/>
          <w:b/>
          <w:bCs/>
          <w:color w:val="auto"/>
          <w:sz w:val="28"/>
          <w:szCs w:val="32"/>
          <w:highlight w:val="none"/>
          <w:lang w:val="en-US" w:eastAsia="zh-CN"/>
        </w:rPr>
        <w:t>遴选（第二次）</w:t>
      </w:r>
    </w:p>
    <w:p w14:paraId="5E4B9B12">
      <w:pPr>
        <w:spacing w:line="360" w:lineRule="auto"/>
        <w:jc w:val="center"/>
        <w:rPr>
          <w:rFonts w:hint="eastAsia" w:ascii="宋体" w:hAnsi="宋体"/>
          <w:color w:val="auto"/>
          <w:sz w:val="30"/>
          <w:szCs w:val="30"/>
          <w:highlight w:val="none"/>
        </w:rPr>
      </w:pPr>
    </w:p>
    <w:p w14:paraId="30929F9C">
      <w:pPr>
        <w:spacing w:line="360" w:lineRule="auto"/>
        <w:jc w:val="center"/>
        <w:rPr>
          <w:rFonts w:hint="eastAsia" w:ascii="宋体" w:hAnsi="宋体"/>
          <w:color w:val="auto"/>
          <w:sz w:val="30"/>
          <w:szCs w:val="30"/>
          <w:highlight w:val="none"/>
        </w:rPr>
      </w:pPr>
    </w:p>
    <w:p w14:paraId="3E0CA5D7">
      <w:pPr>
        <w:spacing w:line="360" w:lineRule="auto"/>
        <w:jc w:val="center"/>
        <w:rPr>
          <w:rFonts w:hint="eastAsia" w:ascii="宋体" w:hAnsi="宋体"/>
          <w:color w:val="auto"/>
          <w:sz w:val="30"/>
          <w:szCs w:val="30"/>
          <w:highlight w:val="none"/>
        </w:rPr>
      </w:pPr>
    </w:p>
    <w:p w14:paraId="23F870DB">
      <w:pPr>
        <w:autoSpaceDE w:val="0"/>
        <w:autoSpaceDN w:val="0"/>
        <w:adjustRightInd w:val="0"/>
        <w:snapToGrid w:val="0"/>
        <w:spacing w:line="360" w:lineRule="auto"/>
        <w:jc w:val="center"/>
        <w:rPr>
          <w:rFonts w:hint="eastAsia" w:ascii="宋体" w:hAnsi="宋体"/>
          <w:b/>
          <w:bCs/>
          <w:color w:val="auto"/>
          <w:sz w:val="28"/>
          <w:szCs w:val="32"/>
          <w:highlight w:val="none"/>
        </w:rPr>
      </w:pPr>
      <w:r>
        <w:rPr>
          <w:rFonts w:hint="eastAsia" w:ascii="宋体" w:hAnsi="宋体"/>
          <w:b/>
          <w:bCs/>
          <w:color w:val="auto"/>
          <w:sz w:val="28"/>
          <w:szCs w:val="32"/>
          <w:highlight w:val="none"/>
        </w:rPr>
        <w:t>广州市机电技师学院</w:t>
      </w:r>
    </w:p>
    <w:p w14:paraId="69CFBDCD">
      <w:pPr>
        <w:autoSpaceDE w:val="0"/>
        <w:autoSpaceDN w:val="0"/>
        <w:adjustRightInd w:val="0"/>
        <w:snapToGrid w:val="0"/>
        <w:spacing w:line="360" w:lineRule="auto"/>
        <w:jc w:val="center"/>
        <w:rPr>
          <w:rFonts w:hint="eastAsia" w:ascii="宋体" w:hAnsi="宋体"/>
          <w:b/>
          <w:color w:val="auto"/>
          <w:sz w:val="28"/>
          <w:highlight w:val="none"/>
        </w:rPr>
      </w:pPr>
      <w:bookmarkStart w:id="0" w:name="_Hlk184223160"/>
      <w:r>
        <w:rPr>
          <w:rFonts w:ascii="宋体" w:hAnsi="宋体"/>
          <w:b/>
          <w:color w:val="auto"/>
          <w:sz w:val="28"/>
          <w:highlight w:val="none"/>
        </w:rPr>
        <w:t>云采链（广州）信息科技有限公司</w:t>
      </w:r>
      <w:bookmarkEnd w:id="0"/>
    </w:p>
    <w:p w14:paraId="3947E3F0">
      <w:pPr>
        <w:autoSpaceDE w:val="0"/>
        <w:autoSpaceDN w:val="0"/>
        <w:adjustRightInd w:val="0"/>
        <w:snapToGrid w:val="0"/>
        <w:spacing w:line="360" w:lineRule="auto"/>
        <w:jc w:val="center"/>
        <w:rPr>
          <w:rFonts w:hint="eastAsia" w:ascii="宋体" w:hAnsi="宋体"/>
          <w:b/>
          <w:color w:val="auto"/>
          <w:sz w:val="28"/>
          <w:highlight w:val="none"/>
        </w:rPr>
      </w:pPr>
      <w:r>
        <w:rPr>
          <w:rFonts w:hint="eastAsia" w:ascii="宋体" w:hAnsi="宋体"/>
          <w:b/>
          <w:color w:val="auto"/>
          <w:sz w:val="28"/>
          <w:highlight w:val="none"/>
        </w:rPr>
        <w:t>二零二五年</w:t>
      </w:r>
      <w:r>
        <w:rPr>
          <w:rFonts w:hint="eastAsia" w:ascii="宋体" w:hAnsi="宋体"/>
          <w:b/>
          <w:color w:val="auto"/>
          <w:sz w:val="28"/>
          <w:highlight w:val="none"/>
          <w:lang w:val="en-US" w:eastAsia="zh-CN"/>
        </w:rPr>
        <w:t>十</w:t>
      </w:r>
      <w:r>
        <w:rPr>
          <w:rFonts w:ascii="宋体" w:hAnsi="宋体"/>
          <w:b/>
          <w:color w:val="auto"/>
          <w:sz w:val="28"/>
          <w:highlight w:val="none"/>
        </w:rPr>
        <w:t>月</w:t>
      </w:r>
    </w:p>
    <w:p w14:paraId="71D1EFB9">
      <w:pPr>
        <w:autoSpaceDE w:val="0"/>
        <w:autoSpaceDN w:val="0"/>
        <w:adjustRightInd w:val="0"/>
        <w:snapToGrid w:val="0"/>
        <w:spacing w:line="360" w:lineRule="auto"/>
        <w:ind w:left="420" w:firstLine="420"/>
        <w:jc w:val="center"/>
        <w:rPr>
          <w:rFonts w:hint="eastAsia" w:ascii="宋体" w:hAnsi="宋体"/>
          <w:color w:val="auto"/>
          <w:sz w:val="28"/>
          <w:highlight w:val="none"/>
        </w:rPr>
      </w:pPr>
    </w:p>
    <w:p w14:paraId="0177956B">
      <w:pPr>
        <w:autoSpaceDE w:val="0"/>
        <w:autoSpaceDN w:val="0"/>
        <w:adjustRightInd w:val="0"/>
        <w:snapToGrid w:val="0"/>
        <w:spacing w:line="360" w:lineRule="auto"/>
        <w:ind w:left="420" w:firstLine="420"/>
        <w:jc w:val="center"/>
        <w:rPr>
          <w:rFonts w:hint="eastAsia" w:ascii="宋体" w:hAnsi="宋体"/>
          <w:b/>
          <w:bCs/>
          <w:color w:val="auto"/>
          <w:sz w:val="28"/>
          <w:szCs w:val="32"/>
          <w:highlight w:val="none"/>
        </w:rPr>
        <w:sectPr>
          <w:headerReference r:id="rId3" w:type="default"/>
          <w:pgSz w:w="11906" w:h="16838"/>
          <w:pgMar w:top="1440" w:right="1800" w:bottom="1440" w:left="1800" w:header="851" w:footer="992" w:gutter="0"/>
          <w:cols w:space="720" w:num="1"/>
          <w:docGrid w:type="lines" w:linePitch="312" w:charSpace="0"/>
        </w:sectPr>
      </w:pPr>
    </w:p>
    <w:p w14:paraId="0A9D9E04">
      <w:pPr>
        <w:pStyle w:val="31"/>
        <w:spacing w:before="0" w:after="0"/>
        <w:rPr>
          <w:rFonts w:hint="eastAsia" w:ascii="宋体" w:hAnsi="宋体" w:eastAsia="宋体"/>
          <w:color w:val="auto"/>
          <w:highlight w:val="none"/>
          <w:lang w:eastAsia="zh-CN"/>
        </w:rPr>
      </w:pPr>
      <w:r>
        <w:rPr>
          <w:rFonts w:hint="eastAsia" w:ascii="宋体" w:hAnsi="宋体"/>
          <w:color w:val="auto"/>
          <w:highlight w:val="none"/>
        </w:rPr>
        <w:t>第一章 遴选须知</w:t>
      </w:r>
      <w:r>
        <w:rPr>
          <w:rFonts w:hint="eastAsia" w:ascii="宋体" w:hAnsi="宋体"/>
          <w:color w:val="auto"/>
          <w:highlight w:val="none"/>
          <w:lang w:eastAsia="zh-CN"/>
        </w:rPr>
        <w:t>（</w:t>
      </w:r>
      <w:r>
        <w:rPr>
          <w:rFonts w:hint="eastAsia" w:ascii="宋体" w:hAnsi="宋体"/>
          <w:color w:val="auto"/>
          <w:highlight w:val="none"/>
          <w:lang w:val="en-US" w:eastAsia="zh-CN"/>
        </w:rPr>
        <w:t>适用于各包组</w:t>
      </w:r>
      <w:r>
        <w:rPr>
          <w:rFonts w:hint="eastAsia" w:ascii="宋体" w:hAnsi="宋体"/>
          <w:color w:val="auto"/>
          <w:highlight w:val="none"/>
          <w:lang w:eastAsia="zh-CN"/>
        </w:rPr>
        <w:t>）</w:t>
      </w:r>
    </w:p>
    <w:p w14:paraId="02ED51D0">
      <w:pPr>
        <w:numPr>
          <w:ilvl w:val="0"/>
          <w:numId w:val="4"/>
        </w:numPr>
        <w:spacing w:line="360" w:lineRule="auto"/>
        <w:rPr>
          <w:rFonts w:hint="eastAsia" w:ascii="宋体" w:hAnsi="宋体" w:cs="Times New Roman"/>
          <w:color w:val="auto"/>
          <w:highlight w:val="none"/>
        </w:rPr>
      </w:pPr>
      <w:r>
        <w:rPr>
          <w:rFonts w:hint="eastAsia" w:ascii="宋体" w:hAnsi="宋体" w:cs="Times New Roman"/>
          <w:color w:val="auto"/>
          <w:szCs w:val="21"/>
          <w:highlight w:val="none"/>
        </w:rPr>
        <w:t>本项目通过云采链线上采购一体化平台</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https://www.choicelink.cn/</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发布遴选，参选人必须登录平台进行注册，注册成功后方可参与项目。</w:t>
      </w:r>
    </w:p>
    <w:p w14:paraId="6A8ED1A1">
      <w:pPr>
        <w:numPr>
          <w:ilvl w:val="0"/>
          <w:numId w:val="4"/>
        </w:numPr>
        <w:spacing w:line="360" w:lineRule="auto"/>
        <w:rPr>
          <w:rFonts w:hint="eastAsia" w:ascii="宋体" w:hAnsi="宋体" w:cs="Times New Roman"/>
          <w:color w:val="auto"/>
          <w:highlight w:val="none"/>
        </w:rPr>
      </w:pPr>
      <w:r>
        <w:rPr>
          <w:rFonts w:ascii="宋体" w:hAnsi="宋体" w:cs="Times New Roman"/>
          <w:color w:val="auto"/>
          <w:highlight w:val="none"/>
        </w:rPr>
        <w:t>语言要求</w:t>
      </w:r>
    </w:p>
    <w:p w14:paraId="0DA9251D">
      <w:pPr>
        <w:spacing w:line="360" w:lineRule="auto"/>
        <w:ind w:left="420" w:leftChars="200"/>
        <w:rPr>
          <w:rFonts w:hint="eastAsia" w:ascii="宋体" w:hAnsi="宋体" w:cs="Times New Roman"/>
          <w:color w:val="auto"/>
          <w:highlight w:val="none"/>
        </w:rPr>
      </w:pPr>
      <w:r>
        <w:rPr>
          <w:rFonts w:ascii="宋体" w:hAnsi="宋体" w:cs="Times New Roman"/>
          <w:color w:val="auto"/>
          <w:highlight w:val="none"/>
        </w:rPr>
        <w:t>参选人提交的参选文件以及参选人与遴选单位或平台就有关项目的所有来往函电均应使用中文书写。参选人提交的文件或资料可以用另一种语言，但相应内容应附有中文翻译本，由翻译机构盖章或者翻译人员签名。两种语言不一致时以中文翻译本为准。</w:t>
      </w:r>
    </w:p>
    <w:p w14:paraId="28D0AA5E">
      <w:pPr>
        <w:numPr>
          <w:ilvl w:val="0"/>
          <w:numId w:val="4"/>
        </w:numPr>
        <w:spacing w:line="360" w:lineRule="auto"/>
        <w:rPr>
          <w:rFonts w:hint="eastAsia" w:ascii="宋体" w:hAnsi="宋体" w:cs="Times New Roman"/>
          <w:b/>
          <w:bCs/>
          <w:color w:val="auto"/>
          <w:highlight w:val="none"/>
        </w:rPr>
      </w:pPr>
      <w:r>
        <w:rPr>
          <w:rFonts w:hint="eastAsia" w:ascii="宋体" w:hAnsi="宋体" w:cs="Times New Roman"/>
          <w:b/>
          <w:bCs/>
          <w:color w:val="auto"/>
          <w:szCs w:val="21"/>
          <w:highlight w:val="none"/>
        </w:rPr>
        <w:t>在云采链平台参与项目响应后放弃候选资格超过三次（含三次）的参选人连同该参选人同一法人名下所有公司将被列入平台黑名单，永久不得参与平台的项目。</w:t>
      </w:r>
    </w:p>
    <w:p w14:paraId="7FEF13C9">
      <w:pPr>
        <w:numPr>
          <w:ilvl w:val="0"/>
          <w:numId w:val="4"/>
        </w:numPr>
        <w:spacing w:line="360" w:lineRule="auto"/>
        <w:rPr>
          <w:rFonts w:hint="eastAsia" w:ascii="宋体" w:hAnsi="宋体" w:cs="Times New Roman"/>
          <w:b/>
          <w:bCs/>
          <w:color w:val="auto"/>
          <w:highlight w:val="none"/>
        </w:rPr>
      </w:pPr>
      <w:r>
        <w:rPr>
          <w:rFonts w:hint="eastAsia" w:ascii="宋体" w:hAnsi="宋体" w:cs="Times New Roman"/>
          <w:b/>
          <w:bCs/>
          <w:color w:val="auto"/>
          <w:highlight w:val="none"/>
        </w:rPr>
        <w:t>遴选须知</w:t>
      </w:r>
    </w:p>
    <w:p w14:paraId="498852C2">
      <w:pPr>
        <w:numPr>
          <w:ilvl w:val="0"/>
          <w:numId w:val="5"/>
        </w:numPr>
        <w:spacing w:line="360" w:lineRule="auto"/>
        <w:rPr>
          <w:rFonts w:hint="eastAsia" w:ascii="宋体" w:hAnsi="宋体" w:cs="Times New Roman"/>
          <w:b/>
          <w:bCs/>
          <w:color w:val="auto"/>
          <w:highlight w:val="none"/>
        </w:rPr>
      </w:pPr>
      <w:r>
        <w:rPr>
          <w:rFonts w:hint="eastAsia" w:ascii="宋体" w:hAnsi="宋体" w:cs="Times New Roman"/>
          <w:b/>
          <w:bCs/>
          <w:color w:val="auto"/>
          <w:highlight w:val="none"/>
        </w:rPr>
        <w:t>遴选说明</w:t>
      </w:r>
    </w:p>
    <w:p w14:paraId="5891CB64">
      <w:pPr>
        <w:numPr>
          <w:ilvl w:val="0"/>
          <w:numId w:val="6"/>
        </w:numPr>
        <w:tabs>
          <w:tab w:val="left" w:pos="851"/>
        </w:tabs>
        <w:spacing w:line="360" w:lineRule="auto"/>
        <w:ind w:left="420" w:firstLine="0"/>
        <w:jc w:val="left"/>
        <w:rPr>
          <w:rFonts w:hint="eastAsia" w:ascii="宋体" w:hAnsi="宋体" w:cs="Times New Roman"/>
          <w:color w:val="auto"/>
          <w:highlight w:val="none"/>
        </w:rPr>
      </w:pPr>
      <w:r>
        <w:rPr>
          <w:rFonts w:hint="eastAsia" w:ascii="宋体" w:hAnsi="宋体" w:cs="Times New Roman"/>
          <w:color w:val="auto"/>
          <w:szCs w:val="21"/>
          <w:highlight w:val="none"/>
        </w:rPr>
        <w:t>参与遴选的参选人应承担所有与准备和参加项目有关的费用</w:t>
      </w:r>
      <w:r>
        <w:rPr>
          <w:rFonts w:hint="eastAsia" w:ascii="宋体" w:hAnsi="宋体" w:cs="宋体"/>
          <w:color w:val="auto"/>
          <w:szCs w:val="21"/>
          <w:highlight w:val="none"/>
        </w:rPr>
        <w:t>，不论遴选的结果如何，遴选单位和平台服务方均无义务和责任承担这些费用。</w:t>
      </w:r>
    </w:p>
    <w:p w14:paraId="4DF71A39">
      <w:pPr>
        <w:numPr>
          <w:ilvl w:val="0"/>
          <w:numId w:val="6"/>
        </w:numPr>
        <w:spacing w:line="360" w:lineRule="auto"/>
        <w:ind w:left="420" w:firstLine="0"/>
        <w:jc w:val="left"/>
        <w:rPr>
          <w:rFonts w:hint="eastAsia" w:ascii="宋体" w:hAnsi="宋体" w:cs="Times New Roman"/>
          <w:color w:val="auto"/>
          <w:highlight w:val="none"/>
        </w:rPr>
      </w:pPr>
      <w:r>
        <w:rPr>
          <w:rFonts w:hint="eastAsia" w:ascii="宋体" w:hAnsi="宋体" w:cs="Times New Roman"/>
          <w:color w:val="auto"/>
          <w:szCs w:val="21"/>
          <w:highlight w:val="none"/>
        </w:rPr>
        <w:t>参与遴选的</w:t>
      </w:r>
      <w:r>
        <w:rPr>
          <w:rFonts w:hint="eastAsia" w:ascii="宋体" w:hAnsi="宋体" w:cs="Times New Roman"/>
          <w:bCs/>
          <w:color w:val="auto"/>
          <w:szCs w:val="21"/>
          <w:highlight w:val="none"/>
        </w:rPr>
        <w:t>参选人必须按</w:t>
      </w:r>
      <w:r>
        <w:rPr>
          <w:rFonts w:hint="eastAsia" w:ascii="宋体" w:hAnsi="宋体" w:cs="Times New Roman"/>
          <w:color w:val="auto"/>
          <w:szCs w:val="21"/>
          <w:highlight w:val="none"/>
        </w:rPr>
        <w:t>遴选</w:t>
      </w:r>
      <w:r>
        <w:rPr>
          <w:rFonts w:hint="eastAsia" w:ascii="宋体" w:hAnsi="宋体" w:cs="Times New Roman"/>
          <w:bCs/>
          <w:color w:val="auto"/>
          <w:szCs w:val="21"/>
          <w:highlight w:val="none"/>
        </w:rPr>
        <w:t>附件的格式填写，不得随意增加或删除表格内容。除单价、金额或项目要求填写的内容外，不得擅自改动</w:t>
      </w:r>
      <w:r>
        <w:rPr>
          <w:rFonts w:hint="eastAsia" w:ascii="宋体" w:hAnsi="宋体" w:cs="Times New Roman"/>
          <w:color w:val="auto"/>
          <w:szCs w:val="21"/>
          <w:highlight w:val="none"/>
        </w:rPr>
        <w:t>遴选</w:t>
      </w:r>
      <w:r>
        <w:rPr>
          <w:rFonts w:hint="eastAsia" w:ascii="宋体" w:hAnsi="宋体" w:cs="Times New Roman"/>
          <w:bCs/>
          <w:color w:val="auto"/>
          <w:szCs w:val="21"/>
          <w:highlight w:val="none"/>
        </w:rPr>
        <w:t>附件内容，否则将有可能影响遴选结果，不推荐为候选人。</w:t>
      </w:r>
    </w:p>
    <w:p w14:paraId="67C3892F">
      <w:pPr>
        <w:numPr>
          <w:ilvl w:val="0"/>
          <w:numId w:val="6"/>
        </w:numPr>
        <w:spacing w:line="360" w:lineRule="auto"/>
        <w:ind w:left="420" w:firstLine="0"/>
        <w:jc w:val="left"/>
        <w:rPr>
          <w:rFonts w:hint="eastAsia" w:ascii="宋体" w:hAnsi="宋体" w:cs="Times New Roman"/>
          <w:color w:val="auto"/>
          <w:highlight w:val="none"/>
        </w:rPr>
      </w:pPr>
      <w:r>
        <w:rPr>
          <w:rFonts w:hint="eastAsia" w:ascii="宋体" w:hAnsi="宋体" w:cs="Times New Roman"/>
          <w:color w:val="auto"/>
          <w:szCs w:val="21"/>
          <w:highlight w:val="none"/>
        </w:rPr>
        <w:t>参与遴选的</w:t>
      </w:r>
      <w:r>
        <w:rPr>
          <w:rFonts w:hint="eastAsia" w:ascii="宋体" w:hAnsi="宋体" w:cs="Times New Roman"/>
          <w:color w:val="auto"/>
          <w:szCs w:val="21"/>
          <w:highlight w:val="none"/>
          <w:lang w:val="zh-CN"/>
        </w:rPr>
        <w:t>参选人需对用户需求书的所有条款进行整体响应。</w:t>
      </w:r>
    </w:p>
    <w:p w14:paraId="47D75759">
      <w:pPr>
        <w:numPr>
          <w:ilvl w:val="0"/>
          <w:numId w:val="6"/>
        </w:numPr>
        <w:spacing w:line="360" w:lineRule="auto"/>
        <w:ind w:left="420" w:firstLine="0"/>
        <w:jc w:val="left"/>
        <w:rPr>
          <w:rFonts w:hint="eastAsia" w:ascii="宋体" w:hAnsi="宋体" w:cs="Times New Roman"/>
          <w:color w:val="auto"/>
          <w:highlight w:val="none"/>
        </w:rPr>
      </w:pPr>
      <w:r>
        <w:rPr>
          <w:rFonts w:hint="eastAsia" w:ascii="宋体" w:hAnsi="宋体" w:cs="Times New Roman"/>
          <w:color w:val="auto"/>
          <w:szCs w:val="21"/>
          <w:highlight w:val="none"/>
        </w:rPr>
        <w:t>若候选人自身原因无法完成本项目，则遴选单位有权利保留追究责任。</w:t>
      </w:r>
    </w:p>
    <w:p w14:paraId="63124E48">
      <w:pPr>
        <w:numPr>
          <w:ilvl w:val="0"/>
          <w:numId w:val="6"/>
        </w:numPr>
        <w:spacing w:line="360" w:lineRule="auto"/>
        <w:ind w:left="420" w:firstLine="0"/>
        <w:jc w:val="left"/>
        <w:rPr>
          <w:rFonts w:hint="eastAsia" w:ascii="宋体" w:hAnsi="宋体" w:cs="Times New Roman"/>
          <w:color w:val="auto"/>
          <w:highlight w:val="none"/>
        </w:rPr>
      </w:pPr>
      <w:r>
        <w:rPr>
          <w:rFonts w:hint="eastAsia" w:ascii="宋体" w:hAnsi="宋体" w:cs="Times New Roman"/>
          <w:color w:val="auto"/>
          <w:highlight w:val="none"/>
        </w:rPr>
        <w:t>候选人因自身原因被取消候选资格，遴选单位可按</w:t>
      </w:r>
      <w:r>
        <w:rPr>
          <w:rFonts w:hint="eastAsia" w:ascii="宋体" w:hAnsi="宋体" w:cs="Times New Roman"/>
          <w:color w:val="auto"/>
          <w:szCs w:val="21"/>
          <w:highlight w:val="none"/>
        </w:rPr>
        <w:t>遴选</w:t>
      </w:r>
      <w:r>
        <w:rPr>
          <w:rFonts w:hint="eastAsia" w:ascii="宋体" w:hAnsi="宋体" w:cs="Times New Roman"/>
          <w:color w:val="auto"/>
          <w:highlight w:val="none"/>
        </w:rPr>
        <w:t>公告规定顺延推选符合要求的参选人作为候选人。</w:t>
      </w:r>
    </w:p>
    <w:p w14:paraId="15241399">
      <w:pPr>
        <w:numPr>
          <w:ilvl w:val="0"/>
          <w:numId w:val="6"/>
        </w:numPr>
        <w:spacing w:line="360" w:lineRule="auto"/>
        <w:ind w:left="420" w:firstLine="0"/>
        <w:jc w:val="left"/>
        <w:rPr>
          <w:rFonts w:hint="eastAsia" w:ascii="宋体" w:hAnsi="宋体" w:cs="Times New Roman"/>
          <w:color w:val="auto"/>
          <w:highlight w:val="none"/>
        </w:rPr>
      </w:pPr>
      <w:r>
        <w:rPr>
          <w:rFonts w:hint="eastAsia" w:ascii="宋体" w:hAnsi="宋体" w:cs="Times New Roman"/>
          <w:color w:val="auto"/>
          <w:highlight w:val="none"/>
        </w:rPr>
        <w:t>若本项目</w:t>
      </w:r>
      <w:r>
        <w:rPr>
          <w:rFonts w:hint="eastAsia" w:ascii="宋体" w:hAnsi="宋体" w:cs="Times New Roman"/>
          <w:color w:val="auto"/>
          <w:szCs w:val="21"/>
          <w:highlight w:val="none"/>
        </w:rPr>
        <w:t>遴选</w:t>
      </w:r>
      <w:r>
        <w:rPr>
          <w:rFonts w:hint="eastAsia" w:ascii="宋体" w:hAnsi="宋体" w:cs="Times New Roman"/>
          <w:color w:val="auto"/>
          <w:highlight w:val="none"/>
        </w:rPr>
        <w:t>失败，遴选单位将重新遴选，届时遴选单位有权根据项目具体情况，决定重新遴选项目的遴选方式。</w:t>
      </w:r>
    </w:p>
    <w:p w14:paraId="444B1425">
      <w:pPr>
        <w:numPr>
          <w:ilvl w:val="0"/>
          <w:numId w:val="6"/>
        </w:numPr>
        <w:spacing w:line="360" w:lineRule="auto"/>
        <w:ind w:left="420" w:firstLine="0"/>
        <w:jc w:val="left"/>
        <w:rPr>
          <w:rFonts w:hint="eastAsia" w:ascii="宋体" w:hAnsi="宋体" w:cs="Times New Roman"/>
          <w:color w:val="auto"/>
          <w:highlight w:val="none"/>
        </w:rPr>
      </w:pPr>
      <w:r>
        <w:rPr>
          <w:rFonts w:hint="eastAsia" w:ascii="宋体" w:hAnsi="宋体" w:cs="Times New Roman"/>
          <w:color w:val="auto"/>
          <w:highlight w:val="none"/>
        </w:rPr>
        <w:t>候选人若无正当理由恶意放弃候选资格，遴选单位有权拒绝其参加本项目重新组织的</w:t>
      </w:r>
      <w:r>
        <w:rPr>
          <w:rFonts w:hint="eastAsia" w:ascii="宋体" w:hAnsi="宋体" w:cs="Times New Roman"/>
          <w:color w:val="auto"/>
          <w:szCs w:val="21"/>
          <w:highlight w:val="none"/>
        </w:rPr>
        <w:t>遴选</w:t>
      </w:r>
      <w:r>
        <w:rPr>
          <w:rFonts w:hint="eastAsia" w:ascii="宋体" w:hAnsi="宋体" w:cs="Times New Roman"/>
          <w:color w:val="auto"/>
          <w:highlight w:val="none"/>
        </w:rPr>
        <w:t>活动。</w:t>
      </w:r>
    </w:p>
    <w:p w14:paraId="673F60D2">
      <w:pPr>
        <w:numPr>
          <w:ilvl w:val="0"/>
          <w:numId w:val="6"/>
        </w:numPr>
        <w:spacing w:line="360" w:lineRule="auto"/>
        <w:ind w:left="420" w:firstLine="0"/>
        <w:jc w:val="left"/>
        <w:rPr>
          <w:rFonts w:hint="eastAsia" w:ascii="宋体" w:hAnsi="宋体" w:cs="Times New Roman"/>
          <w:color w:val="auto"/>
          <w:highlight w:val="none"/>
        </w:rPr>
      </w:pPr>
      <w:r>
        <w:rPr>
          <w:rFonts w:hint="eastAsia" w:ascii="宋体" w:hAnsi="宋体" w:cs="Times New Roman"/>
          <w:color w:val="auto"/>
          <w:highlight w:val="none"/>
        </w:rPr>
        <w:t>如遴选单位或平台服务方在审核或复核</w:t>
      </w:r>
      <w:r>
        <w:rPr>
          <w:rFonts w:hint="eastAsia" w:ascii="宋体" w:hAnsi="宋体" w:cs="Times New Roman"/>
          <w:color w:val="auto"/>
          <w:szCs w:val="21"/>
          <w:highlight w:val="none"/>
        </w:rPr>
        <w:t>参与遴选的</w:t>
      </w:r>
      <w:r>
        <w:rPr>
          <w:rFonts w:hint="eastAsia" w:ascii="宋体" w:hAnsi="宋体" w:cs="Times New Roman"/>
          <w:color w:val="auto"/>
          <w:highlight w:val="none"/>
        </w:rPr>
        <w:t>参选人所提交的</w:t>
      </w:r>
      <w:r>
        <w:rPr>
          <w:rFonts w:hint="eastAsia" w:ascii="宋体" w:hAnsi="宋体" w:cs="Times New Roman"/>
          <w:color w:val="auto"/>
          <w:szCs w:val="21"/>
          <w:highlight w:val="none"/>
        </w:rPr>
        <w:t>遴选</w:t>
      </w:r>
      <w:r>
        <w:rPr>
          <w:rFonts w:hint="eastAsia" w:ascii="宋体" w:hAnsi="宋体" w:cs="Times New Roman"/>
          <w:color w:val="auto"/>
          <w:highlight w:val="none"/>
        </w:rPr>
        <w:t>资料时，参选人须无条件配合；期间若发现存在弄虚作假或相关的失信记录或违反国家法律法规等相关的不良情形，遴选单位可取消其候选资格并保留进一步追究其责任的权力。</w:t>
      </w:r>
    </w:p>
    <w:p w14:paraId="3982947C">
      <w:pPr>
        <w:numPr>
          <w:ilvl w:val="0"/>
          <w:numId w:val="6"/>
        </w:numPr>
        <w:spacing w:line="360" w:lineRule="auto"/>
        <w:ind w:left="420" w:firstLine="0"/>
        <w:jc w:val="left"/>
        <w:rPr>
          <w:rFonts w:hint="eastAsia" w:ascii="宋体" w:hAnsi="宋体" w:cs="Times New Roman"/>
          <w:color w:val="auto"/>
          <w:highlight w:val="none"/>
        </w:rPr>
      </w:pPr>
      <w:r>
        <w:rPr>
          <w:rFonts w:hint="eastAsia" w:ascii="宋体" w:hAnsi="宋体" w:cs="宋体"/>
          <w:color w:val="auto"/>
          <w:szCs w:val="21"/>
          <w:highlight w:val="none"/>
        </w:rPr>
        <w:t>参与遴选的参选人向我司咨询的有关项目事项，一切以遴选文件规定和遴选公告规定以及本公司的书面答复为准，其他一切形式均为个人意见，不代表本公司的意见；</w:t>
      </w:r>
    </w:p>
    <w:p w14:paraId="413994F6">
      <w:pPr>
        <w:numPr>
          <w:ilvl w:val="0"/>
          <w:numId w:val="6"/>
        </w:numPr>
        <w:spacing w:line="360" w:lineRule="auto"/>
        <w:ind w:left="420" w:firstLine="0"/>
        <w:jc w:val="left"/>
        <w:rPr>
          <w:rFonts w:hint="eastAsia" w:ascii="宋体" w:hAnsi="宋体" w:cs="Times New Roman"/>
          <w:color w:val="auto"/>
          <w:highlight w:val="none"/>
        </w:rPr>
      </w:pPr>
      <w:r>
        <w:rPr>
          <w:rFonts w:hint="eastAsia" w:ascii="宋体" w:hAnsi="宋体" w:cs="Times New Roman"/>
          <w:color w:val="auto"/>
          <w:szCs w:val="21"/>
          <w:highlight w:val="none"/>
        </w:rPr>
        <w:t>参与本次遴选的参选人应认真阅读</w:t>
      </w:r>
      <w:r>
        <w:rPr>
          <w:rFonts w:hint="eastAsia" w:ascii="宋体" w:hAnsi="宋体" w:cs="宋体"/>
          <w:color w:val="auto"/>
          <w:szCs w:val="21"/>
          <w:highlight w:val="none"/>
        </w:rPr>
        <w:t>、并充分理解遴选文件的全部内容（包括所有的补充、修改内容重要事项、格式、条款、服务要求和技术规范、参数及要求等）。参选人没有按照遴选文件要求提交全部资料，或者参与项目所上传的文件没有对遴选文件在各方面都作出实质性响应是参选人的风险，有可能导致其参与遴选项目被拒绝，</w:t>
      </w:r>
      <w:r>
        <w:rPr>
          <w:rFonts w:hint="eastAsia" w:ascii="宋体" w:hAnsi="宋体" w:cs="Times New Roman"/>
          <w:color w:val="auto"/>
          <w:szCs w:val="21"/>
          <w:highlight w:val="none"/>
        </w:rPr>
        <w:t>或被认定为无效响应。</w:t>
      </w:r>
    </w:p>
    <w:p w14:paraId="6CB7231E">
      <w:pPr>
        <w:numPr>
          <w:ilvl w:val="0"/>
          <w:numId w:val="6"/>
        </w:numPr>
        <w:spacing w:line="360" w:lineRule="auto"/>
        <w:ind w:left="420" w:firstLine="0"/>
        <w:jc w:val="left"/>
        <w:rPr>
          <w:rFonts w:hint="eastAsia" w:ascii="宋体" w:hAnsi="宋体" w:cs="Times New Roman"/>
          <w:color w:val="auto"/>
          <w:highlight w:val="none"/>
        </w:rPr>
      </w:pPr>
      <w:r>
        <w:rPr>
          <w:rFonts w:hint="eastAsia" w:ascii="宋体" w:hAnsi="宋体" w:cs="Times New Roman"/>
          <w:color w:val="auto"/>
          <w:kern w:val="0"/>
          <w:szCs w:val="21"/>
          <w:highlight w:val="none"/>
        </w:rPr>
        <w:t>遴选单位有权拒绝接受任何不合格的货物或服务，由此产生的费用及相关后果均由候选人自行承担。</w:t>
      </w:r>
    </w:p>
    <w:p w14:paraId="03E8E836">
      <w:pPr>
        <w:numPr>
          <w:ilvl w:val="0"/>
          <w:numId w:val="6"/>
        </w:numPr>
        <w:spacing w:line="360" w:lineRule="auto"/>
        <w:ind w:left="420" w:firstLine="0"/>
        <w:jc w:val="left"/>
        <w:rPr>
          <w:rFonts w:hint="eastAsia" w:ascii="宋体" w:hAnsi="宋体" w:cs="Times New Roman"/>
          <w:color w:val="auto"/>
          <w:highlight w:val="none"/>
        </w:rPr>
      </w:pPr>
      <w:r>
        <w:rPr>
          <w:rFonts w:hint="eastAsia" w:ascii="宋体" w:hAnsi="宋体" w:cs="Times New Roman"/>
          <w:color w:val="auto"/>
          <w:highlight w:val="none"/>
        </w:rPr>
        <w:t>参选人认为遴选结果损害其权益的，应按照云采链平台相关指引在规定的时间内向遴选单位或平台服务方提交书面质疑，不提交的视为无异议，</w:t>
      </w:r>
      <w:r>
        <w:rPr>
          <w:rFonts w:ascii="宋体" w:hAnsi="宋体" w:cs="Times New Roman"/>
          <w:color w:val="auto"/>
          <w:highlight w:val="none"/>
        </w:rPr>
        <w:t>逾期提交将不予受理</w:t>
      </w:r>
      <w:r>
        <w:rPr>
          <w:rFonts w:hint="eastAsia" w:ascii="宋体" w:hAnsi="宋体" w:cs="Times New Roman"/>
          <w:color w:val="auto"/>
          <w:highlight w:val="none"/>
        </w:rPr>
        <w:t>。</w:t>
      </w:r>
    </w:p>
    <w:p w14:paraId="706EE3E6">
      <w:pPr>
        <w:numPr>
          <w:ilvl w:val="0"/>
          <w:numId w:val="6"/>
        </w:numPr>
        <w:spacing w:line="360" w:lineRule="auto"/>
        <w:ind w:left="420" w:firstLine="0"/>
        <w:jc w:val="left"/>
        <w:rPr>
          <w:rFonts w:hint="eastAsia" w:ascii="宋体" w:hAnsi="宋体" w:cs="Times New Roman"/>
          <w:color w:val="auto"/>
          <w:highlight w:val="none"/>
        </w:rPr>
      </w:pPr>
      <w:r>
        <w:rPr>
          <w:rFonts w:hint="eastAsia" w:ascii="宋体" w:hAnsi="宋体" w:cs="Times New Roman"/>
          <w:color w:val="auto"/>
          <w:szCs w:val="21"/>
          <w:highlight w:val="none"/>
        </w:rPr>
        <w:t>本遴选公告和遴选文件的解释权归</w:t>
      </w:r>
      <w:r>
        <w:rPr>
          <w:rFonts w:hint="eastAsia" w:ascii="宋体" w:hAnsi="宋体" w:cs="宋体"/>
          <w:color w:val="auto"/>
          <w:szCs w:val="21"/>
          <w:highlight w:val="none"/>
        </w:rPr>
        <w:t>“</w:t>
      </w:r>
      <w:r>
        <w:rPr>
          <w:rFonts w:hint="eastAsia" w:ascii="宋体" w:hAnsi="宋体" w:cs="Times New Roman"/>
          <w:color w:val="auto"/>
          <w:highlight w:val="none"/>
        </w:rPr>
        <w:t>云采链线上采购一体化平台</w:t>
      </w:r>
      <w:r>
        <w:rPr>
          <w:rFonts w:hint="eastAsia" w:ascii="宋体" w:hAnsi="宋体" w:cs="宋体"/>
          <w:color w:val="auto"/>
          <w:szCs w:val="21"/>
          <w:highlight w:val="none"/>
        </w:rPr>
        <w:t>”所有。</w:t>
      </w:r>
    </w:p>
    <w:p w14:paraId="3B38DE12">
      <w:pPr>
        <w:numPr>
          <w:ilvl w:val="0"/>
          <w:numId w:val="5"/>
        </w:numPr>
        <w:spacing w:line="360" w:lineRule="auto"/>
        <w:rPr>
          <w:rFonts w:hint="eastAsia" w:ascii="宋体" w:hAnsi="宋体" w:cs="Times New Roman"/>
          <w:b/>
          <w:bCs/>
          <w:color w:val="auto"/>
          <w:highlight w:val="none"/>
        </w:rPr>
      </w:pPr>
      <w:r>
        <w:rPr>
          <w:rFonts w:hint="eastAsia" w:ascii="宋体" w:hAnsi="宋体" w:cs="Times New Roman"/>
          <w:b/>
          <w:bCs/>
          <w:color w:val="auto"/>
          <w:highlight w:val="none"/>
        </w:rPr>
        <w:t>遴选文件的澄清或修改</w:t>
      </w:r>
    </w:p>
    <w:p w14:paraId="06CF5A69">
      <w:pPr>
        <w:numPr>
          <w:ilvl w:val="0"/>
          <w:numId w:val="7"/>
        </w:numPr>
        <w:spacing w:line="360" w:lineRule="auto"/>
        <w:ind w:left="420" w:firstLine="0"/>
        <w:rPr>
          <w:rFonts w:hint="eastAsia" w:ascii="宋体" w:hAnsi="宋体" w:cs="Times New Roman"/>
          <w:color w:val="auto"/>
          <w:highlight w:val="none"/>
        </w:rPr>
      </w:pPr>
      <w:r>
        <w:rPr>
          <w:rFonts w:hint="eastAsia" w:ascii="宋体" w:hAnsi="宋体" w:cs="Times New Roman"/>
          <w:color w:val="auto"/>
          <w:highlight w:val="none"/>
        </w:rPr>
        <w:t>遴选单位或者遴选平台服务方可以对已发出的</w:t>
      </w:r>
      <w:r>
        <w:rPr>
          <w:rFonts w:hint="eastAsia" w:ascii="宋体" w:hAnsi="宋体" w:cs="Times New Roman"/>
          <w:color w:val="auto"/>
          <w:szCs w:val="21"/>
          <w:highlight w:val="none"/>
        </w:rPr>
        <w:t>遴选</w:t>
      </w:r>
      <w:r>
        <w:rPr>
          <w:rFonts w:hint="eastAsia" w:ascii="宋体" w:hAnsi="宋体" w:cs="Times New Roman"/>
          <w:color w:val="auto"/>
          <w:highlight w:val="none"/>
        </w:rPr>
        <w:t>文件进行必要的澄清或者修改。澄清或者修改的内容将在云采链平台上发布澄清（更正/变更）公告。</w:t>
      </w:r>
    </w:p>
    <w:p w14:paraId="55A47676">
      <w:pPr>
        <w:numPr>
          <w:ilvl w:val="0"/>
          <w:numId w:val="7"/>
        </w:numPr>
        <w:spacing w:line="360" w:lineRule="auto"/>
        <w:ind w:left="420" w:firstLine="0"/>
        <w:rPr>
          <w:rFonts w:hint="eastAsia" w:ascii="宋体" w:hAnsi="宋体" w:cs="Times New Roman"/>
          <w:color w:val="auto"/>
          <w:highlight w:val="none"/>
        </w:rPr>
      </w:pPr>
      <w:r>
        <w:rPr>
          <w:rFonts w:hint="eastAsia" w:ascii="宋体" w:hAnsi="宋体" w:cs="Times New Roman"/>
          <w:color w:val="auto"/>
          <w:highlight w:val="none"/>
        </w:rPr>
        <w:t>无论澄清或者修改的内容是否影响</w:t>
      </w:r>
      <w:r>
        <w:rPr>
          <w:rFonts w:hint="eastAsia" w:ascii="宋体" w:hAnsi="宋体" w:cs="Times New Roman"/>
          <w:color w:val="auto"/>
          <w:szCs w:val="21"/>
          <w:highlight w:val="none"/>
        </w:rPr>
        <w:t>遴选</w:t>
      </w:r>
      <w:r>
        <w:rPr>
          <w:rFonts w:hint="eastAsia" w:ascii="宋体" w:hAnsi="宋体" w:cs="Times New Roman"/>
          <w:color w:val="auto"/>
          <w:highlight w:val="none"/>
        </w:rPr>
        <w:t>，平台将以短信形式通知所有的报名参选人；报名参选人应按要求履行相应的义务；</w:t>
      </w:r>
      <w:r>
        <w:rPr>
          <w:rFonts w:hint="eastAsia" w:ascii="宋体" w:hAnsi="宋体" w:cs="宋体"/>
          <w:color w:val="auto"/>
          <w:szCs w:val="21"/>
          <w:highlight w:val="none"/>
        </w:rPr>
        <w:t>如报名截止时间少于一个工作日的，</w:t>
      </w:r>
      <w:r>
        <w:rPr>
          <w:rFonts w:hint="eastAsia" w:ascii="宋体" w:hAnsi="宋体" w:cs="Times New Roman"/>
          <w:color w:val="auto"/>
          <w:highlight w:val="none"/>
        </w:rPr>
        <w:t>遴选单位或者遴选平台服务方应当相应顺延报名的截止时间。</w:t>
      </w:r>
    </w:p>
    <w:p w14:paraId="601C6BA8">
      <w:pPr>
        <w:numPr>
          <w:ilvl w:val="0"/>
          <w:numId w:val="7"/>
        </w:numPr>
        <w:spacing w:line="360" w:lineRule="auto"/>
        <w:ind w:left="420" w:firstLine="0"/>
        <w:rPr>
          <w:rFonts w:hint="eastAsia" w:ascii="宋体" w:hAnsi="宋体" w:cs="Times New Roman"/>
          <w:color w:val="auto"/>
          <w:highlight w:val="none"/>
        </w:rPr>
      </w:pPr>
      <w:r>
        <w:rPr>
          <w:rFonts w:hint="eastAsia" w:ascii="宋体" w:hAnsi="宋体" w:cs="Times New Roman"/>
          <w:color w:val="auto"/>
          <w:highlight w:val="none"/>
        </w:rPr>
        <w:t>遴选单位或者遴选平台服务方发出的澄清或修改（更正/变更）的内容为</w:t>
      </w:r>
      <w:r>
        <w:rPr>
          <w:rFonts w:hint="eastAsia" w:ascii="宋体" w:hAnsi="宋体" w:cs="Times New Roman"/>
          <w:color w:val="auto"/>
          <w:szCs w:val="21"/>
          <w:highlight w:val="none"/>
        </w:rPr>
        <w:t>遴选</w:t>
      </w:r>
      <w:r>
        <w:rPr>
          <w:rFonts w:hint="eastAsia" w:ascii="宋体" w:hAnsi="宋体" w:cs="Times New Roman"/>
          <w:color w:val="auto"/>
          <w:highlight w:val="none"/>
        </w:rPr>
        <w:t>文件的组成部分，并对参选人具有约束力。</w:t>
      </w:r>
    </w:p>
    <w:p w14:paraId="6D64B735">
      <w:pPr>
        <w:numPr>
          <w:ilvl w:val="0"/>
          <w:numId w:val="5"/>
        </w:numPr>
        <w:spacing w:line="360" w:lineRule="auto"/>
        <w:rPr>
          <w:rFonts w:hint="eastAsia" w:ascii="宋体" w:hAnsi="宋体" w:cs="Times New Roman"/>
          <w:b/>
          <w:bCs/>
          <w:color w:val="auto"/>
          <w:highlight w:val="none"/>
        </w:rPr>
      </w:pPr>
      <w:r>
        <w:rPr>
          <w:rFonts w:hint="eastAsia" w:ascii="宋体" w:hAnsi="宋体" w:cs="Times New Roman"/>
          <w:b/>
          <w:bCs/>
          <w:color w:val="auto"/>
          <w:highlight w:val="none"/>
        </w:rPr>
        <w:t>报名要求（参与遴选的参选人资质要求: 报名时需要提供以下盖章资料，并对上传的报名文件资料承担责任）</w:t>
      </w:r>
    </w:p>
    <w:p w14:paraId="75864CB7">
      <w:pPr>
        <w:widowControl/>
        <w:numPr>
          <w:ilvl w:val="0"/>
          <w:numId w:val="8"/>
        </w:numPr>
        <w:spacing w:line="360" w:lineRule="auto"/>
        <w:ind w:left="420" w:firstLine="0"/>
        <w:jc w:val="left"/>
        <w:rPr>
          <w:rFonts w:hint="eastAsia" w:ascii="宋体" w:hAnsi="宋体" w:cs="宋体"/>
          <w:color w:val="auto"/>
          <w:kern w:val="0"/>
          <w:szCs w:val="20"/>
          <w:highlight w:val="none"/>
        </w:rPr>
      </w:pPr>
      <w:r>
        <w:rPr>
          <w:rFonts w:hint="eastAsia" w:ascii="宋体" w:hAnsi="宋体" w:cs="宋体"/>
          <w:bCs/>
          <w:color w:val="auto"/>
          <w:kern w:val="0"/>
          <w:szCs w:val="21"/>
          <w:highlight w:val="none"/>
        </w:rPr>
        <w:t>参选人提供在中华人民共和国境内注册的法人或其他组织的营业执照或事业单位法人证书或社会团体法人登记证书复印件，如国家另有规定的，则从其规定；（如参选人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35119649">
      <w:pPr>
        <w:widowControl/>
        <w:numPr>
          <w:ilvl w:val="0"/>
          <w:numId w:val="8"/>
        </w:numPr>
        <w:spacing w:line="360" w:lineRule="auto"/>
        <w:ind w:left="420" w:firstLine="0"/>
        <w:jc w:val="left"/>
        <w:rPr>
          <w:rFonts w:hint="eastAsia" w:ascii="宋体" w:hAnsi="宋体" w:cs="宋体"/>
          <w:color w:val="auto"/>
          <w:kern w:val="0"/>
          <w:szCs w:val="21"/>
          <w:highlight w:val="none"/>
        </w:rPr>
      </w:pPr>
      <w:r>
        <w:rPr>
          <w:rFonts w:hint="eastAsia" w:cs="Times New Roman"/>
          <w:color w:val="auto"/>
          <w:kern w:val="0"/>
          <w:highlight w:val="none"/>
        </w:rPr>
        <w:t>单位负责人为同一人或者存在直接控股、管理关系的不同参选人，不得同时参加本采购项目（或采购包）。为本项目提供整体设计、规范编制或者项目管理、监理、检测等服务的</w:t>
      </w:r>
      <w:r>
        <w:rPr>
          <w:rFonts w:hint="eastAsia" w:cs="Times New Roman"/>
          <w:color w:val="auto"/>
          <w:kern w:val="0"/>
          <w:highlight w:val="none"/>
          <w:lang w:eastAsia="zh-CN"/>
        </w:rPr>
        <w:t>参选人</w:t>
      </w:r>
      <w:r>
        <w:rPr>
          <w:rFonts w:hint="eastAsia" w:cs="Times New Roman"/>
          <w:color w:val="auto"/>
          <w:kern w:val="0"/>
          <w:highlight w:val="none"/>
        </w:rPr>
        <w:t>，不得再参与本项目，</w:t>
      </w:r>
      <w:r>
        <w:rPr>
          <w:rFonts w:hint="eastAsia" w:cs="Times New Roman"/>
          <w:b/>
          <w:bCs/>
          <w:color w:val="auto"/>
          <w:kern w:val="0"/>
          <w:highlight w:val="none"/>
        </w:rPr>
        <w:t>提供参选人资格声明函，格式详见附件。</w:t>
      </w:r>
    </w:p>
    <w:p w14:paraId="5404A0FE">
      <w:pPr>
        <w:widowControl/>
        <w:numPr>
          <w:ilvl w:val="0"/>
          <w:numId w:val="8"/>
        </w:numPr>
        <w:spacing w:line="360" w:lineRule="auto"/>
        <w:ind w:left="420" w:firstLine="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经办人如是法定代表人，需提供法定代表人证明书及法定代表人身份证复印件，格式详见附件；经办人如是参选人授权代表，需提供法定代表人证明书、法定代表人身份证复印件、法定代表人授权委托书、授权代表身份证复印件，</w:t>
      </w:r>
      <w:r>
        <w:rPr>
          <w:rFonts w:hint="eastAsia" w:ascii="宋体" w:hAnsi="宋体" w:cs="宋体"/>
          <w:b/>
          <w:bCs/>
          <w:color w:val="auto"/>
          <w:kern w:val="0"/>
          <w:szCs w:val="21"/>
          <w:highlight w:val="none"/>
        </w:rPr>
        <w:t>格式详见附件。</w:t>
      </w:r>
    </w:p>
    <w:p w14:paraId="60FFD168">
      <w:pPr>
        <w:widowControl/>
        <w:numPr>
          <w:ilvl w:val="0"/>
          <w:numId w:val="8"/>
        </w:numPr>
        <w:spacing w:line="360" w:lineRule="auto"/>
        <w:ind w:left="420" w:firstLine="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参与本项目的参选人需为中小微企业，所属行业为软件和信息技术服务业</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参选人应为中小微企业、监狱企业、残疾人福利性单位。</w:t>
      </w:r>
      <w:r>
        <w:rPr>
          <w:rFonts w:hint="eastAsia" w:ascii="宋体" w:hAnsi="宋体" w:cs="宋体"/>
          <w:b/>
          <w:bCs/>
          <w:color w:val="auto"/>
          <w:kern w:val="0"/>
          <w:szCs w:val="21"/>
          <w:highlight w:val="none"/>
        </w:rPr>
        <w:t>（提供《中小企业声明函》或属于监狱企业的证明材料或《残疾人福利性单位声明函》，格式详见附件）</w:t>
      </w:r>
    </w:p>
    <w:p w14:paraId="5118D537">
      <w:pPr>
        <w:widowControl/>
        <w:numPr>
          <w:ilvl w:val="0"/>
          <w:numId w:val="8"/>
        </w:numPr>
        <w:spacing w:line="360" w:lineRule="auto"/>
        <w:ind w:left="420" w:firstLine="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参选人在广东政府采购智慧云平台电子卖场定点</w:t>
      </w:r>
      <w:r>
        <w:rPr>
          <w:rFonts w:hint="eastAsia" w:ascii="宋体" w:hAnsi="宋体" w:cs="宋体"/>
          <w:color w:val="auto"/>
          <w:kern w:val="0"/>
          <w:szCs w:val="21"/>
          <w:highlight w:val="none"/>
          <w:lang w:eastAsia="zh-CN"/>
        </w:rPr>
        <w:t>参选人</w:t>
      </w:r>
      <w:r>
        <w:rPr>
          <w:rFonts w:hint="eastAsia" w:ascii="宋体" w:hAnsi="宋体" w:cs="宋体"/>
          <w:color w:val="auto"/>
          <w:kern w:val="0"/>
          <w:szCs w:val="21"/>
          <w:highlight w:val="none"/>
        </w:rPr>
        <w:t>库，候选后需签订定点采购合同（提供在广东政府采购智慧云平台库内的截图证明）。</w:t>
      </w:r>
    </w:p>
    <w:p w14:paraId="51481858">
      <w:pPr>
        <w:widowControl/>
        <w:numPr>
          <w:ilvl w:val="0"/>
          <w:numId w:val="8"/>
        </w:numPr>
        <w:spacing w:line="360" w:lineRule="auto"/>
        <w:ind w:left="420" w:firstLine="0"/>
        <w:jc w:val="left"/>
        <w:rPr>
          <w:rFonts w:hint="eastAsia" w:ascii="宋体" w:hAnsi="宋体" w:cs="宋体"/>
          <w:color w:val="auto"/>
          <w:kern w:val="0"/>
          <w:szCs w:val="21"/>
          <w:highlight w:val="none"/>
        </w:rPr>
      </w:pPr>
      <w:r>
        <w:rPr>
          <w:rFonts w:ascii="宋体" w:hAnsi="宋体" w:cs="宋体"/>
          <w:color w:val="auto"/>
          <w:kern w:val="0"/>
          <w:szCs w:val="21"/>
          <w:highlight w:val="none"/>
        </w:rPr>
        <w:t>本项目参选人未被列入“信用中国”网站(www.creditchina.gov.cn)以下情形之一：</w:t>
      </w:r>
      <w:r>
        <w:rPr>
          <w:rFonts w:hint="eastAsia" w:ascii="宋体" w:hAnsi="宋体" w:eastAsia="宋体" w:cs="宋体"/>
          <w:color w:val="auto"/>
          <w:kern w:val="0"/>
          <w:szCs w:val="21"/>
          <w:highlight w:val="none"/>
        </w:rPr>
        <w:t>①失信被执行人；②重大税收违法失信主体；③政府采购严重违法失信行为记录名单。同时，④在中国政府采购网(www.ccgp.gov.cn)“政府采购严重违法失信行为信息记录”中查询没有处于禁止参加政府采购活动的记录名单。（提供报名期间的相关查询记录截图并加盖</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rPr>
        <w:t>公章，信用中国截图可前往信用中国首页-专项查询（https://www.creditchina.gov.cn/zhuanxiangchaxun/）-重点领域严重失信主体名单查询①失信被执行人；②重大税收违法失信主体；③政府采购严重违法失信行为记录名单。以上</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项查询分别截图加盖公章扫描为一个PDF文件上传。</w:t>
      </w:r>
      <w:r>
        <w:rPr>
          <w:rFonts w:ascii="宋体" w:hAnsi="宋体" w:cs="宋体"/>
          <w:color w:val="auto"/>
          <w:kern w:val="0"/>
          <w:szCs w:val="21"/>
          <w:highlight w:val="none"/>
        </w:rPr>
        <w:t>参选人</w:t>
      </w:r>
      <w:r>
        <w:rPr>
          <w:rFonts w:hint="eastAsia" w:ascii="宋体" w:hAnsi="宋体" w:eastAsia="宋体" w:cs="宋体"/>
          <w:color w:val="auto"/>
          <w:kern w:val="0"/>
          <w:szCs w:val="21"/>
          <w:highlight w:val="none"/>
        </w:rPr>
        <w:t>为分公司的，同时对该分公司所属总公司（总所）进行信用记录查询，该分公司所属总公司（总所）存在不良信用记录的，视同响应</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rPr>
        <w:t>存在不良信用记录。）。</w:t>
      </w:r>
    </w:p>
    <w:p w14:paraId="3BE67ED4">
      <w:pPr>
        <w:numPr>
          <w:ilvl w:val="0"/>
          <w:numId w:val="5"/>
        </w:numPr>
        <w:spacing w:line="360" w:lineRule="auto"/>
        <w:rPr>
          <w:rFonts w:hint="eastAsia" w:ascii="宋体" w:hAnsi="宋体" w:cs="Times New Roman"/>
          <w:b/>
          <w:bCs/>
          <w:color w:val="auto"/>
          <w:highlight w:val="none"/>
        </w:rPr>
      </w:pPr>
      <w:r>
        <w:rPr>
          <w:rFonts w:hint="eastAsia" w:ascii="宋体" w:hAnsi="宋体" w:cs="Times New Roman"/>
          <w:b/>
          <w:bCs/>
          <w:color w:val="auto"/>
          <w:highlight w:val="none"/>
        </w:rPr>
        <w:t>资格、符合性条件（参选人须根据下表内容提供资格符合性材料）</w:t>
      </w:r>
    </w:p>
    <w:p w14:paraId="3879E253">
      <w:pPr>
        <w:spacing w:line="360" w:lineRule="auto"/>
        <w:rPr>
          <w:rFonts w:hint="eastAsia" w:ascii="宋体" w:hAnsi="宋体" w:cs="宋体"/>
          <w:color w:val="auto"/>
          <w:kern w:val="0"/>
          <w:szCs w:val="21"/>
          <w:highlight w:val="none"/>
        </w:rPr>
      </w:pPr>
      <w:r>
        <w:rPr>
          <w:rFonts w:hint="eastAsia" w:cs="Times New Roman"/>
          <w:b/>
          <w:bCs/>
          <w:color w:val="auto"/>
          <w:highlight w:val="none"/>
        </w:rPr>
        <w:t>资格、符合性审查表</w:t>
      </w: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7"/>
        <w:gridCol w:w="7545"/>
      </w:tblGrid>
      <w:tr w14:paraId="72A01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573" w:type="pct"/>
            <w:tcBorders>
              <w:top w:val="single" w:color="auto" w:sz="12" w:space="0"/>
              <w:left w:val="single" w:color="auto" w:sz="12" w:space="0"/>
              <w:bottom w:val="single" w:color="auto" w:sz="6" w:space="0"/>
              <w:right w:val="single" w:color="auto" w:sz="6" w:space="0"/>
            </w:tcBorders>
            <w:vAlign w:val="center"/>
          </w:tcPr>
          <w:p w14:paraId="7B09A5E7">
            <w:pPr>
              <w:adjustRightInd w:val="0"/>
              <w:snapToGrid w:val="0"/>
              <w:jc w:val="center"/>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426" w:type="pct"/>
            <w:tcBorders>
              <w:top w:val="single" w:color="auto" w:sz="12" w:space="0"/>
              <w:left w:val="single" w:color="auto" w:sz="6" w:space="0"/>
              <w:bottom w:val="single" w:color="auto" w:sz="6" w:space="0"/>
              <w:right w:val="single" w:color="auto" w:sz="12" w:space="0"/>
            </w:tcBorders>
            <w:vAlign w:val="center"/>
          </w:tcPr>
          <w:p w14:paraId="4EAF5506">
            <w:pPr>
              <w:adjustRightInd w:val="0"/>
              <w:snapToGrid w:val="0"/>
              <w:jc w:val="center"/>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资 格 性 评 审 内 容</w:t>
            </w:r>
          </w:p>
        </w:tc>
      </w:tr>
      <w:tr w14:paraId="18DBC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250768CE">
            <w:pPr>
              <w:numPr>
                <w:ilvl w:val="0"/>
                <w:numId w:val="9"/>
              </w:numPr>
              <w:adjustRightInd w:val="0"/>
              <w:snapToGrid w:val="0"/>
              <w:ind w:left="0" w:firstLine="0"/>
              <w:jc w:val="center"/>
              <w:textAlignment w:val="baseline"/>
              <w:rPr>
                <w:rFonts w:hint="eastAsia" w:ascii="宋体" w:hAnsi="宋体" w:cs="宋体"/>
                <w:color w:val="auto"/>
                <w:kern w:val="0"/>
                <w:szCs w:val="21"/>
                <w:highlight w:val="none"/>
              </w:rPr>
            </w:pPr>
          </w:p>
        </w:tc>
        <w:tc>
          <w:tcPr>
            <w:tcW w:w="4426" w:type="pct"/>
            <w:tcBorders>
              <w:top w:val="single" w:color="auto" w:sz="6" w:space="0"/>
              <w:left w:val="single" w:color="auto" w:sz="6" w:space="0"/>
              <w:bottom w:val="single" w:color="auto" w:sz="6" w:space="0"/>
              <w:right w:val="single" w:color="auto" w:sz="12" w:space="0"/>
            </w:tcBorders>
            <w:vAlign w:val="center"/>
          </w:tcPr>
          <w:p w14:paraId="58345948">
            <w:pPr>
              <w:tabs>
                <w:tab w:val="left" w:pos="612"/>
              </w:tabs>
              <w:adjustRightInd w:val="0"/>
              <w:snapToGrid w:val="0"/>
              <w:jc w:val="left"/>
              <w:textAlignment w:val="baseline"/>
              <w:rPr>
                <w:rFonts w:hint="eastAsia" w:ascii="宋体" w:hAnsi="宋体" w:cs="宋体"/>
                <w:color w:val="auto"/>
                <w:kern w:val="0"/>
                <w:szCs w:val="21"/>
                <w:highlight w:val="none"/>
              </w:rPr>
            </w:pPr>
            <w:r>
              <w:rPr>
                <w:rFonts w:hint="eastAsia" w:ascii="宋体" w:hAnsi="宋体" w:cs="Times New Roman"/>
                <w:bCs/>
                <w:color w:val="auto"/>
                <w:kern w:val="0"/>
                <w:szCs w:val="21"/>
                <w:highlight w:val="none"/>
              </w:rPr>
              <w:t>具备《中华人民共和国政府采购法》第二十二条规定的条件</w:t>
            </w:r>
            <w:r>
              <w:rPr>
                <w:rFonts w:hint="eastAsia" w:ascii="宋体" w:hAnsi="宋体" w:cs="Times New Roman"/>
                <w:color w:val="auto"/>
                <w:kern w:val="0"/>
                <w:szCs w:val="21"/>
                <w:highlight w:val="none"/>
              </w:rPr>
              <w:t>；</w:t>
            </w:r>
          </w:p>
        </w:tc>
      </w:tr>
      <w:tr w14:paraId="343ED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1"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6C25DC89">
            <w:pPr>
              <w:tabs>
                <w:tab w:val="left" w:pos="176"/>
                <w:tab w:val="left" w:pos="612"/>
              </w:tabs>
              <w:adjustRightInd w:val="0"/>
              <w:snapToGrid w:val="0"/>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426" w:type="pct"/>
            <w:tcBorders>
              <w:top w:val="single" w:color="auto" w:sz="6" w:space="0"/>
              <w:left w:val="single" w:color="auto" w:sz="6" w:space="0"/>
              <w:bottom w:val="single" w:color="auto" w:sz="6" w:space="0"/>
              <w:right w:val="single" w:color="auto" w:sz="12" w:space="0"/>
            </w:tcBorders>
            <w:vAlign w:val="center"/>
          </w:tcPr>
          <w:p w14:paraId="56EF3519">
            <w:pPr>
              <w:tabs>
                <w:tab w:val="left" w:pos="612"/>
              </w:tabs>
              <w:adjustRightInd w:val="0"/>
              <w:snapToGrid w:val="0"/>
              <w:jc w:val="left"/>
              <w:textAlignment w:val="baseline"/>
              <w:rPr>
                <w:rFonts w:hint="eastAsia" w:ascii="宋体" w:hAnsi="宋体" w:eastAsia="宋体" w:cs="宋体"/>
                <w:color w:val="auto"/>
                <w:kern w:val="0"/>
                <w:szCs w:val="21"/>
                <w:highlight w:val="none"/>
                <w:lang w:eastAsia="zh-CN"/>
              </w:rPr>
            </w:pPr>
            <w:r>
              <w:rPr>
                <w:rFonts w:hint="eastAsia" w:ascii="宋体" w:hAnsi="宋体" w:cs="宋体"/>
                <w:bCs/>
                <w:color w:val="auto"/>
                <w:kern w:val="0"/>
                <w:szCs w:val="21"/>
                <w:highlight w:val="none"/>
              </w:rPr>
              <w:t>提供在中华人民共和国境内注册的法人或其他组织的营业执照或事业单位法人证书或社会团体法人登记证书复印件，如国家另有规定的，则从其规定；（如参选人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cs="Times New Roman"/>
                <w:color w:val="auto"/>
                <w:kern w:val="0"/>
                <w:szCs w:val="21"/>
                <w:highlight w:val="none"/>
              </w:rPr>
              <w:t>）</w:t>
            </w:r>
            <w:r>
              <w:rPr>
                <w:rFonts w:hint="eastAsia" w:ascii="宋体" w:hAnsi="宋体" w:cs="Times New Roman"/>
                <w:color w:val="auto"/>
                <w:kern w:val="0"/>
                <w:szCs w:val="21"/>
                <w:highlight w:val="none"/>
                <w:lang w:eastAsia="zh-CN"/>
              </w:rPr>
              <w:t>；</w:t>
            </w:r>
          </w:p>
        </w:tc>
      </w:tr>
      <w:tr w14:paraId="05AB9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1DAC2368">
            <w:pPr>
              <w:tabs>
                <w:tab w:val="left" w:pos="176"/>
                <w:tab w:val="left" w:pos="612"/>
              </w:tabs>
              <w:adjustRightInd w:val="0"/>
              <w:snapToGrid w:val="0"/>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426" w:type="pct"/>
            <w:tcBorders>
              <w:top w:val="single" w:color="auto" w:sz="6" w:space="0"/>
              <w:left w:val="single" w:color="auto" w:sz="6" w:space="0"/>
              <w:bottom w:val="single" w:color="auto" w:sz="6" w:space="0"/>
              <w:right w:val="single" w:color="auto" w:sz="12" w:space="0"/>
            </w:tcBorders>
            <w:vAlign w:val="center"/>
          </w:tcPr>
          <w:p w14:paraId="0D6658F9">
            <w:pPr>
              <w:tabs>
                <w:tab w:val="left" w:pos="612"/>
              </w:tabs>
              <w:adjustRightInd w:val="0"/>
              <w:snapToGrid w:val="0"/>
              <w:jc w:val="left"/>
              <w:textAlignment w:val="baseline"/>
              <w:rPr>
                <w:rFonts w:hint="eastAsia" w:ascii="宋体" w:hAnsi="宋体" w:eastAsia="宋体" w:cs="Times New Roman"/>
                <w:color w:val="auto"/>
                <w:kern w:val="0"/>
                <w:szCs w:val="21"/>
                <w:highlight w:val="none"/>
                <w:lang w:eastAsia="zh-CN"/>
              </w:rPr>
            </w:pPr>
            <w:bookmarkStart w:id="1" w:name="_Hlk97105430"/>
            <w:r>
              <w:rPr>
                <w:rFonts w:hint="eastAsia" w:ascii="宋体" w:hAnsi="宋体" w:cs="Times New Roman"/>
                <w:color w:val="auto"/>
                <w:highlight w:val="none"/>
              </w:rPr>
              <w:t>具有良好的商业信誉和健全的财务会计制度</w:t>
            </w:r>
            <w:bookmarkEnd w:id="1"/>
            <w:r>
              <w:rPr>
                <w:rFonts w:hint="eastAsia" w:ascii="宋体" w:hAnsi="宋体" w:cs="Times New Roman"/>
                <w:color w:val="auto"/>
                <w:highlight w:val="none"/>
              </w:rPr>
              <w:t>；</w:t>
            </w:r>
            <w:r>
              <w:rPr>
                <w:rFonts w:hint="eastAsia" w:ascii="宋体" w:hAnsi="宋体" w:cs="Times New Roman"/>
                <w:bCs/>
                <w:color w:val="auto"/>
                <w:kern w:val="0"/>
                <w:szCs w:val="21"/>
                <w:highlight w:val="none"/>
              </w:rPr>
              <w:t>（提供《参选人资格声明函》）</w:t>
            </w:r>
            <w:r>
              <w:rPr>
                <w:rFonts w:hint="eastAsia" w:ascii="宋体" w:hAnsi="宋体" w:cs="Times New Roman"/>
                <w:bCs/>
                <w:color w:val="auto"/>
                <w:kern w:val="0"/>
                <w:szCs w:val="21"/>
                <w:highlight w:val="none"/>
                <w:lang w:eastAsia="zh-CN"/>
              </w:rPr>
              <w:t>；</w:t>
            </w:r>
          </w:p>
        </w:tc>
      </w:tr>
      <w:tr w14:paraId="180CD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33FD2E61">
            <w:pPr>
              <w:tabs>
                <w:tab w:val="left" w:pos="176"/>
                <w:tab w:val="left" w:pos="612"/>
              </w:tabs>
              <w:adjustRightInd w:val="0"/>
              <w:snapToGrid w:val="0"/>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4426" w:type="pct"/>
            <w:tcBorders>
              <w:top w:val="single" w:color="auto" w:sz="6" w:space="0"/>
              <w:left w:val="single" w:color="auto" w:sz="6" w:space="0"/>
              <w:bottom w:val="single" w:color="auto" w:sz="6" w:space="0"/>
              <w:right w:val="single" w:color="auto" w:sz="12" w:space="0"/>
            </w:tcBorders>
            <w:vAlign w:val="center"/>
          </w:tcPr>
          <w:p w14:paraId="44785B02">
            <w:pPr>
              <w:tabs>
                <w:tab w:val="left" w:pos="612"/>
              </w:tabs>
              <w:adjustRightInd w:val="0"/>
              <w:snapToGrid w:val="0"/>
              <w:jc w:val="left"/>
              <w:textAlignment w:val="baseline"/>
              <w:rPr>
                <w:rFonts w:hint="eastAsia" w:ascii="宋体" w:hAnsi="宋体" w:eastAsia="宋体" w:cs="Times New Roman"/>
                <w:color w:val="auto"/>
                <w:kern w:val="0"/>
                <w:szCs w:val="21"/>
                <w:highlight w:val="none"/>
                <w:lang w:eastAsia="zh-CN"/>
              </w:rPr>
            </w:pPr>
            <w:r>
              <w:rPr>
                <w:rFonts w:hint="eastAsia" w:ascii="宋体" w:hAnsi="宋体" w:cs="Times New Roman"/>
                <w:bCs/>
                <w:color w:val="auto"/>
                <w:kern w:val="0"/>
                <w:szCs w:val="21"/>
                <w:highlight w:val="none"/>
              </w:rPr>
              <w:t>提供履行合同所必需的设备和专业技术能力的书面声明；（提供《参选人资格声明函》）</w:t>
            </w:r>
            <w:r>
              <w:rPr>
                <w:rFonts w:hint="eastAsia" w:ascii="宋体" w:hAnsi="宋体" w:cs="Times New Roman"/>
                <w:bCs/>
                <w:color w:val="auto"/>
                <w:kern w:val="0"/>
                <w:szCs w:val="21"/>
                <w:highlight w:val="none"/>
                <w:lang w:eastAsia="zh-CN"/>
              </w:rPr>
              <w:t>；</w:t>
            </w:r>
          </w:p>
        </w:tc>
      </w:tr>
      <w:tr w14:paraId="1BD49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5E3DE37C">
            <w:pPr>
              <w:tabs>
                <w:tab w:val="left" w:pos="176"/>
                <w:tab w:val="left" w:pos="612"/>
              </w:tabs>
              <w:adjustRightInd w:val="0"/>
              <w:snapToGrid w:val="0"/>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4426" w:type="pct"/>
            <w:tcBorders>
              <w:top w:val="single" w:color="auto" w:sz="6" w:space="0"/>
              <w:left w:val="single" w:color="auto" w:sz="6" w:space="0"/>
              <w:bottom w:val="single" w:color="auto" w:sz="6" w:space="0"/>
              <w:right w:val="single" w:color="auto" w:sz="12" w:space="0"/>
            </w:tcBorders>
            <w:vAlign w:val="center"/>
          </w:tcPr>
          <w:p w14:paraId="04012298">
            <w:pPr>
              <w:tabs>
                <w:tab w:val="left" w:pos="612"/>
              </w:tabs>
              <w:adjustRightInd w:val="0"/>
              <w:snapToGrid w:val="0"/>
              <w:jc w:val="left"/>
              <w:textAlignment w:val="baseline"/>
              <w:rPr>
                <w:rFonts w:hint="eastAsia" w:ascii="宋体" w:hAnsi="宋体" w:eastAsia="宋体" w:cs="Times New Roman"/>
                <w:color w:val="auto"/>
                <w:kern w:val="0"/>
                <w:szCs w:val="21"/>
                <w:highlight w:val="none"/>
                <w:lang w:eastAsia="zh-CN"/>
              </w:rPr>
            </w:pPr>
            <w:bookmarkStart w:id="2" w:name="_Hlk97105461"/>
            <w:r>
              <w:rPr>
                <w:rFonts w:hint="eastAsia" w:ascii="宋体" w:hAnsi="宋体" w:cs="Times New Roman"/>
                <w:color w:val="auto"/>
                <w:highlight w:val="none"/>
              </w:rPr>
              <w:t>具有依法缴纳税收和社会保障资金的良好记录</w:t>
            </w:r>
            <w:bookmarkEnd w:id="2"/>
            <w:r>
              <w:rPr>
                <w:rFonts w:hint="eastAsia" w:ascii="宋体" w:hAnsi="宋体" w:cs="Times New Roman"/>
                <w:color w:val="auto"/>
                <w:highlight w:val="none"/>
              </w:rPr>
              <w:t>；</w:t>
            </w:r>
            <w:r>
              <w:rPr>
                <w:rFonts w:hint="eastAsia" w:ascii="宋体" w:hAnsi="宋体" w:cs="Times New Roman"/>
                <w:bCs/>
                <w:color w:val="auto"/>
                <w:kern w:val="0"/>
                <w:szCs w:val="21"/>
                <w:highlight w:val="none"/>
              </w:rPr>
              <w:t>（提供《参选人资格声明函》）</w:t>
            </w:r>
            <w:r>
              <w:rPr>
                <w:rFonts w:hint="eastAsia" w:ascii="宋体" w:hAnsi="宋体" w:cs="Times New Roman"/>
                <w:bCs/>
                <w:color w:val="auto"/>
                <w:kern w:val="0"/>
                <w:szCs w:val="21"/>
                <w:highlight w:val="none"/>
                <w:lang w:eastAsia="zh-CN"/>
              </w:rPr>
              <w:t>；</w:t>
            </w:r>
          </w:p>
        </w:tc>
      </w:tr>
      <w:tr w14:paraId="7D1CA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5"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37091ADC">
            <w:pPr>
              <w:tabs>
                <w:tab w:val="left" w:pos="176"/>
                <w:tab w:val="left" w:pos="612"/>
              </w:tabs>
              <w:adjustRightInd w:val="0"/>
              <w:snapToGrid w:val="0"/>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4426" w:type="pct"/>
            <w:tcBorders>
              <w:top w:val="single" w:color="auto" w:sz="6" w:space="0"/>
              <w:left w:val="single" w:color="auto" w:sz="6" w:space="0"/>
              <w:bottom w:val="single" w:color="auto" w:sz="6" w:space="0"/>
              <w:right w:val="single" w:color="auto" w:sz="12" w:space="0"/>
            </w:tcBorders>
            <w:vAlign w:val="center"/>
          </w:tcPr>
          <w:p w14:paraId="05E16270">
            <w:pPr>
              <w:tabs>
                <w:tab w:val="left" w:pos="612"/>
              </w:tabs>
              <w:adjustRightInd w:val="0"/>
              <w:snapToGrid w:val="0"/>
              <w:jc w:val="left"/>
              <w:textAlignment w:val="baseline"/>
              <w:rPr>
                <w:rFonts w:hint="eastAsia" w:ascii="宋体" w:hAnsi="宋体" w:eastAsia="宋体" w:cs="Times New Roman"/>
                <w:color w:val="auto"/>
                <w:kern w:val="0"/>
                <w:szCs w:val="21"/>
                <w:highlight w:val="none"/>
                <w:lang w:eastAsia="zh-CN"/>
              </w:rPr>
            </w:pPr>
            <w:r>
              <w:rPr>
                <w:rFonts w:hint="eastAsia" w:ascii="宋体" w:hAnsi="宋体" w:cs="Times New Roman"/>
                <w:bCs/>
                <w:color w:val="auto"/>
                <w:kern w:val="0"/>
                <w:szCs w:val="21"/>
                <w:highlight w:val="none"/>
              </w:rPr>
              <w:t>提供参加采购活动前3年内在经营活动中没有重大违法记录的书面声明；（提供《参选人资格声明函》）</w:t>
            </w:r>
            <w:r>
              <w:rPr>
                <w:rFonts w:hint="eastAsia" w:ascii="宋体" w:hAnsi="宋体" w:cs="Times New Roman"/>
                <w:bCs/>
                <w:color w:val="auto"/>
                <w:kern w:val="0"/>
                <w:szCs w:val="21"/>
                <w:highlight w:val="none"/>
                <w:lang w:eastAsia="zh-CN"/>
              </w:rPr>
              <w:t>；</w:t>
            </w:r>
          </w:p>
        </w:tc>
      </w:tr>
      <w:tr w14:paraId="433E8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3"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447C2E03">
            <w:pPr>
              <w:tabs>
                <w:tab w:val="left" w:pos="176"/>
                <w:tab w:val="left" w:pos="612"/>
              </w:tabs>
              <w:adjustRightInd w:val="0"/>
              <w:snapToGrid w:val="0"/>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4426" w:type="pct"/>
            <w:tcBorders>
              <w:top w:val="single" w:color="auto" w:sz="6" w:space="0"/>
              <w:left w:val="single" w:color="auto" w:sz="6" w:space="0"/>
              <w:bottom w:val="single" w:color="auto" w:sz="6" w:space="0"/>
              <w:right w:val="single" w:color="auto" w:sz="12" w:space="0"/>
            </w:tcBorders>
            <w:vAlign w:val="center"/>
          </w:tcPr>
          <w:p w14:paraId="2E69A159">
            <w:pPr>
              <w:tabs>
                <w:tab w:val="left" w:pos="612"/>
              </w:tabs>
              <w:adjustRightInd w:val="0"/>
              <w:snapToGrid w:val="0"/>
              <w:jc w:val="left"/>
              <w:textAlignment w:val="baseline"/>
              <w:rPr>
                <w:rFonts w:hint="eastAsia" w:ascii="宋体" w:hAnsi="宋体" w:eastAsia="宋体" w:cs="Times New Roman"/>
                <w:bCs/>
                <w:color w:val="auto"/>
                <w:kern w:val="0"/>
                <w:szCs w:val="21"/>
                <w:highlight w:val="none"/>
                <w:lang w:eastAsia="zh-CN"/>
              </w:rPr>
            </w:pPr>
            <w:r>
              <w:rPr>
                <w:rFonts w:hint="eastAsia" w:ascii="宋体" w:hAnsi="宋体" w:cs="Times New Roman"/>
                <w:bCs/>
                <w:color w:val="auto"/>
                <w:kern w:val="0"/>
                <w:szCs w:val="21"/>
                <w:highlight w:val="none"/>
              </w:rPr>
              <w:t>法律、行政法规规定的其他条件。（提供《参选人资格声明函》）</w:t>
            </w:r>
            <w:r>
              <w:rPr>
                <w:rFonts w:hint="eastAsia" w:ascii="宋体" w:hAnsi="宋体" w:cs="Times New Roman"/>
                <w:bCs/>
                <w:color w:val="auto"/>
                <w:kern w:val="0"/>
                <w:szCs w:val="21"/>
                <w:highlight w:val="none"/>
                <w:lang w:eastAsia="zh-CN"/>
              </w:rPr>
              <w:t>。</w:t>
            </w:r>
          </w:p>
        </w:tc>
      </w:tr>
      <w:tr w14:paraId="63C75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2"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5AD71CF7">
            <w:pPr>
              <w:numPr>
                <w:ilvl w:val="0"/>
                <w:numId w:val="9"/>
              </w:numPr>
              <w:adjustRightInd w:val="0"/>
              <w:snapToGrid w:val="0"/>
              <w:ind w:left="0" w:firstLine="0"/>
              <w:jc w:val="center"/>
              <w:textAlignment w:val="baseline"/>
              <w:rPr>
                <w:rFonts w:hint="eastAsia" w:ascii="宋体" w:hAnsi="宋体" w:cs="宋体"/>
                <w:color w:val="auto"/>
                <w:kern w:val="0"/>
                <w:szCs w:val="21"/>
                <w:highlight w:val="none"/>
              </w:rPr>
            </w:pPr>
          </w:p>
        </w:tc>
        <w:tc>
          <w:tcPr>
            <w:tcW w:w="4426" w:type="pct"/>
            <w:tcBorders>
              <w:top w:val="single" w:color="auto" w:sz="6" w:space="0"/>
              <w:left w:val="single" w:color="auto" w:sz="6" w:space="0"/>
              <w:bottom w:val="single" w:color="auto" w:sz="6" w:space="0"/>
              <w:right w:val="single" w:color="auto" w:sz="12" w:space="0"/>
            </w:tcBorders>
            <w:vAlign w:val="center"/>
          </w:tcPr>
          <w:p w14:paraId="0D26649B">
            <w:pPr>
              <w:tabs>
                <w:tab w:val="left" w:pos="612"/>
              </w:tabs>
              <w:adjustRightInd w:val="0"/>
              <w:snapToGrid w:val="0"/>
              <w:jc w:val="left"/>
              <w:textAlignment w:val="baseline"/>
              <w:rPr>
                <w:rFonts w:hint="eastAsia" w:ascii="宋体" w:hAnsi="宋体" w:eastAsia="宋体" w:cs="Times New Roman"/>
                <w:color w:val="auto"/>
                <w:kern w:val="0"/>
                <w:szCs w:val="21"/>
                <w:highlight w:val="none"/>
                <w:lang w:eastAsia="zh-CN"/>
              </w:rPr>
            </w:pPr>
            <w:r>
              <w:rPr>
                <w:rFonts w:hint="eastAsia" w:ascii="宋体" w:hAnsi="宋体" w:cs="Times New Roman"/>
                <w:bCs/>
                <w:color w:val="auto"/>
                <w:kern w:val="0"/>
                <w:szCs w:val="21"/>
                <w:highlight w:val="none"/>
              </w:rPr>
              <w:t>单位负责人为同一人或者存在直接控股、管理关系的不同参选人，不得同时参加本采购项目（或采购包）。为本项目提供整体设计、规范编制或者项目管理、监理、检测等服务的</w:t>
            </w:r>
            <w:r>
              <w:rPr>
                <w:rFonts w:hint="eastAsia" w:ascii="宋体" w:hAnsi="宋体" w:cs="Times New Roman"/>
                <w:bCs/>
                <w:color w:val="auto"/>
                <w:kern w:val="0"/>
                <w:szCs w:val="21"/>
                <w:highlight w:val="none"/>
                <w:lang w:eastAsia="zh-CN"/>
              </w:rPr>
              <w:t>参选人</w:t>
            </w:r>
            <w:r>
              <w:rPr>
                <w:rFonts w:hint="eastAsia" w:ascii="宋体" w:hAnsi="宋体" w:cs="Times New Roman"/>
                <w:bCs/>
                <w:color w:val="auto"/>
                <w:kern w:val="0"/>
                <w:szCs w:val="21"/>
                <w:highlight w:val="none"/>
              </w:rPr>
              <w:t>，不得再参与本项目。（提供《参选人资格声明函》）</w:t>
            </w:r>
            <w:r>
              <w:rPr>
                <w:rFonts w:hint="eastAsia" w:ascii="宋体" w:hAnsi="宋体" w:cs="Times New Roman"/>
                <w:bCs/>
                <w:color w:val="auto"/>
                <w:kern w:val="0"/>
                <w:szCs w:val="21"/>
                <w:highlight w:val="none"/>
                <w:lang w:eastAsia="zh-CN"/>
              </w:rPr>
              <w:t>；</w:t>
            </w:r>
          </w:p>
        </w:tc>
      </w:tr>
      <w:tr w14:paraId="379A4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4D3FD744">
            <w:pPr>
              <w:numPr>
                <w:ilvl w:val="0"/>
                <w:numId w:val="9"/>
              </w:numPr>
              <w:adjustRightInd w:val="0"/>
              <w:snapToGrid w:val="0"/>
              <w:ind w:left="0" w:firstLine="0"/>
              <w:jc w:val="center"/>
              <w:textAlignment w:val="baseline"/>
              <w:rPr>
                <w:rFonts w:hint="eastAsia" w:ascii="宋体" w:hAnsi="宋体" w:cs="宋体"/>
                <w:color w:val="auto"/>
                <w:kern w:val="0"/>
                <w:szCs w:val="21"/>
                <w:highlight w:val="none"/>
              </w:rPr>
            </w:pPr>
          </w:p>
        </w:tc>
        <w:tc>
          <w:tcPr>
            <w:tcW w:w="4426" w:type="pct"/>
            <w:tcBorders>
              <w:top w:val="single" w:color="auto" w:sz="6" w:space="0"/>
              <w:left w:val="single" w:color="auto" w:sz="6" w:space="0"/>
              <w:bottom w:val="single" w:color="auto" w:sz="6" w:space="0"/>
              <w:right w:val="single" w:color="auto" w:sz="12" w:space="0"/>
            </w:tcBorders>
            <w:vAlign w:val="center"/>
          </w:tcPr>
          <w:p w14:paraId="3659A175">
            <w:pP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经办人如是法定代表人，需提供法定代表人证明书及法定代表人身份证复印件，格式详见附件；经办人如是参选人授权代表，需提供法定代表人证明书、法定代表人身份证复印件、法定代表人授权委托书、授权代表身份证复印件，格式详见附件</w:t>
            </w:r>
            <w:r>
              <w:rPr>
                <w:rFonts w:hint="eastAsia" w:ascii="宋体" w:hAnsi="宋体" w:cs="宋体"/>
                <w:color w:val="auto"/>
                <w:kern w:val="0"/>
                <w:szCs w:val="21"/>
                <w:highlight w:val="none"/>
                <w:lang w:eastAsia="zh-CN"/>
              </w:rPr>
              <w:t>；</w:t>
            </w:r>
          </w:p>
        </w:tc>
      </w:tr>
      <w:tr w14:paraId="2CCCC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72A86985">
            <w:pPr>
              <w:numPr>
                <w:ilvl w:val="0"/>
                <w:numId w:val="9"/>
              </w:numPr>
              <w:adjustRightInd w:val="0"/>
              <w:snapToGrid w:val="0"/>
              <w:ind w:left="0" w:firstLine="0"/>
              <w:jc w:val="center"/>
              <w:textAlignment w:val="baseline"/>
              <w:rPr>
                <w:rFonts w:hint="eastAsia" w:ascii="宋体" w:hAnsi="宋体" w:cs="宋体"/>
                <w:color w:val="auto"/>
                <w:kern w:val="0"/>
                <w:szCs w:val="21"/>
                <w:highlight w:val="none"/>
              </w:rPr>
            </w:pPr>
          </w:p>
        </w:tc>
        <w:tc>
          <w:tcPr>
            <w:tcW w:w="4426" w:type="pct"/>
            <w:tcBorders>
              <w:top w:val="single" w:color="auto" w:sz="6" w:space="0"/>
              <w:left w:val="single" w:color="auto" w:sz="6" w:space="0"/>
              <w:bottom w:val="single" w:color="auto" w:sz="6" w:space="0"/>
              <w:right w:val="single" w:color="auto" w:sz="12" w:space="0"/>
            </w:tcBorders>
            <w:shd w:val="clear" w:color="auto" w:fill="auto"/>
            <w:vAlign w:val="center"/>
          </w:tcPr>
          <w:p w14:paraId="573E9806">
            <w:pP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参与本项目的参选人需为中小微企业，所属行业为软件和信息技术服务业</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参选人应为中小微企业、监狱企业、残疾人福利性单位。（提供《中小企业声明函》或属于监狱企业的证明材料或《残疾人福利性单位声明函》，格式详见附件）</w:t>
            </w:r>
            <w:r>
              <w:rPr>
                <w:rFonts w:hint="eastAsia" w:ascii="宋体" w:hAnsi="宋体" w:eastAsia="宋体" w:cs="宋体"/>
                <w:color w:val="auto"/>
                <w:kern w:val="0"/>
                <w:szCs w:val="21"/>
                <w:highlight w:val="none"/>
                <w:lang w:eastAsia="zh-CN"/>
              </w:rPr>
              <w:t>；</w:t>
            </w:r>
          </w:p>
        </w:tc>
      </w:tr>
      <w:tr w14:paraId="0D6EF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1F85AF09">
            <w:pPr>
              <w:numPr>
                <w:ilvl w:val="0"/>
                <w:numId w:val="9"/>
              </w:numPr>
              <w:adjustRightInd w:val="0"/>
              <w:snapToGrid w:val="0"/>
              <w:ind w:left="0" w:firstLine="0"/>
              <w:jc w:val="center"/>
              <w:textAlignment w:val="baseline"/>
              <w:rPr>
                <w:rFonts w:hint="eastAsia" w:ascii="宋体" w:hAnsi="宋体" w:cs="宋体"/>
                <w:color w:val="auto"/>
                <w:kern w:val="0"/>
                <w:szCs w:val="21"/>
                <w:highlight w:val="none"/>
              </w:rPr>
            </w:pPr>
          </w:p>
        </w:tc>
        <w:tc>
          <w:tcPr>
            <w:tcW w:w="4426" w:type="pct"/>
            <w:tcBorders>
              <w:top w:val="single" w:color="auto" w:sz="6" w:space="0"/>
              <w:left w:val="single" w:color="auto" w:sz="6" w:space="0"/>
              <w:bottom w:val="single" w:color="auto" w:sz="6" w:space="0"/>
              <w:right w:val="single" w:color="auto" w:sz="12" w:space="0"/>
            </w:tcBorders>
            <w:shd w:val="clear" w:color="auto" w:fill="auto"/>
            <w:vAlign w:val="center"/>
          </w:tcPr>
          <w:p w14:paraId="77149F34">
            <w:pPr>
              <w:tabs>
                <w:tab w:val="left" w:pos="567"/>
              </w:tabs>
              <w:adjustRightInd w:val="0"/>
              <w:snapToGrid w:val="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参选人在广东政府采购智慧云平台电子卖场定点</w:t>
            </w:r>
            <w:r>
              <w:rPr>
                <w:rFonts w:hint="eastAsia" w:ascii="宋体" w:hAnsi="宋体" w:cs="宋体"/>
                <w:color w:val="auto"/>
                <w:kern w:val="0"/>
                <w:szCs w:val="21"/>
                <w:highlight w:val="none"/>
                <w:lang w:eastAsia="zh-CN"/>
              </w:rPr>
              <w:t>参选人</w:t>
            </w:r>
            <w:r>
              <w:rPr>
                <w:rFonts w:hint="eastAsia" w:ascii="宋体" w:hAnsi="宋体" w:cs="宋体"/>
                <w:color w:val="auto"/>
                <w:kern w:val="0"/>
                <w:szCs w:val="21"/>
                <w:highlight w:val="none"/>
              </w:rPr>
              <w:t>库，候选后需签订定点采购合同（提供在广东政府采购智慧云平台库内的截图证明）</w:t>
            </w:r>
            <w:r>
              <w:rPr>
                <w:rFonts w:hint="eastAsia" w:ascii="宋体" w:hAnsi="宋体" w:cs="宋体"/>
                <w:color w:val="auto"/>
                <w:kern w:val="0"/>
                <w:szCs w:val="21"/>
                <w:highlight w:val="none"/>
                <w:lang w:eastAsia="zh-CN"/>
              </w:rPr>
              <w:t>；</w:t>
            </w:r>
          </w:p>
        </w:tc>
      </w:tr>
      <w:tr w14:paraId="46E52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1D96F8B2">
            <w:pPr>
              <w:numPr>
                <w:ilvl w:val="0"/>
                <w:numId w:val="9"/>
              </w:numPr>
              <w:adjustRightInd w:val="0"/>
              <w:snapToGrid w:val="0"/>
              <w:ind w:left="0" w:firstLine="0"/>
              <w:jc w:val="center"/>
              <w:textAlignment w:val="baseline"/>
              <w:rPr>
                <w:rFonts w:hint="eastAsia" w:ascii="宋体" w:hAnsi="宋体" w:cs="宋体"/>
                <w:color w:val="auto"/>
                <w:kern w:val="0"/>
                <w:szCs w:val="21"/>
                <w:highlight w:val="none"/>
              </w:rPr>
            </w:pPr>
          </w:p>
        </w:tc>
        <w:tc>
          <w:tcPr>
            <w:tcW w:w="4426" w:type="pct"/>
            <w:tcBorders>
              <w:top w:val="single" w:color="auto" w:sz="6" w:space="0"/>
              <w:left w:val="single" w:color="auto" w:sz="6" w:space="0"/>
              <w:bottom w:val="single" w:color="auto" w:sz="6" w:space="0"/>
              <w:right w:val="single" w:color="auto" w:sz="12" w:space="0"/>
            </w:tcBorders>
            <w:shd w:val="clear" w:color="auto" w:fill="auto"/>
            <w:vAlign w:val="center"/>
          </w:tcPr>
          <w:p w14:paraId="7B99BFB8">
            <w:pPr>
              <w:tabs>
                <w:tab w:val="left" w:pos="567"/>
              </w:tabs>
              <w:adjustRightInd w:val="0"/>
              <w:snapToGrid w:val="0"/>
              <w:jc w:val="left"/>
              <w:textAlignment w:val="baseline"/>
              <w:rPr>
                <w:rFonts w:hint="eastAsia" w:ascii="宋体" w:hAnsi="宋体" w:eastAsia="宋体" w:cs="宋体"/>
                <w:color w:val="auto"/>
                <w:kern w:val="0"/>
                <w:sz w:val="21"/>
                <w:szCs w:val="21"/>
                <w:highlight w:val="none"/>
                <w:lang w:val="en-US" w:eastAsia="zh-CN" w:bidi="ar-SA"/>
              </w:rPr>
            </w:pPr>
            <w:r>
              <w:rPr>
                <w:rFonts w:ascii="宋体" w:hAnsi="宋体" w:cs="宋体"/>
                <w:color w:val="auto"/>
                <w:kern w:val="0"/>
                <w:szCs w:val="21"/>
                <w:highlight w:val="none"/>
              </w:rPr>
              <w:t>参选人未被列入“信用中国”网站(www.creditchina.gov.cn)以下情形之一：</w:t>
            </w:r>
            <w:r>
              <w:rPr>
                <w:rFonts w:hint="eastAsia" w:ascii="宋体" w:hAnsi="宋体" w:eastAsia="宋体" w:cs="宋体"/>
                <w:color w:val="auto"/>
                <w:kern w:val="0"/>
                <w:szCs w:val="21"/>
                <w:highlight w:val="none"/>
              </w:rPr>
              <w:t>①失信被执行人；②重大税收违法失信主体；③政府采购严重违法失信行为记录名单。同时，④在中国政府采购网(www.ccgp.gov.cn)“政府采购严重违法失信行为信息记录”中查询没有处于禁止参加政府采购活动的记录名单。（提供报名期间的相关查询记录截图并加盖</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rPr>
              <w:t>公章，信用中国截图可前往信用中国首页-专项查询（https://www.creditchina.gov.cn/zhuanxiangchaxun/）-重点领域严重失信主体名单查询①失信被执行人；②重大税收违法失信主体；③政府采购严重违法失信行为记录名单。以上</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项查询分别截图加盖公章扫描为一个PDF文件上传。</w:t>
            </w:r>
            <w:r>
              <w:rPr>
                <w:rFonts w:ascii="宋体" w:hAnsi="宋体" w:cs="宋体"/>
                <w:color w:val="auto"/>
                <w:kern w:val="0"/>
                <w:szCs w:val="21"/>
                <w:highlight w:val="none"/>
              </w:rPr>
              <w:t>参选人</w:t>
            </w:r>
            <w:r>
              <w:rPr>
                <w:rFonts w:hint="eastAsia" w:ascii="宋体" w:hAnsi="宋体" w:eastAsia="宋体" w:cs="宋体"/>
                <w:color w:val="auto"/>
                <w:kern w:val="0"/>
                <w:szCs w:val="21"/>
                <w:highlight w:val="none"/>
              </w:rPr>
              <w:t>为分公司的，同时对该分公司所属总公司（总所）进行信用记录查询，该分公司所属总公司（总所）存在不良信用记录的，视同响应</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rPr>
              <w:t>存在不良信用记录。）</w:t>
            </w:r>
            <w:r>
              <w:rPr>
                <w:rFonts w:hint="eastAsia" w:ascii="宋体" w:hAnsi="宋体" w:eastAsia="宋体" w:cs="宋体"/>
                <w:color w:val="auto"/>
                <w:kern w:val="0"/>
                <w:szCs w:val="21"/>
                <w:highlight w:val="none"/>
                <w:lang w:eastAsia="zh-CN"/>
              </w:rPr>
              <w:t>；</w:t>
            </w:r>
          </w:p>
        </w:tc>
      </w:tr>
      <w:tr w14:paraId="42AB8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41E43E07">
            <w:pPr>
              <w:numPr>
                <w:ilvl w:val="0"/>
                <w:numId w:val="9"/>
              </w:numPr>
              <w:adjustRightInd w:val="0"/>
              <w:snapToGrid w:val="0"/>
              <w:ind w:left="0" w:firstLine="0"/>
              <w:jc w:val="center"/>
              <w:textAlignment w:val="baseline"/>
              <w:rPr>
                <w:rFonts w:hint="eastAsia" w:ascii="宋体" w:hAnsi="宋体" w:cs="宋体"/>
                <w:color w:val="auto"/>
                <w:kern w:val="0"/>
                <w:szCs w:val="21"/>
                <w:highlight w:val="none"/>
              </w:rPr>
            </w:pPr>
          </w:p>
        </w:tc>
        <w:tc>
          <w:tcPr>
            <w:tcW w:w="4426" w:type="pct"/>
            <w:tcBorders>
              <w:top w:val="single" w:color="auto" w:sz="6" w:space="0"/>
              <w:left w:val="single" w:color="auto" w:sz="6" w:space="0"/>
              <w:bottom w:val="single" w:color="auto" w:sz="6" w:space="0"/>
              <w:right w:val="single" w:color="auto" w:sz="12" w:space="0"/>
            </w:tcBorders>
            <w:shd w:val="clear" w:color="auto" w:fill="auto"/>
            <w:vAlign w:val="center"/>
          </w:tcPr>
          <w:p w14:paraId="3F0CE636">
            <w:pPr>
              <w:tabs>
                <w:tab w:val="left" w:pos="567"/>
              </w:tabs>
              <w:adjustRightInd w:val="0"/>
              <w:snapToGrid w:val="0"/>
              <w:jc w:val="left"/>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参选人资格声明函已提交并符合遴选文件要求的</w:t>
            </w:r>
            <w:r>
              <w:rPr>
                <w:rFonts w:hint="eastAsia" w:ascii="宋体" w:hAnsi="宋体" w:cs="宋体"/>
                <w:color w:val="auto"/>
                <w:kern w:val="0"/>
                <w:szCs w:val="21"/>
                <w:highlight w:val="none"/>
                <w:lang w:eastAsia="zh-CN"/>
              </w:rPr>
              <w:t>。</w:t>
            </w:r>
          </w:p>
        </w:tc>
      </w:tr>
    </w:tbl>
    <w:p w14:paraId="4D9DA37C">
      <w:pPr>
        <w:rPr>
          <w:rFonts w:hint="eastAsia" w:ascii="宋体" w:hAnsi="宋体" w:cs="宋体"/>
          <w:color w:val="auto"/>
          <w:kern w:val="0"/>
          <w:szCs w:val="21"/>
          <w:highlight w:val="none"/>
        </w:rPr>
      </w:pPr>
    </w:p>
    <w:tbl>
      <w:tblPr>
        <w:tblStyle w:val="3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77"/>
        <w:gridCol w:w="7545"/>
      </w:tblGrid>
      <w:tr w14:paraId="119AF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jc w:val="center"/>
        </w:trPr>
        <w:tc>
          <w:tcPr>
            <w:tcW w:w="573" w:type="pct"/>
            <w:tcBorders>
              <w:top w:val="single" w:color="auto" w:sz="12" w:space="0"/>
              <w:left w:val="single" w:color="auto" w:sz="12" w:space="0"/>
              <w:bottom w:val="single" w:color="auto" w:sz="6" w:space="0"/>
              <w:right w:val="single" w:color="auto" w:sz="6" w:space="0"/>
            </w:tcBorders>
            <w:vAlign w:val="center"/>
          </w:tcPr>
          <w:p w14:paraId="5B91640A">
            <w:pPr>
              <w:adjustRightInd w:val="0"/>
              <w:spacing w:line="360" w:lineRule="atLeast"/>
              <w:jc w:val="center"/>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4427" w:type="pct"/>
            <w:tcBorders>
              <w:top w:val="single" w:color="auto" w:sz="12" w:space="0"/>
              <w:left w:val="single" w:color="auto" w:sz="6" w:space="0"/>
              <w:bottom w:val="single" w:color="auto" w:sz="6" w:space="0"/>
              <w:right w:val="single" w:color="auto" w:sz="12" w:space="0"/>
            </w:tcBorders>
            <w:vAlign w:val="center"/>
          </w:tcPr>
          <w:p w14:paraId="36842255">
            <w:pPr>
              <w:adjustRightInd w:val="0"/>
              <w:spacing w:line="360" w:lineRule="atLeast"/>
              <w:jc w:val="center"/>
              <w:textAlignment w:val="baseline"/>
              <w:rPr>
                <w:rFonts w:hint="eastAsia" w:ascii="宋体" w:hAnsi="宋体" w:cs="宋体"/>
                <w:b/>
                <w:color w:val="auto"/>
                <w:kern w:val="0"/>
                <w:szCs w:val="21"/>
                <w:highlight w:val="none"/>
              </w:rPr>
            </w:pPr>
            <w:r>
              <w:rPr>
                <w:rFonts w:hint="eastAsia" w:ascii="宋体" w:hAnsi="宋体" w:cs="宋体"/>
                <w:b/>
                <w:color w:val="auto"/>
                <w:kern w:val="0"/>
                <w:szCs w:val="21"/>
                <w:highlight w:val="none"/>
              </w:rPr>
              <w:t>符 合 性 评 审 内 容</w:t>
            </w:r>
          </w:p>
        </w:tc>
      </w:tr>
      <w:tr w14:paraId="0A880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1"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40D9330C">
            <w:pPr>
              <w:numPr>
                <w:ilvl w:val="0"/>
                <w:numId w:val="10"/>
              </w:numPr>
              <w:tabs>
                <w:tab w:val="left" w:pos="176"/>
                <w:tab w:val="left" w:pos="612"/>
              </w:tabs>
              <w:adjustRightInd w:val="0"/>
              <w:spacing w:line="240" w:lineRule="atLeast"/>
              <w:ind w:firstLine="0"/>
              <w:jc w:val="center"/>
              <w:textAlignment w:val="baseline"/>
              <w:rPr>
                <w:rFonts w:hint="eastAsia" w:ascii="宋体" w:hAnsi="宋体" w:cs="宋体"/>
                <w:color w:val="auto"/>
                <w:kern w:val="0"/>
                <w:szCs w:val="21"/>
                <w:highlight w:val="none"/>
              </w:rPr>
            </w:pPr>
          </w:p>
        </w:tc>
        <w:tc>
          <w:tcPr>
            <w:tcW w:w="4427" w:type="pct"/>
            <w:tcBorders>
              <w:top w:val="single" w:color="auto" w:sz="6" w:space="0"/>
              <w:left w:val="single" w:color="auto" w:sz="6" w:space="0"/>
              <w:bottom w:val="single" w:color="auto" w:sz="6" w:space="0"/>
              <w:right w:val="single" w:color="auto" w:sz="12" w:space="0"/>
            </w:tcBorders>
            <w:vAlign w:val="center"/>
          </w:tcPr>
          <w:p w14:paraId="25AB39F8">
            <w:pPr>
              <w:tabs>
                <w:tab w:val="left" w:pos="612"/>
              </w:tabs>
              <w:adjustRightInd w:val="0"/>
              <w:spacing w:line="360" w:lineRule="atLeas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按照遴选文件规定要求签署、盖章且参选文件有法定代表人签字或盖个人名章（或签字人有法定代表人有效授权书）的；</w:t>
            </w:r>
          </w:p>
        </w:tc>
      </w:tr>
      <w:tr w14:paraId="12A94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01E1B5CC">
            <w:pPr>
              <w:numPr>
                <w:ilvl w:val="0"/>
                <w:numId w:val="10"/>
              </w:numPr>
              <w:tabs>
                <w:tab w:val="left" w:pos="176"/>
                <w:tab w:val="left" w:pos="612"/>
              </w:tabs>
              <w:adjustRightInd w:val="0"/>
              <w:spacing w:line="240" w:lineRule="atLeast"/>
              <w:ind w:firstLine="0"/>
              <w:jc w:val="center"/>
              <w:textAlignment w:val="baseline"/>
              <w:rPr>
                <w:rFonts w:hint="eastAsia" w:ascii="宋体" w:hAnsi="宋体" w:cs="宋体"/>
                <w:color w:val="auto"/>
                <w:kern w:val="0"/>
                <w:szCs w:val="21"/>
                <w:highlight w:val="none"/>
              </w:rPr>
            </w:pPr>
          </w:p>
        </w:tc>
        <w:tc>
          <w:tcPr>
            <w:tcW w:w="4427" w:type="pct"/>
            <w:tcBorders>
              <w:top w:val="single" w:color="auto" w:sz="6" w:space="0"/>
              <w:left w:val="single" w:color="auto" w:sz="6" w:space="0"/>
              <w:bottom w:val="single" w:color="auto" w:sz="6" w:space="0"/>
              <w:right w:val="single" w:color="auto" w:sz="12" w:space="0"/>
            </w:tcBorders>
            <w:vAlign w:val="center"/>
          </w:tcPr>
          <w:p w14:paraId="3FB32D71">
            <w:pPr>
              <w:tabs>
                <w:tab w:val="left" w:pos="612"/>
              </w:tabs>
              <w:adjustRightInd w:val="0"/>
              <w:spacing w:line="360" w:lineRule="atLeas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参选函已提交并符合遴选文件要求的，且</w:t>
            </w:r>
            <w:r>
              <w:rPr>
                <w:rFonts w:hint="eastAsia" w:ascii="宋体" w:hAnsi="宋体" w:cs="Times New Roman"/>
                <w:color w:val="auto"/>
                <w:kern w:val="0"/>
                <w:szCs w:val="21"/>
                <w:highlight w:val="none"/>
              </w:rPr>
              <w:t>参选有效期不少于遴选文件中载明的参选有效期；</w:t>
            </w:r>
          </w:p>
        </w:tc>
      </w:tr>
      <w:tr w14:paraId="76C88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0"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5FF5D9F2">
            <w:pPr>
              <w:numPr>
                <w:ilvl w:val="0"/>
                <w:numId w:val="10"/>
              </w:numPr>
              <w:tabs>
                <w:tab w:val="left" w:pos="176"/>
                <w:tab w:val="left" w:pos="612"/>
              </w:tabs>
              <w:adjustRightInd w:val="0"/>
              <w:spacing w:line="240" w:lineRule="atLeast"/>
              <w:ind w:firstLine="0"/>
              <w:jc w:val="center"/>
              <w:textAlignment w:val="baseline"/>
              <w:rPr>
                <w:rFonts w:hint="eastAsia" w:ascii="宋体" w:hAnsi="宋体" w:cs="宋体"/>
                <w:color w:val="auto"/>
                <w:kern w:val="0"/>
                <w:szCs w:val="21"/>
                <w:highlight w:val="none"/>
              </w:rPr>
            </w:pPr>
          </w:p>
        </w:tc>
        <w:tc>
          <w:tcPr>
            <w:tcW w:w="4427" w:type="pct"/>
            <w:tcBorders>
              <w:top w:val="single" w:color="auto" w:sz="6" w:space="0"/>
              <w:left w:val="single" w:color="auto" w:sz="6" w:space="0"/>
              <w:bottom w:val="single" w:color="auto" w:sz="6" w:space="0"/>
              <w:right w:val="single" w:color="auto" w:sz="12" w:space="0"/>
            </w:tcBorders>
            <w:vAlign w:val="center"/>
          </w:tcPr>
          <w:p w14:paraId="1656172C">
            <w:pPr>
              <w:tabs>
                <w:tab w:val="left" w:pos="612"/>
              </w:tabs>
              <w:adjustRightInd w:val="0"/>
              <w:spacing w:line="360" w:lineRule="atLeas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参选</w:t>
            </w:r>
            <w:r>
              <w:rPr>
                <w:rFonts w:hint="eastAsia" w:ascii="宋体" w:hAnsi="宋体" w:cs="宋体"/>
                <w:color w:val="auto"/>
                <w:kern w:val="0"/>
                <w:szCs w:val="21"/>
                <w:highlight w:val="none"/>
              </w:rPr>
              <w:t>文件完全满足</w:t>
            </w:r>
            <w:r>
              <w:rPr>
                <w:rFonts w:hint="eastAsia" w:ascii="宋体" w:hAnsi="宋体" w:cs="宋体"/>
                <w:color w:val="auto"/>
                <w:kern w:val="0"/>
                <w:szCs w:val="21"/>
                <w:highlight w:val="none"/>
                <w:lang w:val="en-US" w:eastAsia="zh-CN"/>
              </w:rPr>
              <w:t>遴选</w:t>
            </w:r>
            <w:r>
              <w:rPr>
                <w:rFonts w:hint="eastAsia" w:ascii="宋体" w:hAnsi="宋体" w:cs="宋体"/>
                <w:color w:val="auto"/>
                <w:kern w:val="0"/>
                <w:szCs w:val="21"/>
                <w:highlight w:val="none"/>
              </w:rPr>
              <w:t>文件的实质性条款（即标注★号条款）无负偏离的；</w:t>
            </w:r>
          </w:p>
        </w:tc>
      </w:tr>
      <w:tr w14:paraId="3A843E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470571D6">
            <w:pPr>
              <w:numPr>
                <w:ilvl w:val="0"/>
                <w:numId w:val="10"/>
              </w:numPr>
              <w:tabs>
                <w:tab w:val="left" w:pos="176"/>
                <w:tab w:val="left" w:pos="612"/>
              </w:tabs>
              <w:adjustRightInd w:val="0"/>
              <w:spacing w:line="240" w:lineRule="atLeast"/>
              <w:ind w:firstLine="0"/>
              <w:jc w:val="center"/>
              <w:textAlignment w:val="baseline"/>
              <w:rPr>
                <w:rFonts w:hint="eastAsia" w:ascii="宋体" w:hAnsi="宋体" w:cs="宋体"/>
                <w:color w:val="auto"/>
                <w:kern w:val="0"/>
                <w:szCs w:val="21"/>
                <w:highlight w:val="none"/>
              </w:rPr>
            </w:pPr>
          </w:p>
        </w:tc>
        <w:tc>
          <w:tcPr>
            <w:tcW w:w="4427" w:type="pct"/>
            <w:tcBorders>
              <w:top w:val="single" w:color="auto" w:sz="6" w:space="0"/>
              <w:left w:val="single" w:color="auto" w:sz="6" w:space="0"/>
              <w:bottom w:val="single" w:color="auto" w:sz="6" w:space="0"/>
              <w:right w:val="single" w:color="auto" w:sz="12" w:space="0"/>
            </w:tcBorders>
            <w:vAlign w:val="center"/>
          </w:tcPr>
          <w:p w14:paraId="4F454C6D">
            <w:pPr>
              <w:adjustRightInd w:val="0"/>
              <w:spacing w:line="360" w:lineRule="atLeast"/>
              <w:ind w:left="1"/>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参选文件未出现选择性报价或有附加条件报价的情形；</w:t>
            </w:r>
          </w:p>
        </w:tc>
      </w:tr>
      <w:tr w14:paraId="131BD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573" w:type="pct"/>
            <w:tcBorders>
              <w:top w:val="single" w:color="auto" w:sz="6" w:space="0"/>
              <w:left w:val="single" w:color="auto" w:sz="12" w:space="0"/>
              <w:bottom w:val="single" w:color="auto" w:sz="6" w:space="0"/>
              <w:right w:val="single" w:color="auto" w:sz="6" w:space="0"/>
            </w:tcBorders>
            <w:vAlign w:val="center"/>
          </w:tcPr>
          <w:p w14:paraId="653F16D0">
            <w:pPr>
              <w:numPr>
                <w:ilvl w:val="0"/>
                <w:numId w:val="10"/>
              </w:numPr>
              <w:tabs>
                <w:tab w:val="left" w:pos="176"/>
                <w:tab w:val="left" w:pos="612"/>
              </w:tabs>
              <w:adjustRightInd w:val="0"/>
              <w:spacing w:line="240" w:lineRule="atLeast"/>
              <w:ind w:firstLine="0"/>
              <w:jc w:val="center"/>
              <w:textAlignment w:val="baseline"/>
              <w:rPr>
                <w:rFonts w:hint="eastAsia" w:ascii="宋体" w:hAnsi="宋体" w:cs="宋体"/>
                <w:color w:val="auto"/>
                <w:kern w:val="0"/>
                <w:szCs w:val="21"/>
                <w:highlight w:val="none"/>
              </w:rPr>
            </w:pPr>
          </w:p>
        </w:tc>
        <w:tc>
          <w:tcPr>
            <w:tcW w:w="4427" w:type="pct"/>
            <w:tcBorders>
              <w:top w:val="single" w:color="auto" w:sz="6" w:space="0"/>
              <w:left w:val="single" w:color="auto" w:sz="6" w:space="0"/>
              <w:bottom w:val="single" w:color="auto" w:sz="6" w:space="0"/>
              <w:right w:val="single" w:color="auto" w:sz="12" w:space="0"/>
            </w:tcBorders>
            <w:vAlign w:val="center"/>
          </w:tcPr>
          <w:p w14:paraId="0293A3EA">
            <w:pPr>
              <w:adjustRightInd w:val="0"/>
              <w:spacing w:line="360" w:lineRule="atLeas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参选文件没有遴选文件中规定的其它无效参选条款的；</w:t>
            </w:r>
          </w:p>
        </w:tc>
      </w:tr>
      <w:tr w14:paraId="72AE1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jc w:val="center"/>
        </w:trPr>
        <w:tc>
          <w:tcPr>
            <w:tcW w:w="573" w:type="pct"/>
            <w:tcBorders>
              <w:top w:val="single" w:color="auto" w:sz="6" w:space="0"/>
              <w:left w:val="single" w:color="auto" w:sz="12" w:space="0"/>
              <w:bottom w:val="single" w:color="auto" w:sz="12" w:space="0"/>
              <w:right w:val="single" w:color="auto" w:sz="6" w:space="0"/>
            </w:tcBorders>
            <w:vAlign w:val="center"/>
          </w:tcPr>
          <w:p w14:paraId="32090C8D">
            <w:pPr>
              <w:numPr>
                <w:ilvl w:val="0"/>
                <w:numId w:val="10"/>
              </w:numPr>
              <w:tabs>
                <w:tab w:val="left" w:pos="176"/>
                <w:tab w:val="left" w:pos="612"/>
              </w:tabs>
              <w:adjustRightInd w:val="0"/>
              <w:spacing w:line="240" w:lineRule="atLeast"/>
              <w:ind w:firstLine="0"/>
              <w:jc w:val="center"/>
              <w:textAlignment w:val="baseline"/>
              <w:rPr>
                <w:rFonts w:hint="eastAsia" w:ascii="宋体" w:hAnsi="宋体" w:cs="宋体"/>
                <w:color w:val="auto"/>
                <w:kern w:val="0"/>
                <w:szCs w:val="21"/>
                <w:highlight w:val="none"/>
              </w:rPr>
            </w:pPr>
          </w:p>
        </w:tc>
        <w:tc>
          <w:tcPr>
            <w:tcW w:w="4427" w:type="pct"/>
            <w:tcBorders>
              <w:top w:val="single" w:color="auto" w:sz="6" w:space="0"/>
              <w:left w:val="single" w:color="auto" w:sz="6" w:space="0"/>
              <w:bottom w:val="single" w:color="auto" w:sz="12" w:space="0"/>
              <w:right w:val="single" w:color="auto" w:sz="12" w:space="0"/>
            </w:tcBorders>
            <w:vAlign w:val="center"/>
          </w:tcPr>
          <w:p w14:paraId="05B70A0C">
            <w:pPr>
              <w:adjustRightInd w:val="0"/>
              <w:spacing w:line="360" w:lineRule="atLeas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按有关法律、法规、规章不属于参选无效的。</w:t>
            </w:r>
          </w:p>
        </w:tc>
      </w:tr>
    </w:tbl>
    <w:p w14:paraId="037D83EC">
      <w:pPr>
        <w:numPr>
          <w:ilvl w:val="0"/>
          <w:numId w:val="5"/>
        </w:numPr>
        <w:spacing w:line="360" w:lineRule="auto"/>
        <w:rPr>
          <w:rFonts w:hint="eastAsia" w:ascii="宋体" w:hAnsi="宋体" w:cs="Times New Roman"/>
          <w:b/>
          <w:bCs/>
          <w:color w:val="auto"/>
          <w:highlight w:val="none"/>
        </w:rPr>
      </w:pPr>
      <w:r>
        <w:rPr>
          <w:rFonts w:hint="eastAsia" w:ascii="宋体" w:hAnsi="宋体" w:cs="Times New Roman"/>
          <w:b/>
          <w:bCs/>
          <w:color w:val="auto"/>
          <w:highlight w:val="none"/>
        </w:rPr>
        <w:t>报价要求（报价时需要提供以下盖章资料，并对上传的参选文件资料承担责任）</w:t>
      </w:r>
    </w:p>
    <w:p w14:paraId="7973B1C0">
      <w:pPr>
        <w:numPr>
          <w:ilvl w:val="0"/>
          <w:numId w:val="11"/>
        </w:numPr>
        <w:spacing w:line="360" w:lineRule="auto"/>
        <w:ind w:left="704" w:hanging="284"/>
        <w:rPr>
          <w:rFonts w:hint="eastAsia" w:ascii="宋体" w:hAnsi="宋体" w:cs="Times New Roman"/>
          <w:color w:val="auto"/>
          <w:highlight w:val="none"/>
        </w:rPr>
      </w:pPr>
      <w:r>
        <w:rPr>
          <w:rFonts w:hint="eastAsia" w:ascii="宋体" w:hAnsi="宋体" w:cs="Times New Roman"/>
          <w:color w:val="auto"/>
          <w:szCs w:val="21"/>
          <w:highlight w:val="none"/>
        </w:rPr>
        <w:t>通过报名参选人应根据本公告要求，在规定的时间内对遴选项目进行响应，同时按本公告要求完整</w:t>
      </w:r>
      <w:r>
        <w:rPr>
          <w:rFonts w:hint="eastAsia" w:ascii="宋体" w:hAnsi="宋体" w:cs="宋体"/>
          <w:color w:val="auto"/>
          <w:szCs w:val="21"/>
          <w:highlight w:val="none"/>
        </w:rPr>
        <w:t>、真实、准确地填写并</w:t>
      </w:r>
      <w:r>
        <w:rPr>
          <w:rFonts w:hint="eastAsia" w:ascii="宋体" w:hAnsi="宋体" w:cs="Times New Roman"/>
          <w:color w:val="auto"/>
          <w:szCs w:val="21"/>
          <w:highlight w:val="none"/>
        </w:rPr>
        <w:t>上传相应报价附件（</w:t>
      </w:r>
      <w:r>
        <w:rPr>
          <w:rFonts w:hint="eastAsia" w:ascii="宋体" w:hAnsi="宋体" w:cs="Times New Roman"/>
          <w:b/>
          <w:bCs/>
          <w:color w:val="auto"/>
          <w:szCs w:val="21"/>
          <w:highlight w:val="none"/>
          <w:u w:val="double"/>
        </w:rPr>
        <w:t>报价表和参选文件</w:t>
      </w:r>
      <w:r>
        <w:rPr>
          <w:rFonts w:hint="eastAsia" w:ascii="宋体" w:hAnsi="宋体" w:cs="Times New Roman"/>
          <w:color w:val="auto"/>
          <w:szCs w:val="21"/>
          <w:highlight w:val="none"/>
        </w:rPr>
        <w:t>）。</w:t>
      </w:r>
    </w:p>
    <w:p w14:paraId="2278BB48">
      <w:pPr>
        <w:numPr>
          <w:ilvl w:val="0"/>
          <w:numId w:val="11"/>
        </w:numPr>
        <w:spacing w:line="360" w:lineRule="auto"/>
        <w:ind w:left="704" w:hanging="284"/>
        <w:rPr>
          <w:rFonts w:hint="eastAsia" w:ascii="宋体" w:hAnsi="宋体" w:cs="Times New Roman"/>
          <w:b/>
          <w:color w:val="auto"/>
          <w:highlight w:val="none"/>
          <w:u w:val="double"/>
        </w:rPr>
      </w:pPr>
      <w:r>
        <w:rPr>
          <w:rFonts w:hint="eastAsia" w:ascii="宋体" w:hAnsi="宋体" w:cs="宋体"/>
          <w:b/>
          <w:bCs/>
          <w:color w:val="auto"/>
          <w:highlight w:val="none"/>
          <w:u w:val="double"/>
        </w:rPr>
        <w:t>报价机会仅为1次，</w:t>
      </w:r>
      <w:r>
        <w:rPr>
          <w:rFonts w:hint="eastAsia" w:ascii="宋体" w:hAnsi="宋体" w:cs="宋体"/>
          <w:b/>
          <w:bCs/>
          <w:color w:val="auto"/>
          <w:highlight w:val="none"/>
          <w:u w:val="double"/>
          <w:lang w:eastAsia="zh-CN"/>
        </w:rPr>
        <w:t>参选人</w:t>
      </w:r>
      <w:r>
        <w:rPr>
          <w:rFonts w:hint="eastAsia" w:ascii="宋体" w:hAnsi="宋体" w:cs="宋体"/>
          <w:b/>
          <w:bCs/>
          <w:color w:val="auto"/>
          <w:highlight w:val="none"/>
          <w:u w:val="double"/>
        </w:rPr>
        <w:t>应谨慎提交报价，由于错传、漏传、填错等原因导致的相关后果均由</w:t>
      </w:r>
      <w:r>
        <w:rPr>
          <w:rFonts w:hint="eastAsia" w:ascii="宋体" w:hAnsi="宋体" w:cs="宋体"/>
          <w:b/>
          <w:bCs/>
          <w:color w:val="auto"/>
          <w:highlight w:val="none"/>
          <w:u w:val="double"/>
          <w:lang w:eastAsia="zh-CN"/>
        </w:rPr>
        <w:t>参选人</w:t>
      </w:r>
      <w:r>
        <w:rPr>
          <w:rFonts w:hint="eastAsia" w:ascii="宋体" w:hAnsi="宋体" w:cs="宋体"/>
          <w:b/>
          <w:bCs/>
          <w:color w:val="auto"/>
          <w:highlight w:val="none"/>
          <w:u w:val="double"/>
        </w:rPr>
        <w:t>自行承担</w:t>
      </w:r>
      <w:r>
        <w:rPr>
          <w:rFonts w:hint="eastAsia" w:ascii="宋体" w:hAnsi="宋体" w:cs="宋体"/>
          <w:b/>
          <w:color w:val="auto"/>
          <w:szCs w:val="21"/>
          <w:highlight w:val="none"/>
          <w:u w:val="double"/>
        </w:rPr>
        <w:t>。</w:t>
      </w:r>
    </w:p>
    <w:p w14:paraId="10763B34">
      <w:pPr>
        <w:numPr>
          <w:ilvl w:val="0"/>
          <w:numId w:val="5"/>
        </w:numPr>
        <w:spacing w:line="360" w:lineRule="auto"/>
        <w:rPr>
          <w:rFonts w:hint="eastAsia" w:ascii="宋体" w:hAnsi="宋体" w:cs="Times New Roman"/>
          <w:b/>
          <w:bCs/>
          <w:color w:val="auto"/>
          <w:highlight w:val="none"/>
        </w:rPr>
      </w:pPr>
      <w:r>
        <w:rPr>
          <w:rFonts w:hint="eastAsia" w:ascii="宋体" w:hAnsi="宋体" w:cs="Times New Roman"/>
          <w:b/>
          <w:bCs/>
          <w:color w:val="auto"/>
          <w:highlight w:val="none"/>
        </w:rPr>
        <w:t>确定候选人（参选人须在系统报价环节上传参选文件并报价，参选文件请按照遴选文件第三章参选文件模板进行编制后打印，每页加盖公章后扫描成一个P</w:t>
      </w:r>
      <w:r>
        <w:rPr>
          <w:rFonts w:ascii="宋体" w:hAnsi="宋体" w:cs="Times New Roman"/>
          <w:b/>
          <w:bCs/>
          <w:color w:val="auto"/>
          <w:highlight w:val="none"/>
        </w:rPr>
        <w:t>DF</w:t>
      </w:r>
      <w:r>
        <w:rPr>
          <w:rFonts w:hint="eastAsia" w:ascii="宋体" w:hAnsi="宋体" w:cs="Times New Roman"/>
          <w:b/>
          <w:bCs/>
          <w:color w:val="auto"/>
          <w:highlight w:val="none"/>
        </w:rPr>
        <w:t>上传即可）</w:t>
      </w:r>
    </w:p>
    <w:p w14:paraId="4E355370">
      <w:pPr>
        <w:numPr>
          <w:ilvl w:val="0"/>
          <w:numId w:val="12"/>
        </w:numPr>
        <w:spacing w:line="360" w:lineRule="auto"/>
        <w:ind w:left="704" w:hanging="284"/>
        <w:rPr>
          <w:rFonts w:hint="eastAsia" w:ascii="宋体" w:hAnsi="宋体" w:cs="Times New Roman"/>
          <w:color w:val="auto"/>
          <w:szCs w:val="21"/>
          <w:highlight w:val="none"/>
        </w:rPr>
      </w:pPr>
      <w:r>
        <w:rPr>
          <w:rFonts w:hint="eastAsia" w:ascii="宋体" w:hAnsi="宋体" w:cs="Times New Roman"/>
          <w:b/>
          <w:bCs/>
          <w:color w:val="auto"/>
          <w:szCs w:val="21"/>
          <w:highlight w:val="none"/>
        </w:rPr>
        <w:t>本项目</w:t>
      </w:r>
      <w:r>
        <w:rPr>
          <w:rFonts w:hint="eastAsia" w:ascii="宋体" w:hAnsi="宋体" w:cs="Times New Roman"/>
          <w:b/>
          <w:bCs/>
          <w:color w:val="auto"/>
          <w:szCs w:val="21"/>
          <w:highlight w:val="none"/>
          <w:lang w:val="en-US" w:eastAsia="zh-CN"/>
        </w:rPr>
        <w:t>各包组</w:t>
      </w:r>
      <w:r>
        <w:rPr>
          <w:rFonts w:hint="eastAsia" w:ascii="宋体" w:hAnsi="宋体" w:cs="Times New Roman"/>
          <w:b/>
          <w:bCs/>
          <w:color w:val="auto"/>
          <w:szCs w:val="21"/>
          <w:highlight w:val="none"/>
        </w:rPr>
        <w:t>以综合评分法确定候选人，参与遴选的专家按照评分标准以及权重分配的规定就各个参选人的技术状况、商务状况、价格状况及其对遴选文件要求的响</w:t>
      </w:r>
      <w:r>
        <w:rPr>
          <w:rFonts w:hint="eastAsia" w:ascii="宋体" w:hAnsi="宋体" w:cs="Times New Roman"/>
          <w:color w:val="auto"/>
          <w:szCs w:val="21"/>
          <w:highlight w:val="none"/>
        </w:rPr>
        <w:t>应情况进行评议和比较，评出其技术评分、商务评分和价格评分相加得出其综合得分，推荐综合得分排名第一的参选人为第一候选人，排名第二的参选人为第二候选人，以此类推。若综合得分相同，按参选报价由低到高顺序排列；得分且参选报价相同的并列，参选文件满足遴选文件全部实质性要求，且按照评分因素的量化指标评分得分最高的参选人为候选人。</w:t>
      </w:r>
    </w:p>
    <w:p w14:paraId="69BC0138">
      <w:pPr>
        <w:numPr>
          <w:ilvl w:val="0"/>
          <w:numId w:val="5"/>
        </w:numPr>
        <w:spacing w:line="360" w:lineRule="auto"/>
        <w:rPr>
          <w:rFonts w:hint="eastAsia" w:ascii="宋体" w:hAnsi="宋体" w:cs="Times New Roman"/>
          <w:b/>
          <w:bCs/>
          <w:color w:val="auto"/>
          <w:highlight w:val="none"/>
        </w:rPr>
      </w:pPr>
      <w:r>
        <w:rPr>
          <w:rFonts w:hint="eastAsia" w:ascii="宋体" w:hAnsi="宋体" w:cs="Times New Roman"/>
          <w:b/>
          <w:bCs/>
          <w:color w:val="auto"/>
          <w:highlight w:val="none"/>
        </w:rPr>
        <w:t>无效响应</w:t>
      </w:r>
    </w:p>
    <w:p w14:paraId="56F1A8EC">
      <w:pPr>
        <w:numPr>
          <w:ilvl w:val="0"/>
          <w:numId w:val="13"/>
        </w:numPr>
        <w:spacing w:line="360" w:lineRule="auto"/>
        <w:ind w:left="420" w:firstLine="0"/>
        <w:jc w:val="left"/>
        <w:rPr>
          <w:rFonts w:hint="eastAsia" w:ascii="宋体" w:hAnsi="宋体" w:cs="Times New Roman"/>
          <w:b/>
          <w:bCs/>
          <w:color w:val="auto"/>
          <w:szCs w:val="21"/>
          <w:highlight w:val="none"/>
        </w:rPr>
      </w:pPr>
      <w:r>
        <w:rPr>
          <w:rFonts w:hint="eastAsia" w:ascii="宋体" w:hAnsi="宋体" w:cs="Times New Roman"/>
          <w:b/>
          <w:bCs/>
          <w:color w:val="auto"/>
          <w:szCs w:val="21"/>
          <w:highlight w:val="none"/>
        </w:rPr>
        <w:t>参选人报价超过最高限价或超过项目对应产品单项最高限价的视为无效响应。</w:t>
      </w:r>
    </w:p>
    <w:p w14:paraId="78EA6F77">
      <w:pPr>
        <w:numPr>
          <w:ilvl w:val="0"/>
          <w:numId w:val="13"/>
        </w:numPr>
        <w:spacing w:line="360" w:lineRule="auto"/>
        <w:ind w:left="420" w:firstLine="0"/>
        <w:jc w:val="left"/>
        <w:rPr>
          <w:rFonts w:hint="eastAsia" w:ascii="宋体" w:hAnsi="宋体" w:cs="Times New Roman"/>
          <w:color w:val="auto"/>
          <w:szCs w:val="21"/>
          <w:highlight w:val="none"/>
        </w:rPr>
      </w:pPr>
      <w:r>
        <w:rPr>
          <w:rFonts w:hint="eastAsia" w:ascii="宋体" w:hAnsi="宋体" w:cs="Times New Roman"/>
          <w:color w:val="auto"/>
          <w:szCs w:val="21"/>
          <w:highlight w:val="none"/>
        </w:rPr>
        <w:t>参与遴选的</w:t>
      </w:r>
      <w:r>
        <w:rPr>
          <w:rFonts w:hint="eastAsia" w:ascii="宋体" w:hAnsi="宋体" w:cs="Times New Roman"/>
          <w:bCs/>
          <w:color w:val="auto"/>
          <w:szCs w:val="21"/>
          <w:highlight w:val="none"/>
        </w:rPr>
        <w:t>参选人须提供本项目要求的资质文件，如果不按公告规定或</w:t>
      </w:r>
      <w:r>
        <w:rPr>
          <w:rFonts w:hint="eastAsia" w:ascii="宋体" w:hAnsi="宋体" w:cs="Times New Roman"/>
          <w:color w:val="auto"/>
          <w:szCs w:val="21"/>
          <w:highlight w:val="none"/>
        </w:rPr>
        <w:t>遴选</w:t>
      </w:r>
      <w:r>
        <w:rPr>
          <w:rFonts w:hint="eastAsia" w:ascii="宋体" w:hAnsi="宋体" w:cs="Times New Roman"/>
          <w:bCs/>
          <w:color w:val="auto"/>
          <w:szCs w:val="21"/>
          <w:highlight w:val="none"/>
        </w:rPr>
        <w:t>文件要求等相关规定提供符合要求的资质文件，将被视为无效响应；</w:t>
      </w:r>
    </w:p>
    <w:p w14:paraId="5BC14B91">
      <w:pPr>
        <w:numPr>
          <w:ilvl w:val="0"/>
          <w:numId w:val="13"/>
        </w:numPr>
        <w:spacing w:line="360" w:lineRule="auto"/>
        <w:ind w:left="420" w:firstLine="0"/>
        <w:jc w:val="left"/>
        <w:rPr>
          <w:rFonts w:hint="eastAsia" w:ascii="宋体" w:hAnsi="宋体" w:cs="Times New Roman"/>
          <w:color w:val="auto"/>
          <w:szCs w:val="21"/>
          <w:highlight w:val="none"/>
        </w:rPr>
      </w:pPr>
      <w:r>
        <w:rPr>
          <w:rFonts w:hint="eastAsia" w:ascii="宋体" w:hAnsi="宋体" w:cs="Times New Roman"/>
          <w:color w:val="auto"/>
          <w:szCs w:val="21"/>
          <w:highlight w:val="none"/>
        </w:rPr>
        <w:t>参与遴选的</w:t>
      </w:r>
      <w:r>
        <w:rPr>
          <w:rFonts w:hint="eastAsia" w:ascii="宋体" w:hAnsi="宋体" w:cs="Times New Roman"/>
          <w:bCs/>
          <w:color w:val="auto"/>
          <w:szCs w:val="21"/>
          <w:highlight w:val="none"/>
        </w:rPr>
        <w:t>参选人须对本项目遴选内容进行整体响应，任何只对其中一部分内容进行的响应都被视为无效响应。</w:t>
      </w:r>
    </w:p>
    <w:p w14:paraId="2AE55106">
      <w:pPr>
        <w:numPr>
          <w:ilvl w:val="0"/>
          <w:numId w:val="13"/>
        </w:numPr>
        <w:spacing w:line="360" w:lineRule="auto"/>
        <w:ind w:left="420" w:firstLine="0"/>
        <w:jc w:val="left"/>
        <w:rPr>
          <w:rFonts w:hint="eastAsia" w:ascii="宋体" w:hAnsi="宋体" w:cs="Times New Roman"/>
          <w:color w:val="auto"/>
          <w:szCs w:val="21"/>
          <w:highlight w:val="none"/>
        </w:rPr>
      </w:pPr>
      <w:r>
        <w:rPr>
          <w:rFonts w:hint="eastAsia" w:ascii="宋体" w:hAnsi="宋体" w:cs="Times New Roman"/>
          <w:color w:val="auto"/>
          <w:highlight w:val="none"/>
          <w:u w:val="double"/>
        </w:rPr>
        <w:t>所有参与遴选提供的参选文件，参选人落款的文件</w:t>
      </w:r>
      <w:r>
        <w:rPr>
          <w:rFonts w:ascii="宋体" w:hAnsi="宋体" w:cs="Times New Roman"/>
          <w:color w:val="auto"/>
          <w:highlight w:val="none"/>
          <w:u w:val="double"/>
        </w:rPr>
        <w:t>必须加盖</w:t>
      </w:r>
      <w:r>
        <w:rPr>
          <w:rFonts w:hint="eastAsia" w:ascii="宋体" w:hAnsi="宋体" w:cs="Times New Roman"/>
          <w:color w:val="auto"/>
          <w:highlight w:val="none"/>
          <w:u w:val="double"/>
        </w:rPr>
        <w:t>参选人</w:t>
      </w:r>
      <w:r>
        <w:rPr>
          <w:rFonts w:ascii="宋体" w:hAnsi="宋体" w:cs="Times New Roman"/>
          <w:color w:val="auto"/>
          <w:highlight w:val="none"/>
          <w:u w:val="double"/>
        </w:rPr>
        <w:t>公章，否则视为无效</w:t>
      </w:r>
      <w:r>
        <w:rPr>
          <w:rFonts w:hint="eastAsia" w:ascii="宋体" w:hAnsi="宋体" w:cs="Times New Roman"/>
          <w:color w:val="auto"/>
          <w:highlight w:val="none"/>
          <w:u w:val="double"/>
        </w:rPr>
        <w:t>响应</w:t>
      </w:r>
      <w:r>
        <w:rPr>
          <w:rFonts w:hint="eastAsia" w:ascii="宋体" w:hAnsi="宋体" w:cs="Times New Roman"/>
          <w:color w:val="auto"/>
          <w:highlight w:val="none"/>
        </w:rPr>
        <w:t>；</w:t>
      </w:r>
    </w:p>
    <w:p w14:paraId="77F4E3CD">
      <w:pPr>
        <w:widowControl/>
        <w:numPr>
          <w:ilvl w:val="0"/>
          <w:numId w:val="13"/>
        </w:numPr>
        <w:shd w:val="clear" w:color="auto" w:fill="FFFFFF"/>
        <w:spacing w:line="360" w:lineRule="auto"/>
        <w:ind w:left="420" w:firstLine="0"/>
        <w:jc w:val="left"/>
        <w:rPr>
          <w:rFonts w:hint="eastAsia" w:ascii="宋体" w:hAnsi="宋体" w:cs="宋体"/>
          <w:color w:val="auto"/>
          <w:kern w:val="0"/>
          <w:szCs w:val="21"/>
          <w:highlight w:val="none"/>
        </w:rPr>
      </w:pPr>
      <w:r>
        <w:rPr>
          <w:rFonts w:ascii="宋体" w:hAnsi="宋体" w:cs="宋体"/>
          <w:color w:val="auto"/>
          <w:kern w:val="0"/>
          <w:szCs w:val="21"/>
          <w:highlight w:val="none"/>
        </w:rPr>
        <w:t>大写金额和小写金额不一致的，以大写金额为准；单价金额小数点或者百分比有明显错位的，以报价表的总价为准</w:t>
      </w:r>
      <w:r>
        <w:rPr>
          <w:rFonts w:hint="eastAsia" w:ascii="宋体" w:hAnsi="宋体" w:cs="宋体"/>
          <w:color w:val="auto"/>
          <w:kern w:val="0"/>
          <w:szCs w:val="21"/>
          <w:highlight w:val="none"/>
        </w:rPr>
        <w:t>，并修改单价</w:t>
      </w:r>
      <w:r>
        <w:rPr>
          <w:rFonts w:ascii="宋体" w:hAnsi="宋体" w:cs="宋体"/>
          <w:color w:val="auto"/>
          <w:kern w:val="0"/>
          <w:szCs w:val="21"/>
          <w:highlight w:val="none"/>
        </w:rPr>
        <w:t>；总价金额与按单价汇总金额不一致的，</w:t>
      </w:r>
      <w:r>
        <w:rPr>
          <w:rFonts w:hint="eastAsia" w:ascii="宋体" w:hAnsi="宋体" w:cs="宋体"/>
          <w:color w:val="auto"/>
          <w:kern w:val="0"/>
          <w:szCs w:val="21"/>
          <w:highlight w:val="none"/>
        </w:rPr>
        <w:t>以单价</w:t>
      </w:r>
      <w:r>
        <w:rPr>
          <w:rFonts w:ascii="宋体" w:hAnsi="宋体" w:cs="宋体"/>
          <w:color w:val="auto"/>
          <w:kern w:val="0"/>
          <w:szCs w:val="21"/>
          <w:highlight w:val="none"/>
        </w:rPr>
        <w:t>汇总</w:t>
      </w:r>
      <w:r>
        <w:rPr>
          <w:rFonts w:hint="eastAsia" w:ascii="宋体" w:hAnsi="宋体" w:cs="宋体"/>
          <w:color w:val="auto"/>
          <w:kern w:val="0"/>
          <w:szCs w:val="21"/>
          <w:highlight w:val="none"/>
        </w:rPr>
        <w:t>金额为准；不接受总价优惠折扣形式的报价，参选人应将对项目的优惠直接在清单报价中体现出来。如果参选人不接受对其错误的更正，其报价将被视为无效报价；</w:t>
      </w:r>
    </w:p>
    <w:p w14:paraId="5E6939E0">
      <w:pPr>
        <w:widowControl/>
        <w:numPr>
          <w:ilvl w:val="0"/>
          <w:numId w:val="13"/>
        </w:numPr>
        <w:shd w:val="clear" w:color="auto" w:fill="FFFFFF"/>
        <w:spacing w:line="360" w:lineRule="auto"/>
        <w:ind w:left="420" w:firstLine="0"/>
        <w:jc w:val="left"/>
        <w:rPr>
          <w:rFonts w:hint="eastAsia" w:ascii="宋体" w:hAnsi="宋体" w:cs="宋体"/>
          <w:b w:val="0"/>
          <w:bCs w:val="0"/>
          <w:color w:val="auto"/>
          <w:kern w:val="0"/>
          <w:szCs w:val="21"/>
          <w:highlight w:val="none"/>
          <w:u w:val="none"/>
        </w:rPr>
      </w:pPr>
      <w:r>
        <w:rPr>
          <w:rFonts w:hint="eastAsia" w:ascii="宋体" w:hAnsi="宋体" w:cs="宋体"/>
          <w:b w:val="0"/>
          <w:bCs w:val="0"/>
          <w:color w:val="auto"/>
          <w:kern w:val="0"/>
          <w:szCs w:val="21"/>
          <w:highlight w:val="none"/>
          <w:u w:val="none"/>
        </w:rPr>
        <w:t>按有关法律、法规、规章属于响应无效的。</w:t>
      </w:r>
    </w:p>
    <w:p w14:paraId="783B753C">
      <w:pPr>
        <w:widowControl/>
        <w:numPr>
          <w:ilvl w:val="0"/>
          <w:numId w:val="13"/>
        </w:numPr>
        <w:shd w:val="clear" w:color="auto" w:fill="FFFFFF"/>
        <w:spacing w:line="360" w:lineRule="auto"/>
        <w:ind w:left="420" w:firstLine="0"/>
        <w:jc w:val="left"/>
        <w:rPr>
          <w:rFonts w:hint="eastAsia" w:ascii="宋体" w:hAnsi="宋体" w:cs="宋体"/>
          <w:color w:val="auto"/>
          <w:kern w:val="0"/>
          <w:szCs w:val="21"/>
          <w:highlight w:val="none"/>
        </w:rPr>
      </w:pPr>
      <w:r>
        <w:rPr>
          <w:rFonts w:hint="eastAsia" w:ascii="宋体" w:hAnsi="宋体" w:cs="宋体"/>
          <w:b/>
          <w:color w:val="auto"/>
          <w:kern w:val="0"/>
          <w:szCs w:val="21"/>
          <w:highlight w:val="none"/>
        </w:rPr>
        <w:t>有下列情形之一的，视为串通参与项目，其响应无效：</w:t>
      </w:r>
    </w:p>
    <w:p w14:paraId="598A2DE1">
      <w:pPr>
        <w:widowControl/>
        <w:numPr>
          <w:ilvl w:val="2"/>
          <w:numId w:val="14"/>
        </w:numPr>
        <w:spacing w:line="360" w:lineRule="auto"/>
        <w:ind w:left="851" w:firstLine="0"/>
        <w:jc w:val="left"/>
        <w:rPr>
          <w:rFonts w:hint="eastAsia" w:ascii="宋体" w:hAnsi="宋体" w:cs="Times New Roman"/>
          <w:color w:val="auto"/>
          <w:szCs w:val="21"/>
          <w:highlight w:val="none"/>
        </w:rPr>
      </w:pPr>
      <w:r>
        <w:rPr>
          <w:rFonts w:hint="eastAsia" w:ascii="宋体" w:hAnsi="宋体" w:cs="Times New Roman"/>
          <w:color w:val="auto"/>
          <w:szCs w:val="21"/>
          <w:highlight w:val="none"/>
        </w:rPr>
        <w:t>存在单位负责人为同一人或存在控股、管理关系的不同单位参与同一遴选项目；</w:t>
      </w:r>
    </w:p>
    <w:p w14:paraId="185EB4BB">
      <w:pPr>
        <w:widowControl/>
        <w:numPr>
          <w:ilvl w:val="2"/>
          <w:numId w:val="14"/>
        </w:numPr>
        <w:spacing w:line="360" w:lineRule="auto"/>
        <w:ind w:left="851" w:firstLine="0"/>
        <w:jc w:val="left"/>
        <w:rPr>
          <w:rFonts w:hint="eastAsia" w:ascii="宋体" w:hAnsi="宋体" w:cs="Times New Roman"/>
          <w:color w:val="auto"/>
          <w:szCs w:val="21"/>
          <w:highlight w:val="none"/>
        </w:rPr>
      </w:pPr>
      <w:r>
        <w:rPr>
          <w:rFonts w:hint="eastAsia" w:ascii="宋体" w:hAnsi="宋体" w:cs="Times New Roman"/>
          <w:color w:val="auto"/>
          <w:szCs w:val="21"/>
          <w:highlight w:val="none"/>
        </w:rPr>
        <w:t>不同参选人的参选文件由同一单位或者个人编制；</w:t>
      </w:r>
    </w:p>
    <w:p w14:paraId="54F06B69">
      <w:pPr>
        <w:widowControl/>
        <w:numPr>
          <w:ilvl w:val="2"/>
          <w:numId w:val="14"/>
        </w:numPr>
        <w:spacing w:line="360" w:lineRule="auto"/>
        <w:ind w:left="851" w:firstLine="0"/>
        <w:jc w:val="left"/>
        <w:rPr>
          <w:rFonts w:hint="eastAsia" w:ascii="宋体" w:hAnsi="宋体" w:cs="Times New Roman"/>
          <w:color w:val="auto"/>
          <w:szCs w:val="21"/>
          <w:highlight w:val="none"/>
        </w:rPr>
      </w:pPr>
      <w:r>
        <w:rPr>
          <w:rFonts w:hint="eastAsia" w:ascii="宋体" w:hAnsi="宋体" w:cs="Times New Roman"/>
          <w:color w:val="auto"/>
          <w:szCs w:val="21"/>
          <w:highlight w:val="none"/>
        </w:rPr>
        <w:t>不同参选人委托同一单位或者个人办理遴选事宜；</w:t>
      </w:r>
    </w:p>
    <w:p w14:paraId="7A947BE9">
      <w:pPr>
        <w:widowControl/>
        <w:numPr>
          <w:ilvl w:val="2"/>
          <w:numId w:val="14"/>
        </w:numPr>
        <w:spacing w:line="360" w:lineRule="auto"/>
        <w:ind w:left="851" w:firstLine="0"/>
        <w:jc w:val="left"/>
        <w:rPr>
          <w:rFonts w:hint="eastAsia" w:ascii="宋体" w:hAnsi="宋体" w:cs="Times New Roman"/>
          <w:b/>
          <w:bCs/>
          <w:color w:val="auto"/>
          <w:szCs w:val="21"/>
          <w:highlight w:val="none"/>
          <w:u w:val="double"/>
        </w:rPr>
      </w:pPr>
      <w:r>
        <w:rPr>
          <w:rFonts w:hint="eastAsia" w:ascii="宋体" w:hAnsi="宋体" w:cs="Times New Roman"/>
          <w:b/>
          <w:bCs/>
          <w:color w:val="auto"/>
          <w:szCs w:val="21"/>
          <w:highlight w:val="none"/>
          <w:u w:val="double"/>
        </w:rPr>
        <w:t>不同参选人使用同一IP地址参与遴选；</w:t>
      </w:r>
    </w:p>
    <w:p w14:paraId="347347D8">
      <w:pPr>
        <w:widowControl/>
        <w:numPr>
          <w:ilvl w:val="2"/>
          <w:numId w:val="14"/>
        </w:numPr>
        <w:spacing w:line="360" w:lineRule="auto"/>
        <w:ind w:left="851" w:firstLine="0"/>
        <w:jc w:val="left"/>
        <w:rPr>
          <w:rFonts w:hint="eastAsia" w:ascii="宋体" w:hAnsi="宋体" w:cs="Times New Roman"/>
          <w:color w:val="auto"/>
          <w:szCs w:val="21"/>
          <w:highlight w:val="none"/>
        </w:rPr>
      </w:pPr>
      <w:r>
        <w:rPr>
          <w:rFonts w:hint="eastAsia" w:ascii="宋体" w:hAnsi="宋体" w:cs="Times New Roman"/>
          <w:color w:val="auto"/>
          <w:szCs w:val="21"/>
          <w:highlight w:val="none"/>
        </w:rPr>
        <w:t>不同参选人的参选文件载明的项目管理成员或者联系人员为同一人；</w:t>
      </w:r>
    </w:p>
    <w:p w14:paraId="43B4B559">
      <w:pPr>
        <w:widowControl/>
        <w:numPr>
          <w:ilvl w:val="2"/>
          <w:numId w:val="14"/>
        </w:numPr>
        <w:spacing w:line="360" w:lineRule="auto"/>
        <w:ind w:left="851" w:firstLine="0"/>
        <w:jc w:val="left"/>
        <w:rPr>
          <w:rFonts w:hint="eastAsia" w:ascii="宋体" w:hAnsi="宋体" w:cs="Times New Roman"/>
          <w:color w:val="auto"/>
          <w:szCs w:val="21"/>
          <w:highlight w:val="none"/>
        </w:rPr>
      </w:pPr>
      <w:r>
        <w:rPr>
          <w:rFonts w:hint="eastAsia" w:ascii="宋体" w:hAnsi="宋体" w:cs="Times New Roman"/>
          <w:color w:val="auto"/>
          <w:szCs w:val="21"/>
          <w:highlight w:val="none"/>
        </w:rPr>
        <w:t>不同参选人的参选文件异常一致或者报价呈规律性差异；</w:t>
      </w:r>
    </w:p>
    <w:p w14:paraId="6971318A">
      <w:pPr>
        <w:widowControl/>
        <w:numPr>
          <w:ilvl w:val="2"/>
          <w:numId w:val="14"/>
        </w:numPr>
        <w:spacing w:line="360" w:lineRule="auto"/>
        <w:ind w:left="851" w:firstLine="0"/>
        <w:jc w:val="left"/>
        <w:rPr>
          <w:rFonts w:hint="eastAsia" w:ascii="宋体" w:hAnsi="宋体" w:cs="Times New Roman"/>
          <w:color w:val="auto"/>
          <w:szCs w:val="21"/>
          <w:highlight w:val="none"/>
        </w:rPr>
      </w:pPr>
      <w:r>
        <w:rPr>
          <w:rFonts w:hint="eastAsia" w:ascii="宋体" w:hAnsi="宋体" w:cs="Times New Roman"/>
          <w:color w:val="auto"/>
          <w:szCs w:val="21"/>
          <w:highlight w:val="none"/>
        </w:rPr>
        <w:t>不同参选人的参选文件相互混淆；</w:t>
      </w:r>
    </w:p>
    <w:p w14:paraId="757D5E3C">
      <w:pPr>
        <w:widowControl/>
        <w:numPr>
          <w:ilvl w:val="2"/>
          <w:numId w:val="14"/>
        </w:numPr>
        <w:spacing w:line="360" w:lineRule="auto"/>
        <w:ind w:left="851" w:firstLine="0"/>
        <w:jc w:val="left"/>
        <w:rPr>
          <w:rFonts w:hint="eastAsia" w:ascii="宋体" w:hAnsi="宋体" w:cs="Times New Roman"/>
          <w:color w:val="auto"/>
          <w:szCs w:val="21"/>
          <w:highlight w:val="none"/>
        </w:rPr>
      </w:pPr>
      <w:r>
        <w:rPr>
          <w:rFonts w:hint="eastAsia" w:ascii="宋体" w:hAnsi="宋体" w:cs="Times New Roman"/>
          <w:color w:val="auto"/>
          <w:szCs w:val="21"/>
          <w:highlight w:val="none"/>
        </w:rPr>
        <w:t>不同参选人的平台使用费从同一单位或者个人的账户转出</w:t>
      </w:r>
      <w:r>
        <w:rPr>
          <w:rFonts w:hint="eastAsia" w:ascii="宋体" w:hAnsi="宋体" w:cs="Times New Roman"/>
          <w:color w:val="auto"/>
          <w:szCs w:val="21"/>
          <w:highlight w:val="none"/>
          <w:lang w:eastAsia="zh-CN"/>
        </w:rPr>
        <w:t>。</w:t>
      </w:r>
    </w:p>
    <w:p w14:paraId="320FC854">
      <w:pPr>
        <w:numPr>
          <w:ilvl w:val="0"/>
          <w:numId w:val="5"/>
        </w:numPr>
        <w:spacing w:line="360" w:lineRule="auto"/>
        <w:rPr>
          <w:rFonts w:hint="eastAsia" w:ascii="宋体" w:hAnsi="宋体" w:cs="Times New Roman"/>
          <w:b/>
          <w:bCs/>
          <w:color w:val="auto"/>
          <w:highlight w:val="none"/>
        </w:rPr>
      </w:pPr>
      <w:r>
        <w:rPr>
          <w:rFonts w:hint="eastAsia" w:ascii="宋体" w:hAnsi="宋体" w:cs="Times New Roman"/>
          <w:b/>
          <w:bCs/>
          <w:color w:val="auto"/>
          <w:highlight w:val="none"/>
        </w:rPr>
        <w:t>失败情形</w:t>
      </w:r>
    </w:p>
    <w:p w14:paraId="5D19C5C2">
      <w:pPr>
        <w:numPr>
          <w:ilvl w:val="0"/>
          <w:numId w:val="15"/>
        </w:numPr>
        <w:spacing w:line="360" w:lineRule="auto"/>
        <w:ind w:left="420" w:leftChars="200"/>
        <w:rPr>
          <w:rFonts w:hint="eastAsia" w:ascii="宋体" w:hAnsi="宋体" w:cs="Times New Roman"/>
          <w:color w:val="auto"/>
          <w:highlight w:val="none"/>
        </w:rPr>
      </w:pPr>
      <w:r>
        <w:rPr>
          <w:rFonts w:hint="eastAsia" w:ascii="宋体" w:hAnsi="宋体" w:cs="Times New Roman"/>
          <w:color w:val="auto"/>
          <w:szCs w:val="21"/>
          <w:highlight w:val="none"/>
        </w:rPr>
        <w:t>出现下列情况的，本次遴选活动失败：</w:t>
      </w:r>
    </w:p>
    <w:p w14:paraId="535A3ED3">
      <w:pPr>
        <w:numPr>
          <w:ilvl w:val="0"/>
          <w:numId w:val="16"/>
        </w:numPr>
        <w:spacing w:line="360" w:lineRule="auto"/>
        <w:ind w:left="855" w:leftChars="407"/>
        <w:rPr>
          <w:rFonts w:hint="eastAsia" w:ascii="宋体" w:hAnsi="宋体" w:cs="Times New Roman"/>
          <w:color w:val="auto"/>
          <w:highlight w:val="none"/>
        </w:rPr>
      </w:pPr>
      <w:r>
        <w:rPr>
          <w:rFonts w:hint="eastAsia" w:ascii="宋体" w:hAnsi="宋体" w:cs="Times New Roman"/>
          <w:color w:val="auto"/>
          <w:highlight w:val="none"/>
        </w:rPr>
        <w:t>报名参选人不足3家；</w:t>
      </w:r>
    </w:p>
    <w:p w14:paraId="779C7C27">
      <w:pPr>
        <w:numPr>
          <w:ilvl w:val="0"/>
          <w:numId w:val="16"/>
        </w:numPr>
        <w:spacing w:line="360" w:lineRule="auto"/>
        <w:ind w:left="855" w:leftChars="407"/>
        <w:rPr>
          <w:rFonts w:hint="eastAsia" w:ascii="宋体" w:hAnsi="宋体" w:cs="Times New Roman"/>
          <w:color w:val="auto"/>
          <w:szCs w:val="21"/>
          <w:highlight w:val="none"/>
        </w:rPr>
      </w:pPr>
      <w:r>
        <w:rPr>
          <w:rFonts w:hint="eastAsia" w:ascii="宋体" w:hAnsi="宋体" w:cs="Times New Roman"/>
          <w:color w:val="auto"/>
          <w:highlight w:val="none"/>
        </w:rPr>
        <w:t>有效参与遴选的参选人不足3家。</w:t>
      </w:r>
    </w:p>
    <w:p w14:paraId="0C3B3FA3">
      <w:pPr>
        <w:numPr>
          <w:ilvl w:val="0"/>
          <w:numId w:val="15"/>
        </w:numPr>
        <w:spacing w:line="360" w:lineRule="auto"/>
        <w:ind w:left="420" w:leftChars="200"/>
        <w:rPr>
          <w:rFonts w:hint="eastAsia" w:ascii="宋体" w:hAnsi="宋体" w:cs="Times New Roman"/>
          <w:color w:val="auto"/>
          <w:szCs w:val="21"/>
          <w:highlight w:val="none"/>
        </w:rPr>
      </w:pPr>
      <w:r>
        <w:rPr>
          <w:rFonts w:ascii="宋体" w:hAnsi="宋体" w:cs="Times New Roman"/>
          <w:color w:val="auto"/>
          <w:szCs w:val="21"/>
          <w:highlight w:val="none"/>
        </w:rPr>
        <w:t>出现影响</w:t>
      </w:r>
      <w:r>
        <w:rPr>
          <w:rFonts w:hint="eastAsia" w:ascii="宋体" w:hAnsi="宋体" w:cs="Times New Roman"/>
          <w:color w:val="auto"/>
          <w:szCs w:val="21"/>
          <w:highlight w:val="none"/>
        </w:rPr>
        <w:t>遴选</w:t>
      </w:r>
      <w:r>
        <w:rPr>
          <w:rFonts w:ascii="宋体" w:hAnsi="宋体" w:cs="Times New Roman"/>
          <w:color w:val="auto"/>
          <w:szCs w:val="21"/>
          <w:highlight w:val="none"/>
        </w:rPr>
        <w:t>公正的违法、违规行为的</w:t>
      </w:r>
      <w:r>
        <w:rPr>
          <w:rFonts w:hint="eastAsia" w:ascii="宋体" w:hAnsi="宋体" w:cs="Times New Roman"/>
          <w:color w:val="auto"/>
          <w:szCs w:val="21"/>
          <w:highlight w:val="none"/>
        </w:rPr>
        <w:t>；</w:t>
      </w:r>
    </w:p>
    <w:p w14:paraId="1DA72E7D">
      <w:pPr>
        <w:numPr>
          <w:ilvl w:val="0"/>
          <w:numId w:val="15"/>
        </w:numPr>
        <w:spacing w:line="360" w:lineRule="auto"/>
        <w:ind w:left="420" w:leftChars="200"/>
        <w:rPr>
          <w:rFonts w:hint="eastAsia" w:ascii="宋体" w:hAnsi="宋体" w:cs="Times New Roman"/>
          <w:color w:val="auto"/>
          <w:szCs w:val="21"/>
          <w:highlight w:val="none"/>
        </w:rPr>
      </w:pPr>
      <w:r>
        <w:rPr>
          <w:rFonts w:ascii="宋体" w:hAnsi="宋体" w:cs="Times New Roman"/>
          <w:color w:val="auto"/>
          <w:szCs w:val="21"/>
          <w:highlight w:val="none"/>
        </w:rPr>
        <w:t>因重大变故，</w:t>
      </w:r>
      <w:r>
        <w:rPr>
          <w:rFonts w:hint="eastAsia" w:ascii="宋体" w:hAnsi="宋体" w:cs="Times New Roman"/>
          <w:color w:val="auto"/>
          <w:szCs w:val="21"/>
          <w:highlight w:val="none"/>
        </w:rPr>
        <w:t>遴选</w:t>
      </w:r>
      <w:r>
        <w:rPr>
          <w:rFonts w:ascii="宋体" w:hAnsi="宋体" w:cs="Times New Roman"/>
          <w:color w:val="auto"/>
          <w:szCs w:val="21"/>
          <w:highlight w:val="none"/>
        </w:rPr>
        <w:t>任务取消的</w:t>
      </w:r>
      <w:r>
        <w:rPr>
          <w:rFonts w:hint="eastAsia" w:ascii="宋体" w:hAnsi="宋体" w:cs="Times New Roman"/>
          <w:color w:val="auto"/>
          <w:szCs w:val="21"/>
          <w:highlight w:val="none"/>
          <w:lang w:eastAsia="zh-CN"/>
        </w:rPr>
        <w:t>。</w:t>
      </w:r>
    </w:p>
    <w:p w14:paraId="6433CDF4">
      <w:pPr>
        <w:numPr>
          <w:ilvl w:val="0"/>
          <w:numId w:val="5"/>
        </w:numPr>
        <w:spacing w:line="360" w:lineRule="auto"/>
        <w:rPr>
          <w:rFonts w:hint="eastAsia" w:ascii="宋体" w:hAnsi="宋体" w:cs="Times New Roman"/>
          <w:b/>
          <w:bCs/>
          <w:color w:val="auto"/>
          <w:highlight w:val="none"/>
        </w:rPr>
      </w:pPr>
      <w:r>
        <w:rPr>
          <w:rFonts w:hint="eastAsia" w:ascii="宋体" w:hAnsi="宋体" w:cs="Times New Roman"/>
          <w:b/>
          <w:bCs/>
          <w:color w:val="auto"/>
          <w:highlight w:val="none"/>
        </w:rPr>
        <w:t>平台使用费</w:t>
      </w:r>
    </w:p>
    <w:p w14:paraId="0D421373">
      <w:pPr>
        <w:numPr>
          <w:ilvl w:val="0"/>
          <w:numId w:val="17"/>
        </w:numPr>
        <w:spacing w:line="360" w:lineRule="auto"/>
        <w:ind w:left="715" w:hanging="284"/>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各包组</w:t>
      </w:r>
      <w:r>
        <w:rPr>
          <w:rFonts w:hint="eastAsia" w:ascii="宋体" w:hAnsi="宋体" w:cs="Times New Roman"/>
          <w:color w:val="auto"/>
          <w:szCs w:val="21"/>
          <w:highlight w:val="none"/>
        </w:rPr>
        <w:t>候选人须向平台服务方云采链线上采购一体化平台缴纳平台使用费，金额为</w:t>
      </w:r>
      <w:r>
        <w:rPr>
          <w:rFonts w:hint="eastAsia" w:ascii="宋体" w:hAnsi="宋体" w:cs="Times New Roman"/>
          <w:color w:val="auto"/>
          <w:szCs w:val="21"/>
          <w:highlight w:val="none"/>
          <w:lang w:val="en-US" w:eastAsia="zh-CN"/>
        </w:rPr>
        <w:t>对应包组</w:t>
      </w:r>
      <w:r>
        <w:rPr>
          <w:rFonts w:hint="eastAsia" w:ascii="宋体" w:hAnsi="宋体" w:cs="Times New Roman"/>
          <w:color w:val="auto"/>
          <w:szCs w:val="21"/>
          <w:highlight w:val="none"/>
        </w:rPr>
        <w:t>候选金额的1.</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%（四舍五入取整数）。</w:t>
      </w:r>
    </w:p>
    <w:p w14:paraId="25CC8189">
      <w:pPr>
        <w:numPr>
          <w:ilvl w:val="0"/>
          <w:numId w:val="17"/>
        </w:numPr>
        <w:spacing w:line="360" w:lineRule="auto"/>
        <w:ind w:left="715" w:hanging="284"/>
        <w:rPr>
          <w:rFonts w:hint="eastAsia" w:ascii="宋体" w:hAnsi="宋体" w:cs="Times New Roman"/>
          <w:color w:val="auto"/>
          <w:szCs w:val="21"/>
          <w:highlight w:val="none"/>
        </w:rPr>
      </w:pPr>
      <w:r>
        <w:rPr>
          <w:rFonts w:hint="eastAsia" w:ascii="宋体" w:hAnsi="宋体" w:cs="Times New Roman"/>
          <w:bCs/>
          <w:color w:val="auto"/>
          <w:szCs w:val="21"/>
          <w:highlight w:val="none"/>
        </w:rPr>
        <w:t>候选人</w:t>
      </w:r>
      <w:r>
        <w:rPr>
          <w:rFonts w:hint="eastAsia" w:ascii="宋体" w:hAnsi="宋体" w:cs="Times New Roman"/>
          <w:color w:val="auto"/>
          <w:szCs w:val="21"/>
          <w:highlight w:val="none"/>
        </w:rPr>
        <w:t>无正当理由放弃</w:t>
      </w:r>
      <w:r>
        <w:rPr>
          <w:rFonts w:hint="eastAsia" w:ascii="宋体" w:hAnsi="宋体" w:cs="Times New Roman"/>
          <w:bCs/>
          <w:color w:val="auto"/>
          <w:szCs w:val="21"/>
          <w:highlight w:val="none"/>
        </w:rPr>
        <w:t>候选</w:t>
      </w:r>
      <w:r>
        <w:rPr>
          <w:rFonts w:hint="eastAsia" w:ascii="宋体" w:hAnsi="宋体" w:cs="Times New Roman"/>
          <w:color w:val="auto"/>
          <w:szCs w:val="21"/>
          <w:highlight w:val="none"/>
        </w:rPr>
        <w:t>资格的必须按遴选公告等相关规定缴纳相应的平台使用费。</w:t>
      </w:r>
    </w:p>
    <w:p w14:paraId="4E401EE4">
      <w:pPr>
        <w:numPr>
          <w:ilvl w:val="0"/>
          <w:numId w:val="17"/>
        </w:numPr>
        <w:spacing w:line="360" w:lineRule="auto"/>
        <w:ind w:left="715" w:hanging="284"/>
        <w:rPr>
          <w:rFonts w:hint="eastAsia" w:ascii="宋体" w:hAnsi="宋体" w:cs="Times New Roman"/>
          <w:color w:val="auto"/>
          <w:szCs w:val="21"/>
          <w:highlight w:val="none"/>
        </w:rPr>
      </w:pPr>
      <w:r>
        <w:rPr>
          <w:rFonts w:hint="eastAsia" w:ascii="宋体" w:hAnsi="宋体" w:cs="Times New Roman"/>
          <w:color w:val="auto"/>
          <w:szCs w:val="21"/>
          <w:highlight w:val="none"/>
        </w:rPr>
        <w:t>如确实因不可抗力放弃</w:t>
      </w:r>
      <w:r>
        <w:rPr>
          <w:rFonts w:hint="eastAsia" w:ascii="宋体" w:hAnsi="宋体" w:cs="Times New Roman"/>
          <w:bCs/>
          <w:color w:val="auto"/>
          <w:szCs w:val="21"/>
          <w:highlight w:val="none"/>
        </w:rPr>
        <w:t>候选</w:t>
      </w:r>
      <w:r>
        <w:rPr>
          <w:rFonts w:hint="eastAsia" w:ascii="宋体" w:hAnsi="宋体" w:cs="Times New Roman"/>
          <w:color w:val="auto"/>
          <w:szCs w:val="21"/>
          <w:highlight w:val="none"/>
        </w:rPr>
        <w:t>资格的，应在不可抗力发生后三个工作日内予以通知平台服务方并提供相关的证明；如逾期，平台服务方不予退还平台使用费。</w:t>
      </w:r>
    </w:p>
    <w:p w14:paraId="3DFE2008">
      <w:pPr>
        <w:numPr>
          <w:ilvl w:val="0"/>
          <w:numId w:val="5"/>
        </w:numPr>
        <w:spacing w:line="360" w:lineRule="auto"/>
        <w:rPr>
          <w:rFonts w:hint="eastAsia" w:ascii="宋体" w:hAnsi="宋体" w:cs="Times New Roman"/>
          <w:b/>
          <w:bCs/>
          <w:color w:val="auto"/>
          <w:highlight w:val="none"/>
        </w:rPr>
      </w:pPr>
      <w:r>
        <w:rPr>
          <w:rFonts w:hint="eastAsia" w:ascii="宋体" w:hAnsi="宋体" w:cs="Times New Roman"/>
          <w:b/>
          <w:bCs/>
          <w:color w:val="auto"/>
          <w:highlight w:val="none"/>
        </w:rPr>
        <w:t>联系方式</w:t>
      </w:r>
    </w:p>
    <w:p w14:paraId="1B95142C">
      <w:pPr>
        <w:pStyle w:val="46"/>
        <w:widowControl/>
        <w:spacing w:line="360" w:lineRule="auto"/>
        <w:ind w:left="420" w:firstLine="0" w:firstLineChars="0"/>
        <w:jc w:val="left"/>
        <w:rPr>
          <w:rFonts w:hint="eastAsia" w:ascii="宋体" w:hAnsi="宋体"/>
          <w:color w:val="auto"/>
          <w:highlight w:val="none"/>
        </w:rPr>
      </w:pPr>
      <w:r>
        <w:rPr>
          <w:rFonts w:ascii="宋体" w:hAnsi="宋体" w:cs="Times New Roman"/>
          <w:color w:val="auto"/>
          <w:highlight w:val="none"/>
        </w:rPr>
        <w:t>扫码关注微信公众号“云采链互联服务平台”，即可在线咨询相关事项</w:t>
      </w:r>
      <w:r>
        <w:rPr>
          <w:rFonts w:hint="eastAsia" w:ascii="宋体" w:hAnsi="宋体" w:cs="Times New Roman"/>
          <w:color w:val="auto"/>
          <w:highlight w:val="none"/>
        </w:rPr>
        <w:t>。</w:t>
      </w:r>
    </w:p>
    <w:p w14:paraId="21977CC0">
      <w:pPr>
        <w:pStyle w:val="46"/>
        <w:widowControl/>
        <w:spacing w:line="360" w:lineRule="auto"/>
        <w:ind w:left="420" w:firstLine="0" w:firstLineChars="0"/>
        <w:jc w:val="center"/>
        <w:rPr>
          <w:rFonts w:hint="eastAsia" w:ascii="宋体" w:hAnsi="宋体"/>
          <w:b/>
          <w:color w:val="auto"/>
          <w:highlight w:val="none"/>
        </w:rPr>
      </w:pPr>
      <w:r>
        <w:rPr>
          <w:rFonts w:hint="eastAsia" w:ascii="宋体" w:hAnsi="宋体"/>
          <w:color w:val="auto"/>
          <w:highlight w:val="none"/>
        </w:rPr>
        <w:drawing>
          <wp:inline distT="0" distB="0" distL="114300" distR="114300">
            <wp:extent cx="1390650" cy="139065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7" cstate="print">
                      <a:lum/>
                    </a:blip>
                    <a:stretch>
                      <a:fillRect/>
                    </a:stretch>
                  </pic:blipFill>
                  <pic:spPr>
                    <a:xfrm>
                      <a:off x="0" y="0"/>
                      <a:ext cx="1390650" cy="1390650"/>
                    </a:xfrm>
                    <a:prstGeom prst="rect">
                      <a:avLst/>
                    </a:prstGeom>
                    <a:noFill/>
                    <a:ln>
                      <a:noFill/>
                    </a:ln>
                  </pic:spPr>
                </pic:pic>
              </a:graphicData>
            </a:graphic>
          </wp:inline>
        </w:drawing>
      </w:r>
    </w:p>
    <w:p w14:paraId="139F1708">
      <w:pPr>
        <w:pStyle w:val="31"/>
        <w:spacing w:before="0" w:after="0"/>
        <w:rPr>
          <w:rFonts w:hint="eastAsia" w:ascii="宋体" w:hAnsi="宋体"/>
          <w:color w:val="auto"/>
          <w:kern w:val="0"/>
          <w:highlight w:val="none"/>
          <w:lang w:val="zh-CN"/>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color w:val="auto"/>
          <w:kern w:val="0"/>
          <w:highlight w:val="none"/>
          <w:lang w:val="zh-CN"/>
        </w:rPr>
        <w:br w:type="page"/>
      </w:r>
    </w:p>
    <w:p w14:paraId="5B666509">
      <w:pPr>
        <w:pStyle w:val="31"/>
        <w:numPr>
          <w:ilvl w:val="0"/>
          <w:numId w:val="18"/>
        </w:numPr>
        <w:spacing w:before="0" w:after="0"/>
        <w:rPr>
          <w:rFonts w:hint="eastAsia" w:ascii="宋体" w:hAnsi="宋体"/>
          <w:color w:val="auto"/>
          <w:kern w:val="0"/>
          <w:highlight w:val="none"/>
          <w:lang w:val="zh-CN"/>
        </w:rPr>
      </w:pPr>
      <w:r>
        <w:rPr>
          <w:rFonts w:hint="eastAsia" w:ascii="宋体" w:hAnsi="宋体"/>
          <w:color w:val="auto"/>
          <w:kern w:val="0"/>
          <w:highlight w:val="none"/>
          <w:lang w:val="zh-CN"/>
        </w:rPr>
        <w:t>用户需求书</w:t>
      </w:r>
    </w:p>
    <w:p w14:paraId="1064F9EF">
      <w:pPr>
        <w:numPr>
          <w:ilvl w:val="0"/>
          <w:numId w:val="0"/>
        </w:numPr>
        <w:spacing w:line="36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说明：</w:t>
      </w:r>
    </w:p>
    <w:p w14:paraId="7CF255C3">
      <w:pPr>
        <w:numPr>
          <w:ilvl w:val="0"/>
          <w:numId w:val="19"/>
        </w:numPr>
        <w:tabs>
          <w:tab w:val="left" w:pos="567"/>
        </w:tabs>
        <w:autoSpaceDE/>
        <w:autoSpaceDN/>
        <w:snapToGrid w:val="0"/>
        <w:spacing w:line="360" w:lineRule="auto"/>
        <w:ind w:left="0" w:leftChars="0" w:firstLine="420" w:firstLineChars="0"/>
        <w:jc w:val="both"/>
        <w:textAlignment w:val="baseline"/>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用户需求书</w:t>
      </w:r>
      <w:r>
        <w:rPr>
          <w:rFonts w:hint="eastAsia" w:asciiTheme="minorEastAsia" w:hAnsiTheme="minorEastAsia" w:eastAsiaTheme="minorEastAsia" w:cstheme="minorEastAsia"/>
          <w:b/>
          <w:bCs/>
          <w:color w:val="auto"/>
          <w:sz w:val="21"/>
          <w:szCs w:val="21"/>
          <w:highlight w:val="none"/>
        </w:rPr>
        <w:t>中标注“★”号条款为实质性条款，必须逐条进行响应，有任何一条负偏离的，</w:t>
      </w:r>
      <w:r>
        <w:rPr>
          <w:rFonts w:hint="eastAsia" w:asciiTheme="minorEastAsia" w:hAnsiTheme="minorEastAsia" w:eastAsiaTheme="minorEastAsia" w:cstheme="minorEastAsia"/>
          <w:b/>
          <w:bCs/>
          <w:color w:val="auto"/>
          <w:sz w:val="21"/>
          <w:szCs w:val="21"/>
          <w:highlight w:val="none"/>
          <w:lang w:val="en-US" w:eastAsia="zh-CN"/>
        </w:rPr>
        <w:t>视为无效响应</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适用于各包组</w:t>
      </w:r>
      <w:r>
        <w:rPr>
          <w:rFonts w:hint="eastAsia" w:asciiTheme="minorEastAsia" w:hAnsiTheme="minorEastAsia" w:eastAsiaTheme="minorEastAsia" w:cstheme="minorEastAsia"/>
          <w:b/>
          <w:bCs/>
          <w:color w:val="auto"/>
          <w:sz w:val="21"/>
          <w:szCs w:val="21"/>
          <w:highlight w:val="none"/>
          <w:lang w:eastAsia="zh-CN"/>
        </w:rPr>
        <w:t>）</w:t>
      </w:r>
    </w:p>
    <w:p w14:paraId="5BCE3B06">
      <w:pPr>
        <w:numPr>
          <w:ilvl w:val="0"/>
          <w:numId w:val="0"/>
        </w:numPr>
        <w:tabs>
          <w:tab w:val="left" w:pos="567"/>
        </w:tabs>
        <w:autoSpaceDE/>
        <w:autoSpaceDN/>
        <w:snapToGrid w:val="0"/>
        <w:spacing w:line="360" w:lineRule="auto"/>
        <w:ind w:leftChars="0"/>
        <w:jc w:val="both"/>
        <w:textAlignment w:val="baseline"/>
        <w:rPr>
          <w:rFonts w:hint="eastAsia" w:asciiTheme="minorEastAsia" w:hAnsiTheme="minorEastAsia" w:eastAsiaTheme="minorEastAsia" w:cstheme="minorEastAsia"/>
          <w:color w:val="auto"/>
          <w:sz w:val="21"/>
          <w:szCs w:val="21"/>
          <w:highlight w:val="none"/>
        </w:rPr>
      </w:pPr>
    </w:p>
    <w:p w14:paraId="66C7D2CF">
      <w:pPr>
        <w:pStyle w:val="169"/>
        <w:numPr>
          <w:ilvl w:val="0"/>
          <w:numId w:val="20"/>
        </w:num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项目一览表</w:t>
      </w:r>
    </w:p>
    <w:tbl>
      <w:tblPr>
        <w:tblStyle w:val="35"/>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935"/>
        <w:gridCol w:w="811"/>
        <w:gridCol w:w="2245"/>
        <w:gridCol w:w="2285"/>
      </w:tblGrid>
      <w:tr w14:paraId="1768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1055" w:type="dxa"/>
            <w:shd w:val="clear" w:color="auto" w:fill="EEECE1"/>
            <w:vAlign w:val="center"/>
          </w:tcPr>
          <w:p w14:paraId="2362151B">
            <w:pPr>
              <w:spacing w:line="240" w:lineRule="auto"/>
              <w:jc w:val="center"/>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包组号</w:t>
            </w:r>
          </w:p>
        </w:tc>
        <w:tc>
          <w:tcPr>
            <w:tcW w:w="2935" w:type="dxa"/>
            <w:shd w:val="clear" w:color="auto" w:fill="EEECE1"/>
            <w:vAlign w:val="center"/>
          </w:tcPr>
          <w:p w14:paraId="71E8D61C">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包组</w:t>
            </w:r>
            <w:r>
              <w:rPr>
                <w:rFonts w:hint="eastAsia" w:asciiTheme="minorEastAsia" w:hAnsiTheme="minorEastAsia" w:eastAsiaTheme="minorEastAsia" w:cstheme="minorEastAsia"/>
                <w:b/>
                <w:color w:val="auto"/>
                <w:sz w:val="21"/>
                <w:szCs w:val="21"/>
                <w:highlight w:val="none"/>
              </w:rPr>
              <w:t>遴选内容</w:t>
            </w:r>
          </w:p>
        </w:tc>
        <w:tc>
          <w:tcPr>
            <w:tcW w:w="811" w:type="dxa"/>
            <w:shd w:val="clear" w:color="auto" w:fill="EEECE1"/>
            <w:vAlign w:val="center"/>
          </w:tcPr>
          <w:p w14:paraId="05AB933F">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2245" w:type="dxa"/>
            <w:shd w:val="clear" w:color="auto" w:fill="EEECE1"/>
            <w:vAlign w:val="center"/>
          </w:tcPr>
          <w:p w14:paraId="4DC6E39F">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完成期</w:t>
            </w:r>
          </w:p>
        </w:tc>
        <w:tc>
          <w:tcPr>
            <w:tcW w:w="2285" w:type="dxa"/>
            <w:shd w:val="clear" w:color="auto" w:fill="EEECE1"/>
            <w:vAlign w:val="center"/>
          </w:tcPr>
          <w:p w14:paraId="678CF4DC">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最高限价</w:t>
            </w:r>
          </w:p>
          <w:p w14:paraId="6DF0606D">
            <w:pPr>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（人民币</w:t>
            </w:r>
            <w:r>
              <w:rPr>
                <w:rFonts w:hint="eastAsia" w:asciiTheme="minorEastAsia" w:hAnsiTheme="minorEastAsia" w:eastAsia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color w:val="auto"/>
                <w:sz w:val="21"/>
                <w:szCs w:val="21"/>
                <w:highlight w:val="none"/>
              </w:rPr>
              <w:t>元）</w:t>
            </w:r>
          </w:p>
        </w:tc>
      </w:tr>
      <w:tr w14:paraId="36C0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5" w:hRule="atLeast"/>
          <w:jc w:val="center"/>
        </w:trPr>
        <w:tc>
          <w:tcPr>
            <w:tcW w:w="1055" w:type="dxa"/>
            <w:vAlign w:val="center"/>
          </w:tcPr>
          <w:p w14:paraId="6CCB2961">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包组三</w:t>
            </w:r>
          </w:p>
        </w:tc>
        <w:tc>
          <w:tcPr>
            <w:tcW w:w="2935" w:type="dxa"/>
            <w:vAlign w:val="center"/>
          </w:tcPr>
          <w:p w14:paraId="1DED367D">
            <w:pPr>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智慧校园资源管理平台（NVERP系统）模块更新完善</w:t>
            </w:r>
          </w:p>
        </w:tc>
        <w:tc>
          <w:tcPr>
            <w:tcW w:w="811" w:type="dxa"/>
            <w:vAlign w:val="center"/>
          </w:tcPr>
          <w:p w14:paraId="4705FABE">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1项</w:t>
            </w:r>
          </w:p>
        </w:tc>
        <w:tc>
          <w:tcPr>
            <w:tcW w:w="2245" w:type="dxa"/>
            <w:vAlign w:val="center"/>
          </w:tcPr>
          <w:p w14:paraId="77CFE872">
            <w:pPr>
              <w:pStyle w:val="47"/>
              <w:spacing w:before="0" w:after="0" w:line="240" w:lineRule="auto"/>
              <w:rPr>
                <w:rFonts w:hint="eastAsia" w:asciiTheme="minorEastAsia" w:hAnsiTheme="minorEastAsia" w:eastAsiaTheme="minorEastAsia" w:cstheme="minorEastAsia"/>
                <w:color w:val="auto"/>
                <w:spacing w:val="0"/>
                <w:kern w:val="2"/>
                <w:sz w:val="21"/>
                <w:szCs w:val="21"/>
                <w:highlight w:val="none"/>
              </w:rPr>
            </w:pPr>
            <w:r>
              <w:rPr>
                <w:rFonts w:hint="eastAsia" w:asciiTheme="minorEastAsia" w:hAnsiTheme="minorEastAsia" w:eastAsiaTheme="minorEastAsia" w:cstheme="minorEastAsia"/>
                <w:color w:val="auto"/>
                <w:spacing w:val="0"/>
                <w:kern w:val="2"/>
                <w:sz w:val="21"/>
                <w:szCs w:val="21"/>
                <w:highlight w:val="none"/>
              </w:rPr>
              <w:t>合同签订后</w:t>
            </w:r>
            <w:r>
              <w:rPr>
                <w:rFonts w:hint="eastAsia" w:asciiTheme="minorEastAsia" w:hAnsiTheme="minorEastAsia" w:eastAsiaTheme="minorEastAsia" w:cstheme="minorEastAsia"/>
                <w:color w:val="auto"/>
                <w:spacing w:val="0"/>
                <w:kern w:val="2"/>
                <w:sz w:val="21"/>
                <w:szCs w:val="21"/>
                <w:highlight w:val="none"/>
                <w:lang w:val="en-US" w:eastAsia="zh-CN"/>
              </w:rPr>
              <w:t>3</w:t>
            </w:r>
            <w:r>
              <w:rPr>
                <w:rFonts w:hint="eastAsia" w:asciiTheme="minorEastAsia" w:hAnsiTheme="minorEastAsia" w:eastAsiaTheme="minorEastAsia" w:cstheme="minorEastAsia"/>
                <w:color w:val="auto"/>
                <w:spacing w:val="0"/>
                <w:kern w:val="2"/>
                <w:sz w:val="21"/>
                <w:szCs w:val="21"/>
                <w:highlight w:val="none"/>
              </w:rPr>
              <w:t>个</w:t>
            </w:r>
            <w:r>
              <w:rPr>
                <w:rFonts w:hint="eastAsia" w:asciiTheme="minorEastAsia" w:hAnsiTheme="minorEastAsia" w:eastAsiaTheme="minorEastAsia" w:cstheme="minorEastAsia"/>
                <w:color w:val="auto"/>
                <w:spacing w:val="0"/>
                <w:kern w:val="2"/>
                <w:sz w:val="21"/>
                <w:szCs w:val="21"/>
                <w:highlight w:val="none"/>
                <w:lang w:val="en-US" w:eastAsia="zh-CN"/>
              </w:rPr>
              <w:t>月</w:t>
            </w:r>
            <w:r>
              <w:rPr>
                <w:rFonts w:hint="eastAsia" w:asciiTheme="minorEastAsia" w:hAnsiTheme="minorEastAsia" w:eastAsiaTheme="minorEastAsia" w:cstheme="minorEastAsia"/>
                <w:color w:val="auto"/>
                <w:spacing w:val="0"/>
                <w:kern w:val="2"/>
                <w:sz w:val="21"/>
                <w:szCs w:val="21"/>
                <w:highlight w:val="none"/>
              </w:rPr>
              <w:t>内完成项目的实施交付</w:t>
            </w:r>
          </w:p>
        </w:tc>
        <w:tc>
          <w:tcPr>
            <w:tcW w:w="2285" w:type="dxa"/>
            <w:vAlign w:val="center"/>
          </w:tcPr>
          <w:p w14:paraId="51DEFEB5">
            <w:pPr>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人民币</w:t>
            </w:r>
            <w:r>
              <w:rPr>
                <w:rFonts w:hint="eastAsia" w:asciiTheme="minorEastAsia" w:hAnsiTheme="minorEastAsia" w:eastAsiaTheme="minorEastAsia" w:cstheme="minorEastAsia"/>
                <w:bCs/>
                <w:color w:val="auto"/>
                <w:sz w:val="21"/>
                <w:szCs w:val="21"/>
                <w:highlight w:val="none"/>
                <w:lang w:val="en-US" w:eastAsia="zh-CN"/>
              </w:rPr>
              <w:t>205800.00</w:t>
            </w:r>
            <w:r>
              <w:rPr>
                <w:rFonts w:hint="eastAsia" w:asciiTheme="minorEastAsia" w:hAnsiTheme="minorEastAsia" w:eastAsiaTheme="minorEastAsia" w:cstheme="minorEastAsia"/>
                <w:bCs/>
                <w:color w:val="auto"/>
                <w:sz w:val="21"/>
                <w:szCs w:val="21"/>
                <w:highlight w:val="none"/>
              </w:rPr>
              <w:t>元</w:t>
            </w:r>
          </w:p>
        </w:tc>
      </w:tr>
    </w:tbl>
    <w:p w14:paraId="39DEF3C3">
      <w:pPr>
        <w:numPr>
          <w:ilvl w:val="-1"/>
          <w:numId w:val="0"/>
        </w:numPr>
        <w:adjustRightInd w:val="0"/>
        <w:snapToGrid w:val="0"/>
        <w:spacing w:before="156" w:after="156" w:line="360" w:lineRule="auto"/>
        <w:ind w:leftChars="0" w:firstLine="1476" w:firstLineChars="70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包组三：</w:t>
      </w:r>
      <w:r>
        <w:rPr>
          <w:rFonts w:hint="eastAsia" w:asciiTheme="minorEastAsia" w:hAnsiTheme="minorEastAsia" w:eastAsiaTheme="minorEastAsia" w:cstheme="minorEastAsia"/>
          <w:b/>
          <w:bCs/>
          <w:color w:val="auto"/>
          <w:sz w:val="21"/>
          <w:szCs w:val="21"/>
          <w:highlight w:val="none"/>
        </w:rPr>
        <w:t>智慧校园资源管理平台（NVERP系统）模块更新完善</w:t>
      </w:r>
    </w:p>
    <w:p w14:paraId="4051C5B4">
      <w:pPr>
        <w:pStyle w:val="169"/>
        <w:numPr>
          <w:ilvl w:val="0"/>
          <w:numId w:val="21"/>
        </w:numPr>
        <w:spacing w:line="360" w:lineRule="auto"/>
        <w:ind w:left="0" w:leftChars="0" w:firstLine="0" w:firstLineChars="0"/>
        <w:jc w:val="both"/>
        <w:outlineLvl w:val="1"/>
        <w:rPr>
          <w:rFonts w:hint="eastAsia" w:asciiTheme="minorEastAsia" w:hAnsiTheme="minorEastAsia" w:eastAsiaTheme="minorEastAsia" w:cstheme="minorEastAsia"/>
          <w:b/>
          <w:bCs/>
          <w:color w:val="auto"/>
          <w:sz w:val="21"/>
          <w:szCs w:val="21"/>
          <w:highlight w:val="none"/>
        </w:rPr>
      </w:pPr>
      <w:bookmarkStart w:id="3" w:name="_Toc11541"/>
      <w:bookmarkStart w:id="4" w:name="_Toc31798"/>
      <w:bookmarkStart w:id="5" w:name="_Toc21761"/>
      <w:r>
        <w:rPr>
          <w:rFonts w:hint="eastAsia" w:asciiTheme="minorEastAsia" w:hAnsiTheme="minorEastAsia" w:eastAsiaTheme="minorEastAsia" w:cstheme="minorEastAsia"/>
          <w:b/>
          <w:bCs/>
          <w:color w:val="auto"/>
          <w:sz w:val="21"/>
          <w:szCs w:val="21"/>
          <w:highlight w:val="none"/>
        </w:rPr>
        <w:t>项目背景概述</w:t>
      </w:r>
      <w:bookmarkEnd w:id="3"/>
      <w:bookmarkEnd w:id="4"/>
      <w:bookmarkEnd w:id="5"/>
    </w:p>
    <w:p w14:paraId="0C5B075E">
      <w:pPr>
        <w:widowControl/>
        <w:spacing w:line="360" w:lineRule="auto"/>
        <w:ind w:firstLine="405" w:firstLineChars="193"/>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广州市机电技师学院的学管系统及教务系统自2020年投入使用以来，已经顺利运行了四年。随着学生管理和教务管理需求的不断发展，现有平台的功能已逐渐无法满足日益增长的需求。因此，迫切需要对学管系统及教务系统进行全面的更新和改进，以更好地支持学院的管理工作和教学活动，提升整体的管理效率和用户体验。</w:t>
      </w:r>
      <w:r>
        <w:rPr>
          <w:rFonts w:hint="eastAsia" w:asciiTheme="minorEastAsia" w:hAnsiTheme="minorEastAsia" w:eastAsiaTheme="minorEastAsia" w:cstheme="minorEastAsia"/>
          <w:color w:val="auto"/>
          <w:kern w:val="0"/>
          <w:sz w:val="21"/>
          <w:szCs w:val="21"/>
          <w:highlight w:val="none"/>
          <w:lang w:val="en-US" w:eastAsia="zh-CN"/>
        </w:rPr>
        <w:t>具体</w:t>
      </w:r>
      <w:r>
        <w:rPr>
          <w:rFonts w:hint="eastAsia" w:asciiTheme="minorEastAsia" w:hAnsiTheme="minorEastAsia" w:eastAsiaTheme="minorEastAsia" w:cstheme="minorEastAsia"/>
          <w:color w:val="auto"/>
          <w:kern w:val="0"/>
          <w:sz w:val="21"/>
          <w:szCs w:val="21"/>
          <w:highlight w:val="none"/>
        </w:rPr>
        <w:t>包含有：</w:t>
      </w:r>
    </w:p>
    <w:p w14:paraId="1DE0AB75">
      <w:pPr>
        <w:widowControl/>
        <w:numPr>
          <w:ilvl w:val="0"/>
          <w:numId w:val="22"/>
        </w:numPr>
        <w:spacing w:line="360" w:lineRule="auto"/>
        <w:ind w:left="0" w:leftChars="0" w:firstLine="42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学管系统开发学生请假模块，实现放假安排、学生请假申请、审批、销假和记录管理等功能，并联动宿舍晚点名模块。通过学生请假模块的开发，学生处可以更加方便地进行假期安排和学生请假管理，同时提高了学校的管理效率和数据准确性。</w:t>
      </w:r>
    </w:p>
    <w:p w14:paraId="2DFE234D">
      <w:pPr>
        <w:widowControl/>
        <w:numPr>
          <w:ilvl w:val="0"/>
          <w:numId w:val="22"/>
        </w:numPr>
        <w:spacing w:line="360" w:lineRule="auto"/>
        <w:ind w:left="0" w:leftChars="0" w:firstLine="42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随着</w:t>
      </w:r>
      <w:r>
        <w:rPr>
          <w:rFonts w:hint="eastAsia" w:asciiTheme="minorEastAsia" w:hAnsiTheme="minorEastAsia" w:eastAsiaTheme="minorEastAsia" w:cstheme="minorEastAsia"/>
          <w:color w:val="auto"/>
          <w:sz w:val="21"/>
          <w:szCs w:val="21"/>
          <w:highlight w:val="none"/>
          <w:lang w:val="en-US" w:eastAsia="zh-CN"/>
        </w:rPr>
        <w:t>教务业务的发展，对系统提出了新的业务需求，包含教学管理、机房预约优化、外出管理及教学日志等模块的业务调整升级，开发新的教师教学业务档案模块</w:t>
      </w:r>
      <w:r>
        <w:rPr>
          <w:rFonts w:hint="eastAsia" w:asciiTheme="minorEastAsia" w:hAnsiTheme="minorEastAsia" w:eastAsiaTheme="minorEastAsia" w:cstheme="minorEastAsia"/>
          <w:color w:val="auto"/>
          <w:sz w:val="21"/>
          <w:szCs w:val="21"/>
          <w:highlight w:val="none"/>
        </w:rPr>
        <w:t>。</w:t>
      </w:r>
    </w:p>
    <w:p w14:paraId="7DD7AB87">
      <w:pPr>
        <w:pStyle w:val="169"/>
        <w:numPr>
          <w:ilvl w:val="0"/>
          <w:numId w:val="21"/>
        </w:numPr>
        <w:spacing w:line="360" w:lineRule="auto"/>
        <w:ind w:left="0" w:leftChars="0" w:firstLine="0" w:firstLineChars="0"/>
        <w:jc w:val="both"/>
        <w:outlineLvl w:val="1"/>
        <w:rPr>
          <w:rFonts w:hint="eastAsia" w:asciiTheme="minorEastAsia" w:hAnsiTheme="minorEastAsia" w:eastAsiaTheme="minorEastAsia" w:cstheme="minorEastAsia"/>
          <w:b/>
          <w:bCs/>
          <w:color w:val="auto"/>
          <w:sz w:val="21"/>
          <w:szCs w:val="21"/>
          <w:highlight w:val="none"/>
        </w:rPr>
      </w:pPr>
      <w:bookmarkStart w:id="6" w:name="_Toc5068"/>
      <w:bookmarkStart w:id="7" w:name="_Toc8894"/>
      <w:bookmarkStart w:id="8" w:name="_Toc18572"/>
      <w:r>
        <w:rPr>
          <w:rFonts w:hint="eastAsia" w:asciiTheme="minorEastAsia" w:hAnsiTheme="minorEastAsia" w:eastAsiaTheme="minorEastAsia" w:cstheme="minorEastAsia"/>
          <w:b/>
          <w:bCs/>
          <w:color w:val="auto"/>
          <w:sz w:val="21"/>
          <w:szCs w:val="21"/>
          <w:highlight w:val="none"/>
        </w:rPr>
        <w:t>项目目标</w:t>
      </w:r>
      <w:bookmarkEnd w:id="6"/>
      <w:bookmarkEnd w:id="7"/>
      <w:bookmarkEnd w:id="8"/>
    </w:p>
    <w:p w14:paraId="2ED29D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项目的目标是通过全面更新和改进学管系统及教务系统，以更好地支持学院的管理工作和教学活动，提升整体的管理效率和用户体验。具体目标包括：</w:t>
      </w:r>
    </w:p>
    <w:p w14:paraId="35D7BF4A">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实现学生请假模块的开发，包括放假安排、学生请假申请、审批、销假和记录管理等功能，同时与宿舍晚点名模块实现联动。通过这一功能的实现，学生处能够更加方便地进行假期安排和学生请假管理，提高学校的管理效率和数据准确性。</w:t>
      </w:r>
    </w:p>
    <w:p w14:paraId="29003E3A">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对系统进行业务调整升级，满足教务业务的发展需求，包括教学管理、机房预约优化、外出管理及教学日志等模块的更新。特别地，开发新的教师教学业务档案模块，以更好地记录和管理教师的教学业务信息。</w:t>
      </w:r>
    </w:p>
    <w:p w14:paraId="705094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通过实现上述目标，项目旨在提高学管系统及教务系统的功能性和适用性，使其能够更好地满足学院管理和教学活动的需求，从而提升学校整体的管理水平和教学质量。</w:t>
      </w:r>
    </w:p>
    <w:p w14:paraId="58D835DC">
      <w:pPr>
        <w:pStyle w:val="169"/>
        <w:numPr>
          <w:ilvl w:val="0"/>
          <w:numId w:val="21"/>
        </w:numPr>
        <w:spacing w:line="360" w:lineRule="auto"/>
        <w:ind w:left="0" w:leftChars="0" w:firstLine="0" w:firstLineChars="0"/>
        <w:jc w:val="both"/>
        <w:outlineLvl w:val="1"/>
        <w:rPr>
          <w:rFonts w:hint="eastAsia" w:asciiTheme="minorEastAsia" w:hAnsiTheme="minorEastAsia" w:eastAsiaTheme="minorEastAsia" w:cstheme="minorEastAsia"/>
          <w:b/>
          <w:bCs/>
          <w:color w:val="auto"/>
          <w:sz w:val="21"/>
          <w:szCs w:val="21"/>
          <w:highlight w:val="none"/>
          <w:lang w:val="en-US" w:eastAsia="zh-CN"/>
        </w:rPr>
      </w:pPr>
      <w:bookmarkStart w:id="9" w:name="_Toc27310"/>
      <w:r>
        <w:rPr>
          <w:rFonts w:hint="eastAsia" w:asciiTheme="minorEastAsia" w:hAnsiTheme="minorEastAsia" w:eastAsiaTheme="minorEastAsia" w:cstheme="minorEastAsia"/>
          <w:b/>
          <w:bCs/>
          <w:color w:val="auto"/>
          <w:sz w:val="21"/>
          <w:szCs w:val="21"/>
          <w:highlight w:val="none"/>
          <w:lang w:val="en-US" w:eastAsia="zh-CN"/>
        </w:rPr>
        <w:t>指导思想</w:t>
      </w:r>
      <w:bookmarkEnd w:id="9"/>
    </w:p>
    <w:p w14:paraId="3CD14AEC">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42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为了确保平台</w:t>
      </w:r>
      <w:r>
        <w:rPr>
          <w:rFonts w:hint="eastAsia" w:asciiTheme="minorEastAsia" w:hAnsiTheme="minorEastAsia" w:eastAsiaTheme="minorEastAsia" w:cstheme="minorEastAsia"/>
          <w:color w:val="auto"/>
          <w:kern w:val="0"/>
          <w:sz w:val="21"/>
          <w:szCs w:val="21"/>
          <w:highlight w:val="none"/>
          <w:lang w:val="en-US" w:eastAsia="zh-CN"/>
        </w:rPr>
        <w:t>升级</w:t>
      </w:r>
      <w:r>
        <w:rPr>
          <w:rFonts w:hint="eastAsia" w:asciiTheme="minorEastAsia" w:hAnsiTheme="minorEastAsia" w:eastAsiaTheme="minorEastAsia" w:cstheme="minorEastAsia"/>
          <w:color w:val="auto"/>
          <w:kern w:val="0"/>
          <w:sz w:val="21"/>
          <w:szCs w:val="21"/>
          <w:highlight w:val="none"/>
        </w:rPr>
        <w:t>有序</w:t>
      </w:r>
      <w:r>
        <w:rPr>
          <w:rFonts w:hint="eastAsia" w:asciiTheme="minorEastAsia" w:hAnsiTheme="minorEastAsia" w:eastAsiaTheme="minorEastAsia" w:cstheme="minorEastAsia"/>
          <w:color w:val="auto"/>
          <w:kern w:val="0"/>
          <w:sz w:val="21"/>
          <w:szCs w:val="21"/>
          <w:highlight w:val="none"/>
          <w:lang w:val="en-US" w:eastAsia="zh-CN"/>
        </w:rPr>
        <w:t>进行，并确保新平台的</w:t>
      </w:r>
      <w:r>
        <w:rPr>
          <w:rFonts w:hint="eastAsia" w:asciiTheme="minorEastAsia" w:hAnsiTheme="minorEastAsia" w:eastAsiaTheme="minorEastAsia" w:cstheme="minorEastAsia"/>
          <w:color w:val="auto"/>
          <w:kern w:val="0"/>
          <w:sz w:val="21"/>
          <w:szCs w:val="21"/>
          <w:highlight w:val="none"/>
        </w:rPr>
        <w:t>高效、稳定的运行，在</w:t>
      </w:r>
      <w:r>
        <w:rPr>
          <w:rFonts w:hint="eastAsia" w:asciiTheme="minorEastAsia" w:hAnsiTheme="minorEastAsia" w:eastAsiaTheme="minorEastAsia" w:cstheme="minorEastAsia"/>
          <w:color w:val="auto"/>
          <w:kern w:val="0"/>
          <w:sz w:val="21"/>
          <w:szCs w:val="21"/>
          <w:highlight w:val="none"/>
          <w:lang w:val="en-US" w:eastAsia="zh-CN"/>
        </w:rPr>
        <w:t>开发</w:t>
      </w:r>
      <w:r>
        <w:rPr>
          <w:rFonts w:hint="eastAsia" w:asciiTheme="minorEastAsia" w:hAnsiTheme="minorEastAsia" w:eastAsiaTheme="minorEastAsia" w:cstheme="minorEastAsia"/>
          <w:color w:val="auto"/>
          <w:kern w:val="0"/>
          <w:sz w:val="21"/>
          <w:szCs w:val="21"/>
          <w:highlight w:val="none"/>
        </w:rPr>
        <w:t>过程中坚持统一标准、充分利用和整合现有资源、注重效益、实用先进、安全可靠的总体原则。同时，还遵循以下具体原则：</w:t>
      </w:r>
    </w:p>
    <w:p w14:paraId="29B091F2">
      <w:pPr>
        <w:pStyle w:val="169"/>
        <w:widowControl/>
        <w:numPr>
          <w:ilvl w:val="0"/>
          <w:numId w:val="2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10" w:name="_Toc25630"/>
      <w:r>
        <w:rPr>
          <w:rFonts w:hint="eastAsia" w:asciiTheme="minorEastAsia" w:hAnsiTheme="minorEastAsia" w:eastAsiaTheme="minorEastAsia" w:cstheme="minorEastAsia"/>
          <w:b w:val="0"/>
          <w:bCs w:val="0"/>
          <w:color w:val="auto"/>
          <w:kern w:val="0"/>
          <w:sz w:val="21"/>
          <w:szCs w:val="21"/>
          <w:highlight w:val="none"/>
          <w:lang w:val="en-US" w:eastAsia="zh-CN"/>
        </w:rPr>
        <w:t>兼容性原则</w:t>
      </w:r>
      <w:bookmarkEnd w:id="10"/>
    </w:p>
    <w:p w14:paraId="43FD7500">
      <w:pPr>
        <w:pStyle w:val="169"/>
        <w:widowControl/>
        <w:numPr>
          <w:ilvl w:val="0"/>
          <w:numId w:val="26"/>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rPr>
        <w:t>确保平台在新操作系统及数据库环境中正常工作，确保</w:t>
      </w:r>
      <w:r>
        <w:rPr>
          <w:rFonts w:hint="eastAsia" w:asciiTheme="minorEastAsia" w:hAnsiTheme="minorEastAsia" w:eastAsiaTheme="minorEastAsia" w:cstheme="minorEastAsia"/>
          <w:b w:val="0"/>
          <w:bCs w:val="0"/>
          <w:color w:val="auto"/>
          <w:kern w:val="0"/>
          <w:sz w:val="21"/>
          <w:szCs w:val="21"/>
          <w:highlight w:val="none"/>
        </w:rPr>
        <w:t>平台历史数据的无缝过渡，</w:t>
      </w:r>
    </w:p>
    <w:p w14:paraId="5B24AB20">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避免多套系统并行使用。</w:t>
      </w:r>
    </w:p>
    <w:p w14:paraId="251FDFFE">
      <w:pPr>
        <w:pStyle w:val="169"/>
        <w:widowControl/>
        <w:numPr>
          <w:ilvl w:val="0"/>
          <w:numId w:val="26"/>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新框架用户界面需兼任目前主流的浏览器，如Chrome、Firefox、Safari、360浏</w:t>
      </w:r>
    </w:p>
    <w:p w14:paraId="41292EA2">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览器还是Edge等，确保用户可以在其所喜爱和常用的浏览器上无缝地访问和使用平台。</w:t>
      </w:r>
    </w:p>
    <w:p w14:paraId="32548E2D">
      <w:pPr>
        <w:pStyle w:val="169"/>
        <w:widowControl/>
        <w:numPr>
          <w:ilvl w:val="0"/>
          <w:numId w:val="26"/>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基于Vue.js的移动端,以响应式设计为基础，自动适应各种手机屏幕大小和分辨率。</w:t>
      </w:r>
    </w:p>
    <w:p w14:paraId="4C308488">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兼容安卓、鸿蒙及iOS平台。</w:t>
      </w:r>
    </w:p>
    <w:p w14:paraId="2A4CD39D">
      <w:pPr>
        <w:pStyle w:val="169"/>
        <w:widowControl/>
        <w:numPr>
          <w:ilvl w:val="0"/>
          <w:numId w:val="2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11" w:name="_Toc13674"/>
      <w:r>
        <w:rPr>
          <w:rFonts w:hint="eastAsia" w:asciiTheme="minorEastAsia" w:hAnsiTheme="minorEastAsia" w:eastAsiaTheme="minorEastAsia" w:cstheme="minorEastAsia"/>
          <w:b w:val="0"/>
          <w:bCs w:val="0"/>
          <w:color w:val="auto"/>
          <w:kern w:val="0"/>
          <w:sz w:val="21"/>
          <w:szCs w:val="21"/>
          <w:highlight w:val="none"/>
          <w:lang w:val="en-US" w:eastAsia="zh-CN"/>
        </w:rPr>
        <w:t>精准及时性原则</w:t>
      </w:r>
      <w:bookmarkEnd w:id="11"/>
    </w:p>
    <w:p w14:paraId="66D028EB">
      <w:pPr>
        <w:pStyle w:val="169"/>
        <w:widowControl/>
        <w:numPr>
          <w:ilvl w:val="0"/>
          <w:numId w:val="27"/>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通过将工作流与微信公众平台的无缝对接，为院校老师和学生提供便捷的待办事项、</w:t>
      </w:r>
    </w:p>
    <w:p w14:paraId="6B62922D">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统计数据和提醒功能，如教师可以接收到学生的请假申请，并能够直接在微信上进行审批。学生可以及时收到课程变更通知等重要信息。</w:t>
      </w:r>
    </w:p>
    <w:p w14:paraId="76F3D581">
      <w:pPr>
        <w:pStyle w:val="169"/>
        <w:widowControl/>
        <w:numPr>
          <w:ilvl w:val="0"/>
          <w:numId w:val="27"/>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此外，统计数据和报告也可以通过微信推送给相关负责人，使其能够实时了解院校</w:t>
      </w:r>
    </w:p>
    <w:p w14:paraId="29298B75">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的运行情况。</w:t>
      </w:r>
    </w:p>
    <w:p w14:paraId="07CB622A">
      <w:pPr>
        <w:pStyle w:val="169"/>
        <w:widowControl/>
        <w:numPr>
          <w:ilvl w:val="0"/>
          <w:numId w:val="2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12" w:name="_Toc30240"/>
      <w:r>
        <w:rPr>
          <w:rFonts w:hint="eastAsia" w:asciiTheme="minorEastAsia" w:hAnsiTheme="minorEastAsia" w:eastAsiaTheme="minorEastAsia" w:cstheme="minorEastAsia"/>
          <w:b w:val="0"/>
          <w:bCs w:val="0"/>
          <w:color w:val="auto"/>
          <w:kern w:val="0"/>
          <w:sz w:val="21"/>
          <w:szCs w:val="21"/>
          <w:highlight w:val="none"/>
          <w:lang w:val="en-US" w:eastAsia="zh-CN"/>
        </w:rPr>
        <w:t>开放性和标准化原则</w:t>
      </w:r>
      <w:bookmarkEnd w:id="12"/>
    </w:p>
    <w:p w14:paraId="3FED6F3B">
      <w:pPr>
        <w:pStyle w:val="169"/>
        <w:widowControl/>
        <w:numPr>
          <w:ilvl w:val="0"/>
          <w:numId w:val="28"/>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提供统一认证实现一次登录即可访问多个业务模块，提高系统的整合性、降低学生</w:t>
      </w:r>
    </w:p>
    <w:p w14:paraId="7D8095EE">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和教职工的学习成本，从而进一步推进数字化校园的发展。</w:t>
      </w:r>
    </w:p>
    <w:p w14:paraId="2AB9C4CB">
      <w:pPr>
        <w:pStyle w:val="169"/>
        <w:widowControl/>
        <w:numPr>
          <w:ilvl w:val="0"/>
          <w:numId w:val="2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13" w:name="_Toc3552"/>
      <w:r>
        <w:rPr>
          <w:rFonts w:hint="eastAsia" w:asciiTheme="minorEastAsia" w:hAnsiTheme="minorEastAsia" w:eastAsiaTheme="minorEastAsia" w:cstheme="minorEastAsia"/>
          <w:b w:val="0"/>
          <w:bCs w:val="0"/>
          <w:color w:val="auto"/>
          <w:kern w:val="0"/>
          <w:sz w:val="21"/>
          <w:szCs w:val="21"/>
          <w:highlight w:val="none"/>
          <w:lang w:val="en-US" w:eastAsia="zh-CN"/>
        </w:rPr>
        <w:t>便捷性原则</w:t>
      </w:r>
      <w:bookmarkEnd w:id="13"/>
    </w:p>
    <w:p w14:paraId="1E861D89">
      <w:pPr>
        <w:pStyle w:val="169"/>
        <w:widowControl/>
        <w:numPr>
          <w:ilvl w:val="0"/>
          <w:numId w:val="29"/>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注重平台的便捷性，界面简洁大方，功能一目了然，提升用户工作的便利性和效率。</w:t>
      </w:r>
    </w:p>
    <w:p w14:paraId="3F1BD395">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致力于为用户创造一个简单、高效和愉快的使用体验。</w:t>
      </w:r>
    </w:p>
    <w:p w14:paraId="75551990">
      <w:pPr>
        <w:pStyle w:val="169"/>
        <w:widowControl/>
        <w:numPr>
          <w:ilvl w:val="0"/>
          <w:numId w:val="2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14" w:name="_Toc4586"/>
      <w:r>
        <w:rPr>
          <w:rFonts w:hint="eastAsia" w:asciiTheme="minorEastAsia" w:hAnsiTheme="minorEastAsia" w:eastAsiaTheme="minorEastAsia" w:cstheme="minorEastAsia"/>
          <w:b w:val="0"/>
          <w:bCs w:val="0"/>
          <w:color w:val="auto"/>
          <w:kern w:val="0"/>
          <w:sz w:val="21"/>
          <w:szCs w:val="21"/>
          <w:highlight w:val="none"/>
          <w:lang w:val="en-US" w:eastAsia="zh-CN"/>
        </w:rPr>
        <w:t>实用性原则</w:t>
      </w:r>
      <w:bookmarkEnd w:id="14"/>
      <w:r>
        <w:rPr>
          <w:rFonts w:hint="eastAsia" w:asciiTheme="minorEastAsia" w:hAnsiTheme="minorEastAsia" w:eastAsiaTheme="minorEastAsia" w:cstheme="minorEastAsia"/>
          <w:b w:val="0"/>
          <w:bCs w:val="0"/>
          <w:color w:val="auto"/>
          <w:kern w:val="0"/>
          <w:sz w:val="21"/>
          <w:szCs w:val="21"/>
          <w:highlight w:val="none"/>
          <w:lang w:val="en-US" w:eastAsia="zh-CN"/>
        </w:rPr>
        <w:t xml:space="preserve"> </w:t>
      </w:r>
    </w:p>
    <w:p w14:paraId="7D96BAC0">
      <w:pPr>
        <w:pStyle w:val="169"/>
        <w:widowControl/>
        <w:numPr>
          <w:ilvl w:val="0"/>
          <w:numId w:val="30"/>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平台的设计必须能切实提高用户的工作效率，改善工作效能，或者通过平台的建设，</w:t>
      </w:r>
    </w:p>
    <w:p w14:paraId="1054DB3B">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 xml:space="preserve">能为其它平台提供有效的数据支持。  </w:t>
      </w:r>
    </w:p>
    <w:p w14:paraId="58D96CCA">
      <w:pPr>
        <w:pStyle w:val="169"/>
        <w:widowControl/>
        <w:numPr>
          <w:ilvl w:val="0"/>
          <w:numId w:val="2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15" w:name="_Toc22809"/>
      <w:r>
        <w:rPr>
          <w:rFonts w:hint="eastAsia" w:asciiTheme="minorEastAsia" w:hAnsiTheme="minorEastAsia" w:eastAsiaTheme="minorEastAsia" w:cstheme="minorEastAsia"/>
          <w:b w:val="0"/>
          <w:bCs w:val="0"/>
          <w:color w:val="auto"/>
          <w:kern w:val="0"/>
          <w:sz w:val="21"/>
          <w:szCs w:val="21"/>
          <w:highlight w:val="none"/>
          <w:lang w:val="en-US" w:eastAsia="zh-CN"/>
        </w:rPr>
        <w:t>可靠性原则</w:t>
      </w:r>
      <w:bookmarkEnd w:id="15"/>
    </w:p>
    <w:p w14:paraId="1EDDA235">
      <w:pPr>
        <w:pStyle w:val="169"/>
        <w:widowControl/>
        <w:numPr>
          <w:ilvl w:val="0"/>
          <w:numId w:val="31"/>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在平台的具体实施过程中，采用的设计方案要保证应用平台安全性、可靠性等方面</w:t>
      </w:r>
    </w:p>
    <w:p w14:paraId="5D4CFF0A">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的要求。</w:t>
      </w:r>
    </w:p>
    <w:p w14:paraId="7F22451B">
      <w:pPr>
        <w:pStyle w:val="169"/>
        <w:widowControl/>
        <w:numPr>
          <w:ilvl w:val="0"/>
          <w:numId w:val="2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16" w:name="_Toc10774"/>
      <w:r>
        <w:rPr>
          <w:rFonts w:hint="eastAsia" w:asciiTheme="minorEastAsia" w:hAnsiTheme="minorEastAsia" w:eastAsiaTheme="minorEastAsia" w:cstheme="minorEastAsia"/>
          <w:b w:val="0"/>
          <w:bCs w:val="0"/>
          <w:color w:val="auto"/>
          <w:kern w:val="0"/>
          <w:sz w:val="21"/>
          <w:szCs w:val="21"/>
          <w:highlight w:val="none"/>
          <w:lang w:val="en-US" w:eastAsia="zh-CN"/>
        </w:rPr>
        <w:t>共享性原则</w:t>
      </w:r>
      <w:bookmarkEnd w:id="16"/>
      <w:r>
        <w:rPr>
          <w:rFonts w:hint="eastAsia" w:asciiTheme="minorEastAsia" w:hAnsiTheme="minorEastAsia" w:eastAsiaTheme="minorEastAsia" w:cstheme="minorEastAsia"/>
          <w:b w:val="0"/>
          <w:bCs w:val="0"/>
          <w:color w:val="auto"/>
          <w:kern w:val="0"/>
          <w:sz w:val="21"/>
          <w:szCs w:val="21"/>
          <w:highlight w:val="none"/>
          <w:lang w:val="en-US" w:eastAsia="zh-CN"/>
        </w:rPr>
        <w:t xml:space="preserve">  </w:t>
      </w:r>
    </w:p>
    <w:p w14:paraId="063EA930">
      <w:pPr>
        <w:pStyle w:val="169"/>
        <w:widowControl/>
        <w:numPr>
          <w:ilvl w:val="0"/>
          <w:numId w:val="32"/>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数据的设计必须考虑多种应用，保证为其它系统提供数据支持的能力。</w:t>
      </w:r>
    </w:p>
    <w:p w14:paraId="57ECF36D">
      <w:pPr>
        <w:pStyle w:val="169"/>
        <w:widowControl/>
        <w:numPr>
          <w:ilvl w:val="0"/>
          <w:numId w:val="2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17" w:name="_Toc8759"/>
      <w:r>
        <w:rPr>
          <w:rFonts w:hint="eastAsia" w:asciiTheme="minorEastAsia" w:hAnsiTheme="minorEastAsia" w:eastAsiaTheme="minorEastAsia" w:cstheme="minorEastAsia"/>
          <w:b w:val="0"/>
          <w:bCs w:val="0"/>
          <w:color w:val="auto"/>
          <w:kern w:val="0"/>
          <w:sz w:val="21"/>
          <w:szCs w:val="21"/>
          <w:highlight w:val="none"/>
          <w:lang w:val="en-US" w:eastAsia="zh-CN"/>
        </w:rPr>
        <w:t>可扩充性原则</w:t>
      </w:r>
      <w:bookmarkEnd w:id="17"/>
    </w:p>
    <w:p w14:paraId="1349931F">
      <w:pPr>
        <w:pStyle w:val="169"/>
        <w:widowControl/>
        <w:numPr>
          <w:ilvl w:val="0"/>
          <w:numId w:val="33"/>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采用基于组件的技术构造应用软件平台，便于平台裁减，易于挂接现有的应用平台，</w:t>
      </w:r>
    </w:p>
    <w:p w14:paraId="0549E9C1">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保护用户以前的软件投资。采用基于业界通用的开发方法和技术标准实现，适应涉及面广、业务复杂的处理应用环境。</w:t>
      </w:r>
    </w:p>
    <w:p w14:paraId="66E45E46">
      <w:pPr>
        <w:pStyle w:val="169"/>
        <w:numPr>
          <w:ilvl w:val="0"/>
          <w:numId w:val="21"/>
        </w:numPr>
        <w:spacing w:line="360" w:lineRule="auto"/>
        <w:ind w:left="0" w:leftChars="0" w:firstLine="0" w:firstLineChars="0"/>
        <w:jc w:val="both"/>
        <w:outlineLvl w:val="1"/>
        <w:rPr>
          <w:rFonts w:hint="eastAsia" w:asciiTheme="minorEastAsia" w:hAnsiTheme="minorEastAsia" w:eastAsiaTheme="minorEastAsia" w:cstheme="minorEastAsia"/>
          <w:b/>
          <w:bCs/>
          <w:color w:val="auto"/>
          <w:sz w:val="21"/>
          <w:szCs w:val="21"/>
          <w:highlight w:val="none"/>
          <w:lang w:val="en-US" w:eastAsia="zh-CN"/>
        </w:rPr>
      </w:pPr>
      <w:bookmarkStart w:id="18" w:name="_Toc7291"/>
      <w:r>
        <w:rPr>
          <w:rFonts w:hint="eastAsia" w:asciiTheme="minorEastAsia" w:hAnsiTheme="minorEastAsia" w:eastAsiaTheme="minorEastAsia" w:cstheme="minorEastAsia"/>
          <w:b/>
          <w:bCs/>
          <w:color w:val="auto"/>
          <w:sz w:val="21"/>
          <w:szCs w:val="21"/>
          <w:highlight w:val="none"/>
          <w:lang w:val="en-US" w:eastAsia="zh-CN"/>
        </w:rPr>
        <w:t>建设目标</w:t>
      </w:r>
      <w:bookmarkEnd w:id="18"/>
    </w:p>
    <w:p w14:paraId="4A705CC3">
      <w:pPr>
        <w:pStyle w:val="169"/>
        <w:widowControl/>
        <w:numPr>
          <w:ilvl w:val="0"/>
          <w:numId w:val="34"/>
        </w:numPr>
        <w:spacing w:line="360" w:lineRule="auto"/>
        <w:ind w:left="0" w:leftChars="0" w:firstLine="420" w:firstLineChars="0"/>
        <w:jc w:val="left"/>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广州市机电技师学院的</w:t>
      </w:r>
      <w:r>
        <w:rPr>
          <w:rFonts w:hint="eastAsia" w:asciiTheme="minorEastAsia" w:hAnsiTheme="minorEastAsia" w:eastAsiaTheme="minorEastAsia" w:cstheme="minorEastAsia"/>
          <w:b w:val="0"/>
          <w:bCs w:val="0"/>
          <w:color w:val="auto"/>
          <w:kern w:val="0"/>
          <w:sz w:val="21"/>
          <w:szCs w:val="21"/>
          <w:highlight w:val="none"/>
          <w:lang w:eastAsia="zh-CN"/>
        </w:rPr>
        <w:t>学管系统及教务系统</w:t>
      </w:r>
      <w:r>
        <w:rPr>
          <w:rFonts w:hint="eastAsia" w:asciiTheme="minorEastAsia" w:hAnsiTheme="minorEastAsia" w:eastAsiaTheme="minorEastAsia" w:cstheme="minorEastAsia"/>
          <w:b w:val="0"/>
          <w:bCs w:val="0"/>
          <w:color w:val="auto"/>
          <w:kern w:val="0"/>
          <w:sz w:val="21"/>
          <w:szCs w:val="21"/>
          <w:highlight w:val="none"/>
        </w:rPr>
        <w:t>自2020年投入使用以来，在四年的运行中发挥了重要作用，但随着学生管理和教务管理需求的不断演变，现有平台已经逐渐显现出功能上的局限性。为了更好地支持学院的管理工作和教学活动，提升整体的管理效率和用户体验，我们制定了以下建设目标：</w:t>
      </w:r>
    </w:p>
    <w:p w14:paraId="72CFBED7">
      <w:pPr>
        <w:pStyle w:val="169"/>
        <w:widowControl/>
        <w:numPr>
          <w:ilvl w:val="0"/>
          <w:numId w:val="3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19" w:name="_Toc23017"/>
      <w:r>
        <w:rPr>
          <w:rFonts w:hint="eastAsia" w:asciiTheme="minorEastAsia" w:hAnsiTheme="minorEastAsia" w:eastAsiaTheme="minorEastAsia" w:cstheme="minorEastAsia"/>
          <w:b w:val="0"/>
          <w:bCs w:val="0"/>
          <w:color w:val="auto"/>
          <w:kern w:val="0"/>
          <w:sz w:val="21"/>
          <w:szCs w:val="21"/>
          <w:highlight w:val="none"/>
          <w:lang w:val="en-US" w:eastAsia="zh-CN"/>
        </w:rPr>
        <w:t>增强学生管理的智能化水平</w:t>
      </w:r>
      <w:bookmarkEnd w:id="19"/>
    </w:p>
    <w:p w14:paraId="29431F6D">
      <w:pPr>
        <w:pStyle w:val="169"/>
        <w:widowControl/>
        <w:numPr>
          <w:ilvl w:val="0"/>
          <w:numId w:val="36"/>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通过开发学生请假模块，我们将实现一个自动化、智能化的学生请假管理系统。</w:t>
      </w:r>
    </w:p>
    <w:p w14:paraId="3B22D437">
      <w:pPr>
        <w:pStyle w:val="169"/>
        <w:widowControl/>
        <w:numPr>
          <w:ilvl w:val="0"/>
          <w:numId w:val="36"/>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该系统将涵盖放假安排、请假申请、审批、销假以及记录管理等关键功能。这不仅</w:t>
      </w:r>
    </w:p>
    <w:p w14:paraId="206DC849">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将提高学生处的管理效率，还将通过数据的准确性和实时性，增强对学生行为的监管能力。</w:t>
      </w:r>
    </w:p>
    <w:p w14:paraId="3A03DB1D">
      <w:pPr>
        <w:pStyle w:val="169"/>
        <w:widowControl/>
        <w:numPr>
          <w:ilvl w:val="0"/>
          <w:numId w:val="3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20" w:name="_Toc24674"/>
      <w:r>
        <w:rPr>
          <w:rFonts w:hint="eastAsia" w:asciiTheme="minorEastAsia" w:hAnsiTheme="minorEastAsia" w:eastAsiaTheme="minorEastAsia" w:cstheme="minorEastAsia"/>
          <w:b w:val="0"/>
          <w:bCs w:val="0"/>
          <w:color w:val="auto"/>
          <w:kern w:val="0"/>
          <w:sz w:val="21"/>
          <w:szCs w:val="21"/>
          <w:highlight w:val="none"/>
          <w:lang w:val="en-US" w:eastAsia="zh-CN"/>
        </w:rPr>
        <w:t>优化教务管理流程</w:t>
      </w:r>
      <w:bookmarkEnd w:id="20"/>
    </w:p>
    <w:p w14:paraId="4D903F36">
      <w:pPr>
        <w:pStyle w:val="169"/>
        <w:widowControl/>
        <w:numPr>
          <w:ilvl w:val="0"/>
          <w:numId w:val="37"/>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随着教务业务的不断扩展，现有的系统需要进行相应的升级以满足新的业务需求。</w:t>
      </w:r>
    </w:p>
    <w:p w14:paraId="286083D5">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我们将对教学管理、课酬系统、专任教师绩效考核等模块进行业务调整和升级，以提高教务管理的效率和质量。</w:t>
      </w:r>
    </w:p>
    <w:p w14:paraId="7D47FF84">
      <w:pPr>
        <w:pStyle w:val="169"/>
        <w:widowControl/>
        <w:numPr>
          <w:ilvl w:val="0"/>
          <w:numId w:val="3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21" w:name="_Toc1633"/>
      <w:r>
        <w:rPr>
          <w:rFonts w:hint="eastAsia" w:asciiTheme="minorEastAsia" w:hAnsiTheme="minorEastAsia" w:eastAsiaTheme="minorEastAsia" w:cstheme="minorEastAsia"/>
          <w:b w:val="0"/>
          <w:bCs w:val="0"/>
          <w:color w:val="auto"/>
          <w:kern w:val="0"/>
          <w:sz w:val="21"/>
          <w:szCs w:val="21"/>
          <w:highlight w:val="none"/>
          <w:lang w:val="en-US" w:eastAsia="zh-CN"/>
        </w:rPr>
        <w:t>提升教师教学业务的档案管理</w:t>
      </w:r>
      <w:bookmarkEnd w:id="21"/>
    </w:p>
    <w:p w14:paraId="2CCEBBDA">
      <w:pPr>
        <w:pStyle w:val="169"/>
        <w:widowControl/>
        <w:numPr>
          <w:ilvl w:val="0"/>
          <w:numId w:val="38"/>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开发新的教师教学业务档案模块，旨在为教师提供一个全面、系统的档案管理平台。</w:t>
      </w:r>
    </w:p>
    <w:p w14:paraId="6F193133">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这将有助于记录和追踪教师的教学活动，从而为教师的绩效评估和职业发展提供数据支持。</w:t>
      </w:r>
    </w:p>
    <w:p w14:paraId="24B1D779">
      <w:pPr>
        <w:pStyle w:val="169"/>
        <w:widowControl/>
        <w:numPr>
          <w:ilvl w:val="0"/>
          <w:numId w:val="3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22" w:name="_Toc18193"/>
      <w:r>
        <w:rPr>
          <w:rFonts w:hint="eastAsia" w:asciiTheme="minorEastAsia" w:hAnsiTheme="minorEastAsia" w:eastAsiaTheme="minorEastAsia" w:cstheme="minorEastAsia"/>
          <w:b w:val="0"/>
          <w:bCs w:val="0"/>
          <w:color w:val="auto"/>
          <w:kern w:val="0"/>
          <w:sz w:val="21"/>
          <w:szCs w:val="21"/>
          <w:highlight w:val="none"/>
          <w:lang w:val="en-US" w:eastAsia="zh-CN"/>
        </w:rPr>
        <w:t>实现宿舍管理的联动</w:t>
      </w:r>
      <w:bookmarkEnd w:id="22"/>
    </w:p>
    <w:p w14:paraId="6BE204B9">
      <w:pPr>
        <w:pStyle w:val="169"/>
        <w:widowControl/>
        <w:numPr>
          <w:ilvl w:val="0"/>
          <w:numId w:val="39"/>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通过将学生请假模块与宿舍晚点名模块联动，我们将实现对学生住宿情况的实时监</w:t>
      </w:r>
    </w:p>
    <w:p w14:paraId="35F0BF0E">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控和管理。这不仅有助于提高宿舍安全管理水平，还能为学生管理和教务管理提供准确的数据支持。</w:t>
      </w:r>
    </w:p>
    <w:p w14:paraId="06A510C4">
      <w:pPr>
        <w:pStyle w:val="169"/>
        <w:widowControl/>
        <w:numPr>
          <w:ilvl w:val="0"/>
          <w:numId w:val="3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23" w:name="_Toc4134"/>
      <w:r>
        <w:rPr>
          <w:rFonts w:hint="eastAsia" w:asciiTheme="minorEastAsia" w:hAnsiTheme="minorEastAsia" w:eastAsiaTheme="minorEastAsia" w:cstheme="minorEastAsia"/>
          <w:b w:val="0"/>
          <w:bCs w:val="0"/>
          <w:color w:val="auto"/>
          <w:kern w:val="0"/>
          <w:sz w:val="21"/>
          <w:szCs w:val="21"/>
          <w:highlight w:val="none"/>
          <w:lang w:val="en-US" w:eastAsia="zh-CN"/>
        </w:rPr>
        <w:t>强化数据的准确性和实时性</w:t>
      </w:r>
      <w:bookmarkEnd w:id="23"/>
    </w:p>
    <w:p w14:paraId="60941B6D">
      <w:pPr>
        <w:pStyle w:val="169"/>
        <w:widowControl/>
        <w:numPr>
          <w:ilvl w:val="0"/>
          <w:numId w:val="40"/>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通过更新和改进学管系统及教务系统，我们将确保所有数据的准确性和实时性。这</w:t>
      </w:r>
    </w:p>
    <w:p w14:paraId="635CB64B">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将为学院的决策提供坚实的数据基础，同时也将提高各个管理模块的运行效率。</w:t>
      </w:r>
    </w:p>
    <w:p w14:paraId="1D31E093">
      <w:pPr>
        <w:pStyle w:val="169"/>
        <w:widowControl/>
        <w:numPr>
          <w:ilvl w:val="0"/>
          <w:numId w:val="3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24" w:name="_Toc27118"/>
      <w:r>
        <w:rPr>
          <w:rFonts w:hint="eastAsia" w:asciiTheme="minorEastAsia" w:hAnsiTheme="minorEastAsia" w:eastAsiaTheme="minorEastAsia" w:cstheme="minorEastAsia"/>
          <w:b w:val="0"/>
          <w:bCs w:val="0"/>
          <w:color w:val="auto"/>
          <w:kern w:val="0"/>
          <w:sz w:val="21"/>
          <w:szCs w:val="21"/>
          <w:highlight w:val="none"/>
          <w:lang w:val="en-US" w:eastAsia="zh-CN"/>
        </w:rPr>
        <w:t>提升用户体验</w:t>
      </w:r>
      <w:bookmarkEnd w:id="24"/>
    </w:p>
    <w:p w14:paraId="1EF5C826">
      <w:pPr>
        <w:pStyle w:val="169"/>
        <w:widowControl/>
        <w:numPr>
          <w:ilvl w:val="0"/>
          <w:numId w:val="41"/>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用户体验是学管系统及教务系统成功的关键。我们将致力于提供一个用户友好的界</w:t>
      </w:r>
    </w:p>
    <w:p w14:paraId="07DD860C">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面，简化操作流程，减少用户的操作负担。通过优化用户界面和交互设计，我们期望提升用户满意度，增强用户粘性。</w:t>
      </w:r>
    </w:p>
    <w:p w14:paraId="75BFD1B9">
      <w:pPr>
        <w:pStyle w:val="169"/>
        <w:widowControl/>
        <w:numPr>
          <w:ilvl w:val="0"/>
          <w:numId w:val="3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25" w:name="_Toc31278"/>
      <w:r>
        <w:rPr>
          <w:rFonts w:hint="eastAsia" w:asciiTheme="minorEastAsia" w:hAnsiTheme="minorEastAsia" w:eastAsiaTheme="minorEastAsia" w:cstheme="minorEastAsia"/>
          <w:b w:val="0"/>
          <w:bCs w:val="0"/>
          <w:color w:val="auto"/>
          <w:kern w:val="0"/>
          <w:sz w:val="21"/>
          <w:szCs w:val="21"/>
          <w:highlight w:val="none"/>
          <w:lang w:val="en-US" w:eastAsia="zh-CN"/>
        </w:rPr>
        <w:t>保障系统的安全性和稳定性</w:t>
      </w:r>
      <w:bookmarkEnd w:id="25"/>
    </w:p>
    <w:p w14:paraId="02D73E1F">
      <w:pPr>
        <w:pStyle w:val="169"/>
        <w:widowControl/>
        <w:numPr>
          <w:ilvl w:val="0"/>
          <w:numId w:val="42"/>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在提升功能的同时，我们也将重视系统的安全性和稳定性。通过实施严格的安全措</w:t>
      </w:r>
    </w:p>
    <w:p w14:paraId="60093D97">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施和定期的系统维护，我们将确保学管系统及教务系统的稳定运行，保护学院的数据安全。</w:t>
      </w:r>
    </w:p>
    <w:p w14:paraId="1E702B4A">
      <w:pPr>
        <w:pStyle w:val="169"/>
        <w:widowControl/>
        <w:numPr>
          <w:ilvl w:val="0"/>
          <w:numId w:val="35"/>
        </w:numPr>
        <w:spacing w:line="360" w:lineRule="auto"/>
        <w:ind w:left="974" w:leftChars="0" w:hanging="434" w:firstLineChars="0"/>
        <w:jc w:val="left"/>
        <w:outlineLvl w:val="2"/>
        <w:rPr>
          <w:rFonts w:hint="eastAsia" w:asciiTheme="minorEastAsia" w:hAnsiTheme="minorEastAsia" w:eastAsiaTheme="minorEastAsia" w:cstheme="minorEastAsia"/>
          <w:b w:val="0"/>
          <w:bCs w:val="0"/>
          <w:color w:val="auto"/>
          <w:kern w:val="0"/>
          <w:sz w:val="21"/>
          <w:szCs w:val="21"/>
          <w:highlight w:val="none"/>
          <w:lang w:val="en-US" w:eastAsia="zh-CN"/>
        </w:rPr>
      </w:pPr>
      <w:bookmarkStart w:id="26" w:name="_Toc31378"/>
      <w:r>
        <w:rPr>
          <w:rFonts w:hint="eastAsia" w:asciiTheme="minorEastAsia" w:hAnsiTheme="minorEastAsia" w:eastAsiaTheme="minorEastAsia" w:cstheme="minorEastAsia"/>
          <w:b w:val="0"/>
          <w:bCs w:val="0"/>
          <w:color w:val="auto"/>
          <w:kern w:val="0"/>
          <w:sz w:val="21"/>
          <w:szCs w:val="21"/>
          <w:highlight w:val="none"/>
          <w:lang w:val="en-US" w:eastAsia="zh-CN"/>
        </w:rPr>
        <w:t>促进教育资源共享</w:t>
      </w:r>
      <w:bookmarkEnd w:id="26"/>
    </w:p>
    <w:p w14:paraId="3144CD62">
      <w:pPr>
        <w:pStyle w:val="169"/>
        <w:widowControl/>
        <w:numPr>
          <w:ilvl w:val="0"/>
          <w:numId w:val="43"/>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学管系统及教务系统将促进教育资源的共享，包括教学资料、课程安排、教师资源</w:t>
      </w:r>
    </w:p>
    <w:p w14:paraId="4906BF7B">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等。这将有助于提高教学资源的利用效率，促进知识的传播和交流。</w:t>
      </w:r>
    </w:p>
    <w:p w14:paraId="04CCD539">
      <w:pPr>
        <w:pStyle w:val="169"/>
        <w:widowControl/>
        <w:numPr>
          <w:ilvl w:val="0"/>
          <w:numId w:val="43"/>
        </w:numPr>
        <w:spacing w:line="360" w:lineRule="auto"/>
        <w:ind w:left="425" w:leftChars="0" w:hanging="5" w:firstLineChars="0"/>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通过实现这些目标，广州市机电技师学院的学管系统及教务系统将成为一个高效、</w:t>
      </w:r>
    </w:p>
    <w:p w14:paraId="107938A2">
      <w:pPr>
        <w:pStyle w:val="169"/>
        <w:widowControl/>
        <w:numPr>
          <w:ilvl w:val="0"/>
          <w:numId w:val="0"/>
        </w:numPr>
        <w:spacing w:line="360" w:lineRule="auto"/>
        <w:jc w:val="left"/>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智能、用户友好的教育管理工具，为学院的教学和管理活动提供强有力的支持。</w:t>
      </w:r>
      <w:bookmarkStart w:id="27" w:name="_Toc2093"/>
    </w:p>
    <w:p w14:paraId="0C52D6DD">
      <w:pPr>
        <w:pStyle w:val="169"/>
        <w:numPr>
          <w:ilvl w:val="0"/>
          <w:numId w:val="21"/>
        </w:numPr>
        <w:spacing w:line="360" w:lineRule="auto"/>
        <w:ind w:left="0" w:leftChars="0" w:firstLine="0" w:firstLineChars="0"/>
        <w:jc w:val="both"/>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建设内容</w:t>
      </w:r>
      <w:bookmarkEnd w:id="27"/>
    </w:p>
    <w:p w14:paraId="5FAD386B">
      <w:pPr>
        <w:widowControl/>
        <w:spacing w:line="360" w:lineRule="auto"/>
        <w:ind w:firstLine="405" w:firstLineChars="193"/>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本项目的建设内容包含学管系统学生请假模块的开发，对教务系统的教学管理、课酬系统、专任教师绩效考核、机房预约优化、外出管理及教学日志等模块的业务调整升级</w:t>
      </w:r>
      <w:r>
        <w:rPr>
          <w:rFonts w:hint="eastAsia" w:asciiTheme="minorEastAsia" w:hAnsiTheme="minorEastAsia" w:eastAsiaTheme="minorEastAsia" w:cstheme="minorEastAsia"/>
          <w:color w:val="auto"/>
          <w:kern w:val="0"/>
          <w:sz w:val="21"/>
          <w:szCs w:val="21"/>
          <w:highlight w:val="none"/>
        </w:rPr>
        <w:t>。</w:t>
      </w:r>
    </w:p>
    <w:p w14:paraId="479EDCF3">
      <w:pPr>
        <w:widowControl/>
        <w:spacing w:line="360" w:lineRule="auto"/>
        <w:ind w:firstLine="405" w:firstLineChars="193"/>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通过</w:t>
      </w:r>
      <w:r>
        <w:rPr>
          <w:rFonts w:hint="eastAsia" w:asciiTheme="minorEastAsia" w:hAnsiTheme="minorEastAsia" w:eastAsiaTheme="minorEastAsia" w:cstheme="minorEastAsia"/>
          <w:color w:val="auto"/>
          <w:kern w:val="0"/>
          <w:sz w:val="21"/>
          <w:szCs w:val="21"/>
          <w:highlight w:val="none"/>
          <w:lang w:val="en-US" w:eastAsia="zh-CN"/>
        </w:rPr>
        <w:t>本</w:t>
      </w:r>
      <w:r>
        <w:rPr>
          <w:rFonts w:hint="eastAsia" w:asciiTheme="minorEastAsia" w:hAnsiTheme="minorEastAsia" w:eastAsiaTheme="minorEastAsia" w:cstheme="minorEastAsia"/>
          <w:color w:val="auto"/>
          <w:kern w:val="0"/>
          <w:sz w:val="21"/>
          <w:szCs w:val="21"/>
          <w:highlight w:val="none"/>
        </w:rPr>
        <w:t>项目</w:t>
      </w:r>
      <w:r>
        <w:rPr>
          <w:rFonts w:hint="eastAsia" w:asciiTheme="minorEastAsia" w:hAnsiTheme="minorEastAsia" w:eastAsiaTheme="minorEastAsia" w:cstheme="minorEastAsia"/>
          <w:color w:val="auto"/>
          <w:kern w:val="0"/>
          <w:sz w:val="21"/>
          <w:szCs w:val="21"/>
          <w:highlight w:val="none"/>
          <w:lang w:eastAsia="zh-CN"/>
        </w:rPr>
        <w:t>的</w:t>
      </w:r>
      <w:r>
        <w:rPr>
          <w:rFonts w:hint="eastAsia" w:asciiTheme="minorEastAsia" w:hAnsiTheme="minorEastAsia" w:eastAsiaTheme="minorEastAsia" w:cstheme="minorEastAsia"/>
          <w:color w:val="auto"/>
          <w:kern w:val="0"/>
          <w:sz w:val="21"/>
          <w:szCs w:val="21"/>
          <w:highlight w:val="none"/>
          <w:lang w:val="en-US" w:eastAsia="zh-CN"/>
        </w:rPr>
        <w:t>建设</w:t>
      </w:r>
      <w:r>
        <w:rPr>
          <w:rFonts w:hint="eastAsia" w:asciiTheme="minorEastAsia" w:hAnsiTheme="minorEastAsia" w:eastAsiaTheme="minorEastAsia" w:cstheme="minorEastAsia"/>
          <w:color w:val="auto"/>
          <w:kern w:val="0"/>
          <w:sz w:val="21"/>
          <w:szCs w:val="21"/>
          <w:highlight w:val="none"/>
        </w:rPr>
        <w:t>，为学校提供更全面、高效的支持，既满足学校各部门和相关人员的需求，又帮助学校管理人员和教职工更好地处理各项工作任务，提升工作效率，促进信息共享和沟通协作，最终提高学校的整体管理水平和教育教学质量。</w:t>
      </w:r>
    </w:p>
    <w:p w14:paraId="1CDDFE41">
      <w:pPr>
        <w:widowControl/>
        <w:numPr>
          <w:ilvl w:val="0"/>
          <w:numId w:val="44"/>
        </w:numPr>
        <w:spacing w:line="360" w:lineRule="auto"/>
        <w:ind w:left="0" w:leftChars="0" w:firstLine="420" w:firstLineChars="0"/>
        <w:jc w:val="left"/>
        <w:outlineLvl w:val="1"/>
        <w:rPr>
          <w:rFonts w:hint="eastAsia" w:asciiTheme="minorEastAsia" w:hAnsiTheme="minorEastAsia" w:eastAsiaTheme="minorEastAsia" w:cstheme="minorEastAsia"/>
          <w:b/>
          <w:bCs/>
          <w:color w:val="auto"/>
          <w:kern w:val="0"/>
          <w:sz w:val="21"/>
          <w:szCs w:val="21"/>
          <w:highlight w:val="none"/>
        </w:rPr>
      </w:pPr>
      <w:bookmarkStart w:id="28" w:name="_Toc3191"/>
      <w:r>
        <w:rPr>
          <w:rFonts w:hint="eastAsia" w:asciiTheme="minorEastAsia" w:hAnsiTheme="minorEastAsia" w:eastAsiaTheme="minorEastAsia" w:cstheme="minorEastAsia"/>
          <w:b/>
          <w:bCs/>
          <w:color w:val="auto"/>
          <w:kern w:val="0"/>
          <w:sz w:val="21"/>
          <w:szCs w:val="21"/>
          <w:highlight w:val="none"/>
          <w:lang w:val="en-US" w:eastAsia="zh-CN"/>
        </w:rPr>
        <w:t>学管系统升级</w:t>
      </w:r>
      <w:bookmarkEnd w:id="28"/>
    </w:p>
    <w:p w14:paraId="26C9998B">
      <w:pPr>
        <w:pStyle w:val="169"/>
        <w:widowControl/>
        <w:numPr>
          <w:ilvl w:val="0"/>
          <w:numId w:val="45"/>
        </w:numPr>
        <w:spacing w:line="360" w:lineRule="auto"/>
        <w:ind w:left="425" w:leftChars="0" w:hanging="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bookmarkStart w:id="29" w:name="_Toc11260"/>
      <w:r>
        <w:rPr>
          <w:rFonts w:hint="eastAsia" w:asciiTheme="minorEastAsia" w:hAnsiTheme="minorEastAsia" w:eastAsiaTheme="minorEastAsia" w:cstheme="minorEastAsia"/>
          <w:b/>
          <w:bCs/>
          <w:color w:val="auto"/>
          <w:kern w:val="0"/>
          <w:sz w:val="21"/>
          <w:szCs w:val="21"/>
          <w:highlight w:val="none"/>
          <w:lang w:val="en-US" w:eastAsia="zh-CN"/>
        </w:rPr>
        <w:t>请假模块开发</w:t>
      </w:r>
      <w:bookmarkEnd w:id="29"/>
    </w:p>
    <w:p w14:paraId="186A9D84">
      <w:pPr>
        <w:widowControl/>
        <w:spacing w:line="360" w:lineRule="auto"/>
        <w:ind w:firstLine="405" w:firstLineChars="193"/>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学管系统中的请假模块是一个专为学院学生请假流程设计的自动化系统。该模块旨在简化请假申请、审批、记录和销假的整个流程，确保学生请假</w:t>
      </w:r>
      <w:r>
        <w:rPr>
          <w:rFonts w:hint="eastAsia" w:asciiTheme="minorEastAsia" w:hAnsiTheme="minorEastAsia" w:eastAsiaTheme="minorEastAsia" w:cstheme="minorEastAsia"/>
          <w:color w:val="auto"/>
          <w:kern w:val="0"/>
          <w:sz w:val="21"/>
          <w:szCs w:val="21"/>
          <w:highlight w:val="none"/>
          <w:lang w:val="en-US" w:eastAsia="zh-CN"/>
        </w:rPr>
        <w:t>业务便捷高效</w:t>
      </w:r>
      <w:r>
        <w:rPr>
          <w:rFonts w:hint="eastAsia" w:asciiTheme="minorEastAsia" w:hAnsiTheme="minorEastAsia" w:eastAsiaTheme="minorEastAsia" w:cstheme="minorEastAsia"/>
          <w:color w:val="auto"/>
          <w:kern w:val="0"/>
          <w:sz w:val="21"/>
          <w:szCs w:val="21"/>
          <w:highlight w:val="none"/>
        </w:rPr>
        <w:t>。以下是请假模块的</w:t>
      </w:r>
      <w:r>
        <w:rPr>
          <w:rFonts w:hint="eastAsia" w:asciiTheme="minorEastAsia" w:hAnsiTheme="minorEastAsia" w:eastAsiaTheme="minorEastAsia" w:cstheme="minorEastAsia"/>
          <w:color w:val="auto"/>
          <w:kern w:val="0"/>
          <w:sz w:val="21"/>
          <w:szCs w:val="21"/>
          <w:highlight w:val="none"/>
          <w:lang w:val="en-US" w:eastAsia="zh-CN"/>
        </w:rPr>
        <w:t>主要功能</w:t>
      </w:r>
      <w:r>
        <w:rPr>
          <w:rFonts w:hint="eastAsia" w:asciiTheme="minorEastAsia" w:hAnsiTheme="minorEastAsia" w:eastAsiaTheme="minorEastAsia" w:cstheme="minorEastAsia"/>
          <w:color w:val="auto"/>
          <w:kern w:val="0"/>
          <w:sz w:val="21"/>
          <w:szCs w:val="21"/>
          <w:highlight w:val="none"/>
        </w:rPr>
        <w:t>：</w:t>
      </w:r>
    </w:p>
    <w:p w14:paraId="6585AA73">
      <w:pPr>
        <w:pStyle w:val="169"/>
        <w:widowControl/>
        <w:numPr>
          <w:ilvl w:val="0"/>
          <w:numId w:val="46"/>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放假安排管理</w:t>
      </w:r>
    </w:p>
    <w:p w14:paraId="63844457">
      <w:pPr>
        <w:pStyle w:val="169"/>
        <w:widowControl/>
        <w:numPr>
          <w:ilvl w:val="0"/>
          <w:numId w:val="47"/>
        </w:numPr>
        <w:spacing w:line="360" w:lineRule="auto"/>
        <w:ind w:left="0" w:leftChars="0" w:firstLine="40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放假安排</w:t>
      </w:r>
    </w:p>
    <w:p w14:paraId="5D30E387">
      <w:pPr>
        <w:widowControl/>
        <w:spacing w:line="360" w:lineRule="auto"/>
        <w:ind w:firstLine="405" w:firstLineChars="193"/>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放假安排管理功能允许学院管理层根据国家法定假日、学院特定事件以及教学计划来制定和调整假期政策。</w:t>
      </w:r>
    </w:p>
    <w:p w14:paraId="51366F20">
      <w:pPr>
        <w:widowControl/>
        <w:spacing w:line="360" w:lineRule="auto"/>
        <w:ind w:firstLine="405" w:firstLineChars="193"/>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功能包含有：</w:t>
      </w:r>
    </w:p>
    <w:p w14:paraId="21146B3D">
      <w:pPr>
        <w:widowControl/>
        <w:numPr>
          <w:ilvl w:val="0"/>
          <w:numId w:val="48"/>
        </w:numPr>
        <w:spacing w:line="360" w:lineRule="auto"/>
        <w:ind w:left="425" w:leftChars="0" w:hanging="5"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新建/编辑：创建或编辑放假安排项目，指定放假的开始结束时间及对应的校区：</w:t>
      </w:r>
    </w:p>
    <w:p w14:paraId="62FD5DC0">
      <w:pPr>
        <w:widowControl/>
        <w:numPr>
          <w:ilvl w:val="0"/>
          <w:numId w:val="48"/>
        </w:numPr>
        <w:spacing w:line="360" w:lineRule="auto"/>
        <w:ind w:left="425" w:leftChars="0" w:hanging="5"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删除：放假安排项目</w:t>
      </w:r>
    </w:p>
    <w:p w14:paraId="6572B260">
      <w:pPr>
        <w:pStyle w:val="169"/>
        <w:widowControl/>
        <w:numPr>
          <w:ilvl w:val="0"/>
          <w:numId w:val="47"/>
        </w:numPr>
        <w:spacing w:line="360" w:lineRule="auto"/>
        <w:ind w:left="0" w:leftChars="0" w:firstLine="40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班主任放假安排</w:t>
      </w:r>
    </w:p>
    <w:p w14:paraId="546FA8F9">
      <w:pPr>
        <w:widowControl/>
        <w:spacing w:line="360" w:lineRule="auto"/>
        <w:ind w:firstLine="405" w:firstLineChars="193"/>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班主任放假安排功能</w:t>
      </w:r>
      <w:r>
        <w:rPr>
          <w:rFonts w:hint="eastAsia" w:asciiTheme="minorEastAsia" w:hAnsiTheme="minorEastAsia" w:eastAsiaTheme="minorEastAsia" w:cstheme="minorEastAsia"/>
          <w:color w:val="auto"/>
          <w:kern w:val="0"/>
          <w:sz w:val="21"/>
          <w:szCs w:val="21"/>
          <w:highlight w:val="none"/>
        </w:rPr>
        <w:t>允许</w:t>
      </w:r>
      <w:r>
        <w:rPr>
          <w:rFonts w:hint="eastAsia" w:asciiTheme="minorEastAsia" w:hAnsiTheme="minorEastAsia" w:eastAsiaTheme="minorEastAsia" w:cstheme="minorEastAsia"/>
          <w:color w:val="auto"/>
          <w:kern w:val="0"/>
          <w:sz w:val="21"/>
          <w:szCs w:val="21"/>
          <w:highlight w:val="none"/>
          <w:lang w:val="en-US" w:eastAsia="zh-CN"/>
        </w:rPr>
        <w:t>班主任根据放假安排，选择特定时间段，一次性对整个班级或部分学生进行放假安排，减少操作时间和工作量。</w:t>
      </w:r>
    </w:p>
    <w:p w14:paraId="0792B662">
      <w:pPr>
        <w:widowControl/>
        <w:spacing w:line="360" w:lineRule="auto"/>
        <w:ind w:firstLine="405" w:firstLineChars="193"/>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功能包含有：</w:t>
      </w:r>
    </w:p>
    <w:p w14:paraId="28391912">
      <w:pPr>
        <w:widowControl/>
        <w:numPr>
          <w:ilvl w:val="0"/>
          <w:numId w:val="49"/>
        </w:numPr>
        <w:spacing w:line="360" w:lineRule="auto"/>
        <w:ind w:left="425" w:leftChars="0" w:hanging="5"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添加：提供批量操作功能，允许班主任按照班级或学生分组进行批量放假安排。如</w:t>
      </w:r>
    </w:p>
    <w:p w14:paraId="05880A0B">
      <w:pPr>
        <w:widowControl/>
        <w:numPr>
          <w:ilvl w:val="0"/>
          <w:numId w:val="0"/>
        </w:numPr>
        <w:spacing w:line="360" w:lineRule="auto"/>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根据学生离校时长、目的地不同批量操作，如有需要可上传附件。界面如下：</w:t>
      </w:r>
    </w:p>
    <w:p w14:paraId="016E2FCF">
      <w:pPr>
        <w:widowControl/>
        <w:numPr>
          <w:ilvl w:val="0"/>
          <w:numId w:val="49"/>
        </w:numPr>
        <w:spacing w:line="360" w:lineRule="auto"/>
        <w:ind w:left="425" w:leftChars="0" w:hanging="5"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编辑：班主任可对某个学生的放假安排进行单独编辑，包含上传佐证材料等。</w:t>
      </w:r>
    </w:p>
    <w:p w14:paraId="3914561D">
      <w:pPr>
        <w:widowControl/>
        <w:numPr>
          <w:ilvl w:val="0"/>
          <w:numId w:val="49"/>
        </w:numPr>
        <w:spacing w:line="360" w:lineRule="auto"/>
        <w:ind w:left="425" w:leftChars="0" w:hanging="5"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删除：删除放假安排记录。</w:t>
      </w:r>
    </w:p>
    <w:p w14:paraId="07E004D7">
      <w:pPr>
        <w:pStyle w:val="169"/>
        <w:widowControl/>
        <w:numPr>
          <w:ilvl w:val="0"/>
          <w:numId w:val="47"/>
        </w:numPr>
        <w:spacing w:line="360" w:lineRule="auto"/>
        <w:ind w:left="0" w:leftChars="0" w:firstLine="40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放假安排审核</w:t>
      </w:r>
    </w:p>
    <w:p w14:paraId="291ED5B8">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根据院校的相关规定，</w:t>
      </w:r>
      <w:r>
        <w:rPr>
          <w:rFonts w:hint="eastAsia" w:asciiTheme="minorEastAsia" w:hAnsiTheme="minorEastAsia" w:eastAsiaTheme="minorEastAsia" w:cstheme="minorEastAsia"/>
          <w:color w:val="auto"/>
          <w:sz w:val="21"/>
          <w:szCs w:val="21"/>
          <w:highlight w:val="none"/>
        </w:rPr>
        <w:t>请假1天</w:t>
      </w:r>
      <w:r>
        <w:rPr>
          <w:rFonts w:hint="eastAsia" w:asciiTheme="minorEastAsia" w:hAnsiTheme="minorEastAsia" w:eastAsiaTheme="minorEastAsia" w:cstheme="minorEastAsia"/>
          <w:color w:val="auto"/>
          <w:sz w:val="21"/>
          <w:szCs w:val="21"/>
          <w:highlight w:val="none"/>
          <w:lang w:val="en-US" w:eastAsia="zh-CN"/>
        </w:rPr>
        <w:t>的</w:t>
      </w:r>
      <w:r>
        <w:rPr>
          <w:rFonts w:hint="eastAsia" w:asciiTheme="minorEastAsia" w:hAnsiTheme="minorEastAsia" w:eastAsiaTheme="minorEastAsia" w:cstheme="minorEastAsia"/>
          <w:color w:val="auto"/>
          <w:sz w:val="21"/>
          <w:szCs w:val="21"/>
          <w:highlight w:val="none"/>
        </w:rPr>
        <w:t>，班主任</w:t>
      </w:r>
      <w:r>
        <w:rPr>
          <w:rFonts w:hint="eastAsia" w:asciiTheme="minorEastAsia" w:hAnsiTheme="minorEastAsia" w:eastAsiaTheme="minorEastAsia" w:cstheme="minorEastAsia"/>
          <w:color w:val="auto"/>
          <w:sz w:val="21"/>
          <w:szCs w:val="21"/>
          <w:highlight w:val="none"/>
          <w:lang w:val="en-US" w:eastAsia="zh-CN"/>
        </w:rPr>
        <w:t>安排后自动通过</w:t>
      </w:r>
      <w:r>
        <w:rPr>
          <w:rFonts w:hint="eastAsia" w:asciiTheme="minorEastAsia" w:hAnsiTheme="minorEastAsia" w:eastAsiaTheme="minorEastAsia" w:cstheme="minorEastAsia"/>
          <w:color w:val="auto"/>
          <w:sz w:val="21"/>
          <w:szCs w:val="21"/>
          <w:highlight w:val="none"/>
        </w:rPr>
        <w:t>；2天的需经系批准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请假3天以上5天以下的（含3天），需经学生处批准；请假5天及以上的，需经学生工作分管院领导批准。</w:t>
      </w:r>
    </w:p>
    <w:p w14:paraId="33B8A15F">
      <w:pPr>
        <w:widowControl/>
        <w:numPr>
          <w:ilvl w:val="0"/>
          <w:numId w:val="50"/>
        </w:numPr>
        <w:spacing w:line="360" w:lineRule="auto"/>
        <w:ind w:left="425" w:leftChars="0" w:hanging="5"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审批通过：审核通过并加注审批意见。</w:t>
      </w:r>
    </w:p>
    <w:p w14:paraId="1F7E0BCE">
      <w:pPr>
        <w:widowControl/>
        <w:numPr>
          <w:ilvl w:val="0"/>
          <w:numId w:val="50"/>
        </w:numPr>
        <w:spacing w:line="360" w:lineRule="auto"/>
        <w:ind w:left="425" w:leftChars="0" w:hanging="5"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审批驳回：审核驳回，并指定驳货的意见。</w:t>
      </w:r>
    </w:p>
    <w:p w14:paraId="141C27AA">
      <w:pPr>
        <w:widowControl/>
        <w:numPr>
          <w:ilvl w:val="0"/>
          <w:numId w:val="50"/>
        </w:numPr>
        <w:spacing w:line="360" w:lineRule="auto"/>
        <w:ind w:left="425" w:leftChars="0" w:hanging="5"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批量审核：支持批量审核。</w:t>
      </w:r>
    </w:p>
    <w:p w14:paraId="11BA5E78">
      <w:pPr>
        <w:pStyle w:val="169"/>
        <w:widowControl/>
        <w:numPr>
          <w:ilvl w:val="0"/>
          <w:numId w:val="45"/>
        </w:numPr>
        <w:spacing w:line="360" w:lineRule="auto"/>
        <w:ind w:left="425" w:leftChars="0" w:hanging="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学生请假（学生移动端）</w:t>
      </w:r>
    </w:p>
    <w:p w14:paraId="556FB675">
      <w:pPr>
        <w:pStyle w:val="169"/>
        <w:widowControl/>
        <w:numPr>
          <w:ilvl w:val="0"/>
          <w:numId w:val="51"/>
        </w:numPr>
        <w:spacing w:line="360" w:lineRule="auto"/>
        <w:ind w:left="540" w:leftChars="0" w:firstLine="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发起请假</w:t>
      </w:r>
    </w:p>
    <w:p w14:paraId="3D581D84">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学生通过院校服务号移动端发起请假申请。请假申请界面如下图，学生填写请假原因、请假时间、假期类型及紧急联系人等信息，并上传请假证明材料（如病假证明、聊天记录等）。</w:t>
      </w:r>
    </w:p>
    <w:p w14:paraId="58FC6183">
      <w:pPr>
        <w:widowControl/>
        <w:spacing w:line="360" w:lineRule="auto"/>
        <w:ind w:firstLine="405" w:firstLineChars="193"/>
        <w:jc w:val="left"/>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系统将自动根据请假的目的地，请假时长，自动选择相应的审批流程：请假1天的，由班主任批准；请假2天的需经系批准；请假3天以上5天以下的（含3天），需经学生处批准；请假5天及以上的，需经学生工作分管院领导批准。</w:t>
      </w:r>
      <w:r>
        <w:rPr>
          <w:rFonts w:hint="eastAsia" w:asciiTheme="minorEastAsia" w:hAnsiTheme="minorEastAsia" w:eastAsiaTheme="minorEastAsia" w:cstheme="minorEastAsia"/>
          <w:color w:val="auto"/>
          <w:kern w:val="0"/>
          <w:sz w:val="21"/>
          <w:szCs w:val="21"/>
          <w:highlight w:val="none"/>
          <w:lang w:val="en-US" w:eastAsia="zh-CN"/>
        </w:rPr>
        <w:t xml:space="preserve">  </w:t>
      </w:r>
    </w:p>
    <w:p w14:paraId="48176BE4">
      <w:pPr>
        <w:pStyle w:val="169"/>
        <w:widowControl/>
        <w:numPr>
          <w:ilvl w:val="0"/>
          <w:numId w:val="51"/>
        </w:numPr>
        <w:spacing w:line="360" w:lineRule="auto"/>
        <w:ind w:left="540" w:leftChars="0" w:firstLine="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请假列表</w:t>
      </w:r>
    </w:p>
    <w:p w14:paraId="5DEF7CD0">
      <w:pPr>
        <w:widowControl/>
        <w:spacing w:line="360" w:lineRule="auto"/>
        <w:ind w:firstLine="405" w:firstLineChars="193"/>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分“已审批”及“待审批”显示学生所有请假记录（含放假安排记录）,点击相应的记录可查看请假详情，审批进度或销假。</w:t>
      </w:r>
      <w:r>
        <w:rPr>
          <w:rFonts w:hint="eastAsia" w:asciiTheme="minorEastAsia" w:hAnsiTheme="minorEastAsia" w:eastAsiaTheme="minorEastAsia" w:cstheme="minorEastAsia"/>
          <w:color w:val="auto"/>
          <w:kern w:val="0"/>
          <w:sz w:val="21"/>
          <w:szCs w:val="21"/>
          <w:highlight w:val="none"/>
          <w:lang w:val="en-US" w:eastAsia="zh-CN"/>
        </w:rPr>
        <w:t xml:space="preserve">  </w:t>
      </w:r>
    </w:p>
    <w:p w14:paraId="18FF8631">
      <w:pPr>
        <w:pStyle w:val="169"/>
        <w:widowControl/>
        <w:numPr>
          <w:ilvl w:val="0"/>
          <w:numId w:val="51"/>
        </w:numPr>
        <w:spacing w:line="360" w:lineRule="auto"/>
        <w:ind w:left="540" w:leftChars="0" w:firstLine="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学生销假</w:t>
      </w:r>
    </w:p>
    <w:p w14:paraId="32A8D8B9">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学生返校后应及时销假，否则影响日常考勤及晚点名，在“已审批</w:t>
      </w:r>
      <w:r>
        <w:rPr>
          <w:rFonts w:hint="eastAsia" w:asciiTheme="minorEastAsia" w:hAnsiTheme="minorEastAsia" w:eastAsiaTheme="minorEastAsia" w:cstheme="minorEastAsia"/>
          <w:color w:val="auto"/>
          <w:kern w:val="0"/>
          <w:sz w:val="21"/>
          <w:szCs w:val="21"/>
          <w:highlight w:val="none"/>
          <w:lang w:val="en-US" w:eastAsia="zh-CN"/>
        </w:rPr>
        <w:t>”列表中</w:t>
      </w:r>
      <w:r>
        <w:rPr>
          <w:rFonts w:hint="eastAsia" w:asciiTheme="minorEastAsia" w:hAnsiTheme="minorEastAsia" w:eastAsiaTheme="minorEastAsia" w:cstheme="minorEastAsia"/>
          <w:color w:val="auto"/>
          <w:sz w:val="21"/>
          <w:szCs w:val="21"/>
          <w:highlight w:val="none"/>
          <w:lang w:val="en-US" w:eastAsia="zh-CN"/>
        </w:rPr>
        <w:t>点击对应的请假记录，点击“销假”按钮。</w:t>
      </w:r>
    </w:p>
    <w:p w14:paraId="1F28E6B0">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学生“销假”后，系统自动推送“微信模板消息”通知班主任，班主任点击该模板消息可显示学生请假的详情，点击“打卡历史”选项卡查看学生进出校门最新的20条打卡记录。</w:t>
      </w:r>
    </w:p>
    <w:p w14:paraId="52A22278">
      <w:pPr>
        <w:pStyle w:val="169"/>
        <w:widowControl/>
        <w:numPr>
          <w:ilvl w:val="0"/>
          <w:numId w:val="45"/>
        </w:numPr>
        <w:spacing w:line="360" w:lineRule="auto"/>
        <w:ind w:left="425" w:leftChars="0" w:hanging="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学生请假审核</w:t>
      </w:r>
    </w:p>
    <w:p w14:paraId="5AF806EB">
      <w:pPr>
        <w:pStyle w:val="169"/>
        <w:widowControl/>
        <w:numPr>
          <w:ilvl w:val="0"/>
          <w:numId w:val="52"/>
        </w:numPr>
        <w:spacing w:line="360" w:lineRule="auto"/>
        <w:ind w:left="540" w:leftChars="0" w:firstLine="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请假审批移动端</w:t>
      </w:r>
    </w:p>
    <w:p w14:paraId="066EF77A">
      <w:pPr>
        <w:widowControl/>
        <w:spacing w:line="360" w:lineRule="auto"/>
        <w:ind w:firstLine="405" w:firstLineChars="193"/>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班主任，学院负责人、学生处负责人及分管领导可通过手机移动端对学生发起的请求进行审批：</w:t>
      </w:r>
      <w:r>
        <w:rPr>
          <w:rFonts w:hint="eastAsia" w:asciiTheme="minorEastAsia" w:hAnsiTheme="minorEastAsia" w:eastAsiaTheme="minorEastAsia" w:cstheme="minorEastAsia"/>
          <w:color w:val="auto"/>
          <w:kern w:val="0"/>
          <w:sz w:val="21"/>
          <w:szCs w:val="21"/>
          <w:highlight w:val="none"/>
          <w:lang w:val="en-US" w:eastAsia="zh-CN"/>
        </w:rPr>
        <w:t xml:space="preserve">  </w:t>
      </w:r>
    </w:p>
    <w:p w14:paraId="4978E4D2">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点击审核中的请假记录，打开审批界面，如有必要上传附图，然后点击同意按钮，输入审批意见后通过。</w:t>
      </w:r>
    </w:p>
    <w:p w14:paraId="6B9A1158">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“已审核”选项卡显示个人审核历史记录，点击记录显示学生请假的详情，点击“打卡历史”选项卡查看学生进出校门最新的20条打卡记录。</w:t>
      </w:r>
    </w:p>
    <w:p w14:paraId="3FA4C310">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审核流程:请假1天的，由班主任批准；请假2天的需经系批准；请假3天以上5天以下的（含3天），需经学生处批准；请假5天及以上的，需经学生工作分管院领导批准。</w:t>
      </w:r>
    </w:p>
    <w:p w14:paraId="2E834404">
      <w:pPr>
        <w:pStyle w:val="169"/>
        <w:widowControl/>
        <w:numPr>
          <w:ilvl w:val="0"/>
          <w:numId w:val="52"/>
        </w:numPr>
        <w:spacing w:line="360" w:lineRule="auto"/>
        <w:ind w:left="540" w:leftChars="0" w:firstLine="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批量请假审批（PC端）</w:t>
      </w:r>
    </w:p>
    <w:p w14:paraId="3CF40259">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班主任，学院负责人、学生处负责人及分管领导对学生发起的请求进行批量审批。</w:t>
      </w:r>
    </w:p>
    <w:p w14:paraId="6EBC5DD6">
      <w:pPr>
        <w:widowControl/>
        <w:numPr>
          <w:ilvl w:val="0"/>
          <w:numId w:val="53"/>
        </w:numPr>
        <w:spacing w:line="360" w:lineRule="auto"/>
        <w:ind w:left="0" w:leftChars="0" w:firstLine="400"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审批通过：审核通过并加注审批意见。</w:t>
      </w:r>
    </w:p>
    <w:p w14:paraId="0C852A79">
      <w:pPr>
        <w:widowControl/>
        <w:numPr>
          <w:ilvl w:val="0"/>
          <w:numId w:val="53"/>
        </w:numPr>
        <w:spacing w:line="360" w:lineRule="auto"/>
        <w:ind w:left="0" w:leftChars="0" w:firstLine="400"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审批驳回：审核驳回，并指定驳货的意见。</w:t>
      </w:r>
    </w:p>
    <w:p w14:paraId="47203535">
      <w:pPr>
        <w:widowControl/>
        <w:numPr>
          <w:ilvl w:val="0"/>
          <w:numId w:val="53"/>
        </w:numPr>
        <w:spacing w:line="360" w:lineRule="auto"/>
        <w:ind w:left="0" w:leftChars="0" w:firstLine="400" w:firstLineChars="0"/>
        <w:jc w:val="left"/>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审核流程：请假1天的，由班主任批准；请假2天的需经系批准；请假3天以上5天以下的（含3天），需经学生处批准；请假5天及以上的，需经学生工作分管院领导批准。</w:t>
      </w:r>
    </w:p>
    <w:p w14:paraId="4069EA5E">
      <w:pPr>
        <w:pStyle w:val="169"/>
        <w:widowControl/>
        <w:numPr>
          <w:ilvl w:val="0"/>
          <w:numId w:val="45"/>
        </w:numPr>
        <w:spacing w:line="360" w:lineRule="auto"/>
        <w:ind w:left="425" w:leftChars="0" w:hanging="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周末离宿安排</w:t>
      </w:r>
    </w:p>
    <w:p w14:paraId="7C40D214">
      <w:pPr>
        <w:pStyle w:val="169"/>
        <w:widowControl/>
        <w:numPr>
          <w:ilvl w:val="0"/>
          <w:numId w:val="0"/>
        </w:numPr>
        <w:spacing w:line="360" w:lineRule="auto"/>
        <w:ind w:firstLine="420" w:firstLineChars="200"/>
        <w:jc w:val="left"/>
        <w:outlineLvl w:val="9"/>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学生处根据学校的管理办法对住宿学生进行周末离宿安排，班主任可对周末离宿</w:t>
      </w:r>
    </w:p>
    <w:p w14:paraId="1C634141">
      <w:pPr>
        <w:pStyle w:val="169"/>
        <w:widowControl/>
        <w:numPr>
          <w:ilvl w:val="0"/>
          <w:numId w:val="0"/>
        </w:numPr>
        <w:spacing w:line="360" w:lineRule="auto"/>
        <w:jc w:val="left"/>
        <w:outlineLvl w:val="9"/>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学生进行批量安排，主要功能包含：</w:t>
      </w:r>
    </w:p>
    <w:p w14:paraId="4BEE9B29">
      <w:pPr>
        <w:pStyle w:val="169"/>
        <w:widowControl/>
        <w:numPr>
          <w:ilvl w:val="0"/>
          <w:numId w:val="54"/>
        </w:numPr>
        <w:spacing w:line="360" w:lineRule="auto"/>
        <w:ind w:left="540" w:leftChars="0" w:firstLine="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周末离宿安排</w:t>
      </w:r>
    </w:p>
    <w:p w14:paraId="7CD1332C">
      <w:pPr>
        <w:pStyle w:val="169"/>
        <w:widowControl/>
        <w:numPr>
          <w:ilvl w:val="0"/>
          <w:numId w:val="0"/>
        </w:numPr>
        <w:spacing w:line="360" w:lineRule="auto"/>
        <w:ind w:firstLine="420" w:firstLineChars="200"/>
        <w:jc w:val="left"/>
        <w:outlineLvl w:val="9"/>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学生处负责创建和管理周末离宿项目，设定特定时间段内住宿生可申请离宿的规则。管理员可配置离宿起止时间，确保离宿安排符合校方管理规范。主要功能包含：</w:t>
      </w:r>
    </w:p>
    <w:p w14:paraId="24F04396">
      <w:pPr>
        <w:pStyle w:val="169"/>
        <w:widowControl/>
        <w:numPr>
          <w:ilvl w:val="0"/>
          <w:numId w:val="55"/>
        </w:numPr>
        <w:spacing w:line="360" w:lineRule="auto"/>
        <w:ind w:left="0" w:leftChars="0" w:firstLine="420" w:firstLineChars="0"/>
        <w:jc w:val="left"/>
        <w:outlineLvl w:val="9"/>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创建：</w:t>
      </w:r>
      <w:r>
        <w:rPr>
          <w:rFonts w:hint="eastAsia" w:asciiTheme="minorEastAsia" w:hAnsiTheme="minorEastAsia" w:eastAsiaTheme="minorEastAsia" w:cstheme="minorEastAsia"/>
          <w:b w:val="0"/>
          <w:bCs w:val="0"/>
          <w:color w:val="auto"/>
          <w:kern w:val="0"/>
          <w:sz w:val="21"/>
          <w:szCs w:val="21"/>
          <w:highlight w:val="none"/>
          <w:lang w:val="en-US" w:eastAsia="zh-CN"/>
        </w:rPr>
        <w:t>新增周末离宿项目，设定名词（如第几周），时间段。</w:t>
      </w:r>
    </w:p>
    <w:p w14:paraId="45691531">
      <w:pPr>
        <w:pStyle w:val="169"/>
        <w:widowControl/>
        <w:numPr>
          <w:ilvl w:val="0"/>
          <w:numId w:val="55"/>
        </w:numPr>
        <w:spacing w:line="360" w:lineRule="auto"/>
        <w:ind w:left="0" w:leftChars="0" w:firstLine="420" w:firstLineChars="0"/>
        <w:jc w:val="left"/>
        <w:outlineLvl w:val="9"/>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编辑：修改已创建的离宿项目。</w:t>
      </w:r>
    </w:p>
    <w:p w14:paraId="604DDCED">
      <w:pPr>
        <w:pStyle w:val="169"/>
        <w:widowControl/>
        <w:numPr>
          <w:ilvl w:val="0"/>
          <w:numId w:val="55"/>
        </w:numPr>
        <w:spacing w:line="360" w:lineRule="auto"/>
        <w:ind w:left="0" w:leftChars="0" w:firstLine="420" w:firstLineChars="0"/>
        <w:jc w:val="left"/>
        <w:outlineLvl w:val="9"/>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删除：移除不再适用的离宿项目，如已经安排学生会自动删除。</w:t>
      </w:r>
    </w:p>
    <w:p w14:paraId="620F96C3">
      <w:pPr>
        <w:pStyle w:val="169"/>
        <w:widowControl/>
        <w:numPr>
          <w:ilvl w:val="0"/>
          <w:numId w:val="55"/>
        </w:numPr>
        <w:spacing w:line="360" w:lineRule="auto"/>
        <w:ind w:left="0" w:leftChars="0" w:firstLine="420" w:firstLineChars="0"/>
        <w:jc w:val="left"/>
        <w:outlineLvl w:val="9"/>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离宿名单：查看该项目下所有安排离宿的学生名单，并允许查看该学生的进出校门打卡记录。</w:t>
      </w:r>
    </w:p>
    <w:p w14:paraId="6EF2C861">
      <w:pPr>
        <w:pStyle w:val="169"/>
        <w:widowControl/>
        <w:numPr>
          <w:ilvl w:val="0"/>
          <w:numId w:val="54"/>
        </w:numPr>
        <w:spacing w:line="360" w:lineRule="auto"/>
        <w:ind w:left="540" w:leftChars="0" w:firstLine="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班主任安排</w:t>
      </w:r>
    </w:p>
    <w:p w14:paraId="33CE4BEC">
      <w:pPr>
        <w:pStyle w:val="169"/>
        <w:widowControl/>
        <w:numPr>
          <w:ilvl w:val="0"/>
          <w:numId w:val="0"/>
        </w:numPr>
        <w:spacing w:line="360" w:lineRule="auto"/>
        <w:ind w:firstLine="420" w:firstLineChars="200"/>
        <w:jc w:val="left"/>
        <w:outlineLvl w:val="9"/>
        <w:rPr>
          <w:rFonts w:hint="eastAsia"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班主任根据学生处制定的离宿项目，对本班住宿学生进行具体批量安排。</w:t>
      </w:r>
    </w:p>
    <w:p w14:paraId="7AC4A655">
      <w:pPr>
        <w:pStyle w:val="169"/>
        <w:widowControl/>
        <w:numPr>
          <w:ilvl w:val="0"/>
          <w:numId w:val="45"/>
        </w:numPr>
        <w:spacing w:line="360" w:lineRule="auto"/>
        <w:ind w:left="425" w:leftChars="0" w:hanging="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学生请假查询</w:t>
      </w:r>
    </w:p>
    <w:p w14:paraId="76080468">
      <w:pPr>
        <w:widowControl/>
        <w:spacing w:line="360" w:lineRule="auto"/>
        <w:ind w:left="0" w:leftChars="0" w:firstLine="405" w:firstLineChars="193"/>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查询学生请假的历史记录，含放假记录：</w:t>
      </w:r>
    </w:p>
    <w:p w14:paraId="74B56221">
      <w:pPr>
        <w:widowControl/>
        <w:numPr>
          <w:ilvl w:val="0"/>
          <w:numId w:val="0"/>
        </w:num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点击“考勤记录”可查看该学生的考勤详细情况，并按时间段进行查询。</w:t>
      </w:r>
    </w:p>
    <w:p w14:paraId="2B5B5862">
      <w:pPr>
        <w:pStyle w:val="169"/>
        <w:widowControl/>
        <w:numPr>
          <w:ilvl w:val="0"/>
          <w:numId w:val="45"/>
        </w:numPr>
        <w:spacing w:line="360" w:lineRule="auto"/>
        <w:ind w:left="425" w:leftChars="0" w:hanging="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bookmarkStart w:id="30" w:name="_Toc27951"/>
      <w:bookmarkStart w:id="31" w:name="_Toc26619"/>
      <w:r>
        <w:rPr>
          <w:rFonts w:hint="eastAsia" w:asciiTheme="minorEastAsia" w:hAnsiTheme="minorEastAsia" w:eastAsiaTheme="minorEastAsia" w:cstheme="minorEastAsia"/>
          <w:b/>
          <w:bCs/>
          <w:color w:val="auto"/>
          <w:kern w:val="0"/>
          <w:sz w:val="21"/>
          <w:szCs w:val="21"/>
          <w:highlight w:val="none"/>
          <w:lang w:val="en-US" w:eastAsia="zh-CN"/>
        </w:rPr>
        <w:t>退宿及走读转住宿申请模块</w:t>
      </w:r>
      <w:bookmarkEnd w:id="30"/>
      <w:bookmarkEnd w:id="31"/>
    </w:p>
    <w:p w14:paraId="69F84FFB">
      <w:pPr>
        <w:widowControl/>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实现学生通过移动端发起退宿申请，经班主任、宿管、财务审批后完成自动生成退费单，并更新住宿状态。</w:t>
      </w:r>
    </w:p>
    <w:p w14:paraId="115C817D">
      <w:pPr>
        <w:pStyle w:val="169"/>
        <w:widowControl/>
        <w:numPr>
          <w:ilvl w:val="0"/>
          <w:numId w:val="56"/>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bookmarkStart w:id="32" w:name="_Toc17052"/>
      <w:r>
        <w:rPr>
          <w:rFonts w:hint="eastAsia" w:asciiTheme="minorEastAsia" w:hAnsiTheme="minorEastAsia" w:eastAsiaTheme="minorEastAsia" w:cstheme="minorEastAsia"/>
          <w:b/>
          <w:bCs/>
          <w:color w:val="auto"/>
          <w:kern w:val="0"/>
          <w:sz w:val="21"/>
          <w:szCs w:val="21"/>
          <w:highlight w:val="none"/>
          <w:lang w:val="en-US" w:eastAsia="zh-CN"/>
        </w:rPr>
        <w:t>后台管理</w:t>
      </w:r>
      <w:bookmarkEnd w:id="32"/>
    </w:p>
    <w:p w14:paraId="5A2427CF">
      <w:pPr>
        <w:pStyle w:val="169"/>
        <w:widowControl/>
        <w:numPr>
          <w:ilvl w:val="0"/>
          <w:numId w:val="57"/>
        </w:numPr>
        <w:spacing w:line="360" w:lineRule="auto"/>
        <w:ind w:left="0" w:leftChars="0" w:firstLine="40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bookmarkStart w:id="33" w:name="_Toc21353"/>
      <w:r>
        <w:rPr>
          <w:rFonts w:hint="eastAsia" w:asciiTheme="minorEastAsia" w:hAnsiTheme="minorEastAsia" w:eastAsiaTheme="minorEastAsia" w:cstheme="minorEastAsia"/>
          <w:b/>
          <w:bCs/>
          <w:color w:val="auto"/>
          <w:kern w:val="0"/>
          <w:sz w:val="21"/>
          <w:szCs w:val="21"/>
          <w:highlight w:val="none"/>
          <w:lang w:val="en-US" w:eastAsia="zh-CN"/>
        </w:rPr>
        <w:t>退宿管理</w:t>
      </w:r>
    </w:p>
    <w:p w14:paraId="73B7535E">
      <w:pPr>
        <w:pStyle w:val="169"/>
        <w:widowControl/>
        <w:numPr>
          <w:ilvl w:val="0"/>
          <w:numId w:val="58"/>
        </w:numPr>
        <w:spacing w:line="360" w:lineRule="auto"/>
        <w:ind w:left="425" w:leftChars="0" w:hanging="5" w:firstLineChars="0"/>
        <w:jc w:val="left"/>
        <w:outlineLvl w:val="5"/>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审核/审查/审批</w:t>
      </w:r>
      <w:bookmarkEnd w:id="33"/>
    </w:p>
    <w:p w14:paraId="7B97A739">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审批流程：学生提交退宿申请，并提供银行卡号、户名、开户行及家长身份证信息等信息，班主任审核申请并上传与家长沟通记录后，申请将提交至系部学管主任审批。审批通过后，辅导员负责安排具体退宿工作。随后，学生处宿管老师填写需退还的住宿费用，财务老师审核并可调整金额。最终，学生处主任进行终审，确认退宿并创建退费单，最后自动更新学生的住宿状态，释放床位。</w:t>
      </w:r>
    </w:p>
    <w:p w14:paraId="7A8977A0">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审批的每个环节通过“微信模板消息”通知相关用户。</w:t>
      </w:r>
    </w:p>
    <w:p w14:paraId="3AE38692">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支持通过学生姓名、学号、班级及申请时间等进行搜索查询。</w:t>
      </w:r>
    </w:p>
    <w:p w14:paraId="4FC45B4D">
      <w:pPr>
        <w:pStyle w:val="169"/>
        <w:widowControl/>
        <w:numPr>
          <w:ilvl w:val="0"/>
          <w:numId w:val="58"/>
        </w:numPr>
        <w:spacing w:line="360" w:lineRule="auto"/>
        <w:ind w:left="425" w:leftChars="0" w:hanging="5" w:firstLineChars="0"/>
        <w:jc w:val="left"/>
        <w:outlineLvl w:val="5"/>
        <w:rPr>
          <w:rFonts w:hint="eastAsia" w:asciiTheme="minorEastAsia" w:hAnsiTheme="minorEastAsia" w:eastAsiaTheme="minorEastAsia" w:cstheme="minorEastAsia"/>
          <w:b/>
          <w:bCs/>
          <w:color w:val="auto"/>
          <w:kern w:val="0"/>
          <w:sz w:val="21"/>
          <w:szCs w:val="21"/>
          <w:highlight w:val="none"/>
          <w:lang w:val="en-US" w:eastAsia="zh-CN"/>
        </w:rPr>
      </w:pPr>
      <w:bookmarkStart w:id="34" w:name="_Toc31141"/>
      <w:r>
        <w:rPr>
          <w:rFonts w:hint="eastAsia" w:asciiTheme="minorEastAsia" w:hAnsiTheme="minorEastAsia" w:eastAsiaTheme="minorEastAsia" w:cstheme="minorEastAsia"/>
          <w:b/>
          <w:bCs/>
          <w:color w:val="auto"/>
          <w:kern w:val="0"/>
          <w:sz w:val="21"/>
          <w:szCs w:val="21"/>
          <w:highlight w:val="none"/>
          <w:lang w:val="en-US" w:eastAsia="zh-CN"/>
        </w:rPr>
        <w:t>退宿申请查询</w:t>
      </w:r>
      <w:bookmarkEnd w:id="34"/>
    </w:p>
    <w:p w14:paraId="70F775A4">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分班主任、宿管老师及财务处三级权限，分别查看本班、本院系及全校学生退宿情况。</w:t>
      </w:r>
    </w:p>
    <w:p w14:paraId="1D3616E5">
      <w:pPr>
        <w:widowControl/>
        <w:spacing w:line="360" w:lineRule="auto"/>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支持通过学生姓名、学号、班级及申请时间等进行搜索查询。</w:t>
      </w:r>
    </w:p>
    <w:p w14:paraId="446D898C">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可自动生成退宿汇总表，用于汇总和分析。</w:t>
      </w:r>
    </w:p>
    <w:p w14:paraId="3FEE9685">
      <w:pPr>
        <w:pStyle w:val="169"/>
        <w:widowControl/>
        <w:numPr>
          <w:ilvl w:val="0"/>
          <w:numId w:val="57"/>
        </w:numPr>
        <w:spacing w:line="360" w:lineRule="auto"/>
        <w:ind w:left="0" w:leftChars="0" w:firstLine="40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bookmarkStart w:id="35" w:name="_Toc3319"/>
      <w:r>
        <w:rPr>
          <w:rFonts w:hint="eastAsia" w:asciiTheme="minorEastAsia" w:hAnsiTheme="minorEastAsia" w:eastAsiaTheme="minorEastAsia" w:cstheme="minorEastAsia"/>
          <w:b/>
          <w:bCs/>
          <w:color w:val="auto"/>
          <w:kern w:val="0"/>
          <w:sz w:val="21"/>
          <w:szCs w:val="21"/>
          <w:highlight w:val="none"/>
          <w:lang w:val="en-US" w:eastAsia="zh-CN"/>
        </w:rPr>
        <w:t>走读转住宿</w:t>
      </w:r>
    </w:p>
    <w:p w14:paraId="2DB60E4D">
      <w:pPr>
        <w:pStyle w:val="169"/>
        <w:widowControl/>
        <w:numPr>
          <w:ilvl w:val="0"/>
          <w:numId w:val="59"/>
        </w:numPr>
        <w:spacing w:line="360" w:lineRule="auto"/>
        <w:ind w:left="425" w:leftChars="0" w:hanging="5" w:firstLineChars="0"/>
        <w:jc w:val="left"/>
        <w:outlineLvl w:val="5"/>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申请/审查/审批</w:t>
      </w:r>
      <w:bookmarkEnd w:id="35"/>
    </w:p>
    <w:p w14:paraId="206B0307">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具体审核流程：学生提交住宿申请后，班主任首先进行审核，并上传与家长的相关沟通记录；审核通过后，申请将提交至系部学管主任审批，随后由系部辅导员安排住宿的宿舍及床位（临时锁定床位）；安排床位后，学生处宿管老师负责录入住宿费用，财务老师核实金额后，学生需通过收费系统完成缴费；缴费完成后，学生处最终审批并更新住宿状态。</w:t>
      </w:r>
    </w:p>
    <w:p w14:paraId="525182D8">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若申请在任一环节被驳回，临时占用的床位将立即释放，以确保资源合理分配。</w:t>
      </w:r>
    </w:p>
    <w:p w14:paraId="2DA37413">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审批的每个环节通过“微信模板消息”通知相关用户，点击消息可进入审批或查看页面。</w:t>
      </w:r>
    </w:p>
    <w:p w14:paraId="2F7A7815">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支持通过学生姓名、学号、班级及申请时间等进行搜索查询。</w:t>
      </w:r>
    </w:p>
    <w:p w14:paraId="0AD203F3">
      <w:pPr>
        <w:pStyle w:val="169"/>
        <w:widowControl/>
        <w:numPr>
          <w:ilvl w:val="0"/>
          <w:numId w:val="59"/>
        </w:numPr>
        <w:spacing w:line="360" w:lineRule="auto"/>
        <w:ind w:left="425" w:leftChars="0" w:hanging="5" w:firstLineChars="0"/>
        <w:jc w:val="left"/>
        <w:outlineLvl w:val="5"/>
        <w:rPr>
          <w:rFonts w:hint="eastAsia" w:asciiTheme="minorEastAsia" w:hAnsiTheme="minorEastAsia" w:eastAsiaTheme="minorEastAsia" w:cstheme="minorEastAsia"/>
          <w:b/>
          <w:bCs/>
          <w:color w:val="auto"/>
          <w:kern w:val="0"/>
          <w:sz w:val="21"/>
          <w:szCs w:val="21"/>
          <w:highlight w:val="none"/>
          <w:lang w:val="en-US" w:eastAsia="zh-CN"/>
        </w:rPr>
      </w:pPr>
      <w:bookmarkStart w:id="36" w:name="_Toc20768"/>
      <w:r>
        <w:rPr>
          <w:rFonts w:hint="eastAsia" w:asciiTheme="minorEastAsia" w:hAnsiTheme="minorEastAsia" w:eastAsiaTheme="minorEastAsia" w:cstheme="minorEastAsia"/>
          <w:b/>
          <w:bCs/>
          <w:color w:val="auto"/>
          <w:kern w:val="0"/>
          <w:sz w:val="21"/>
          <w:szCs w:val="21"/>
          <w:highlight w:val="none"/>
          <w:lang w:val="en-US" w:eastAsia="zh-CN"/>
        </w:rPr>
        <w:t>走读转住宿申请查询</w:t>
      </w:r>
      <w:bookmarkEnd w:id="36"/>
    </w:p>
    <w:p w14:paraId="16179142">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分班院系、学生处管理员二级权限，分别查看本院系及全校学生住宿申请信息。支持通过学生姓名、学号、班级及申请时间等进行搜索查询。</w:t>
      </w:r>
    </w:p>
    <w:p w14:paraId="21D0C44F">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可自动生成走读转住宿汇总表，用于汇总和分析。</w:t>
      </w:r>
    </w:p>
    <w:p w14:paraId="5B438328">
      <w:pPr>
        <w:pStyle w:val="169"/>
        <w:widowControl/>
        <w:numPr>
          <w:ilvl w:val="0"/>
          <w:numId w:val="57"/>
        </w:numPr>
        <w:spacing w:line="360" w:lineRule="auto"/>
        <w:ind w:left="0" w:leftChars="0" w:firstLine="40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bookmarkStart w:id="37" w:name="_Toc6589"/>
      <w:r>
        <w:rPr>
          <w:rFonts w:hint="eastAsia" w:asciiTheme="minorEastAsia" w:hAnsiTheme="minorEastAsia" w:eastAsiaTheme="minorEastAsia" w:cstheme="minorEastAsia"/>
          <w:b/>
          <w:bCs/>
          <w:color w:val="auto"/>
          <w:kern w:val="0"/>
          <w:sz w:val="21"/>
          <w:szCs w:val="21"/>
          <w:highlight w:val="none"/>
          <w:lang w:val="en-US" w:eastAsia="zh-CN"/>
        </w:rPr>
        <w:t>联动收费系统</w:t>
      </w:r>
      <w:bookmarkEnd w:id="37"/>
    </w:p>
    <w:p w14:paraId="6E641C6A">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学生退宿批通过后，联动财务系统，自动生成退费单。学生走读转住宿审批通过后，联动财务系统，自动生成收费单。</w:t>
      </w:r>
    </w:p>
    <w:p w14:paraId="6D7EFC6D">
      <w:pPr>
        <w:pStyle w:val="169"/>
        <w:widowControl/>
        <w:numPr>
          <w:ilvl w:val="0"/>
          <w:numId w:val="56"/>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bookmarkStart w:id="38" w:name="_Toc4684"/>
      <w:r>
        <w:rPr>
          <w:rFonts w:hint="eastAsia" w:asciiTheme="minorEastAsia" w:hAnsiTheme="minorEastAsia" w:eastAsiaTheme="minorEastAsia" w:cstheme="minorEastAsia"/>
          <w:b/>
          <w:bCs/>
          <w:color w:val="auto"/>
          <w:kern w:val="0"/>
          <w:sz w:val="21"/>
          <w:szCs w:val="21"/>
          <w:highlight w:val="none"/>
          <w:lang w:val="en-US" w:eastAsia="zh-CN"/>
        </w:rPr>
        <w:t>H5移动端</w:t>
      </w:r>
      <w:bookmarkEnd w:id="38"/>
    </w:p>
    <w:p w14:paraId="75BA05E7">
      <w:pPr>
        <w:pStyle w:val="169"/>
        <w:widowControl/>
        <w:numPr>
          <w:ilvl w:val="0"/>
          <w:numId w:val="60"/>
        </w:numPr>
        <w:spacing w:line="360" w:lineRule="auto"/>
        <w:ind w:left="0" w:leftChars="0" w:firstLine="40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bookmarkStart w:id="39" w:name="_Toc15453"/>
      <w:r>
        <w:rPr>
          <w:rFonts w:hint="eastAsia" w:asciiTheme="minorEastAsia" w:hAnsiTheme="minorEastAsia" w:eastAsiaTheme="minorEastAsia" w:cstheme="minorEastAsia"/>
          <w:b/>
          <w:bCs/>
          <w:color w:val="auto"/>
          <w:kern w:val="0"/>
          <w:sz w:val="21"/>
          <w:szCs w:val="21"/>
          <w:highlight w:val="none"/>
          <w:lang w:val="en-US" w:eastAsia="zh-CN"/>
        </w:rPr>
        <w:t>学生端</w:t>
      </w:r>
    </w:p>
    <w:p w14:paraId="0C79DD2C">
      <w:pPr>
        <w:pStyle w:val="169"/>
        <w:widowControl/>
        <w:numPr>
          <w:ilvl w:val="0"/>
          <w:numId w:val="61"/>
        </w:numPr>
        <w:spacing w:line="360" w:lineRule="auto"/>
        <w:ind w:left="425" w:leftChars="0" w:hanging="5" w:firstLineChars="0"/>
        <w:jc w:val="left"/>
        <w:outlineLvl w:val="5"/>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退宿申请</w:t>
      </w:r>
      <w:bookmarkEnd w:id="39"/>
    </w:p>
    <w:p w14:paraId="739579E3">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包含待审批及已审批两个选项卡。分别显示所有待审批及已审批的历史记录。</w:t>
      </w:r>
    </w:p>
    <w:p w14:paraId="4785237B">
      <w:pPr>
        <w:widowControl/>
        <w:spacing w:line="360" w:lineRule="auto"/>
        <w:ind w:firstLine="420" w:firstLineChars="2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学生发起退宿申请，包含填写申请的理由，上次附件等内容。</w:t>
      </w:r>
    </w:p>
    <w:p w14:paraId="2B63EE11">
      <w:pPr>
        <w:pStyle w:val="169"/>
        <w:widowControl/>
        <w:numPr>
          <w:ilvl w:val="0"/>
          <w:numId w:val="61"/>
        </w:numPr>
        <w:spacing w:line="360" w:lineRule="auto"/>
        <w:ind w:left="425" w:leftChars="0" w:hanging="5" w:firstLineChars="0"/>
        <w:jc w:val="left"/>
        <w:outlineLvl w:val="5"/>
        <w:rPr>
          <w:rFonts w:hint="eastAsia" w:asciiTheme="minorEastAsia" w:hAnsiTheme="minorEastAsia" w:eastAsiaTheme="minorEastAsia" w:cstheme="minorEastAsia"/>
          <w:color w:val="auto"/>
          <w:sz w:val="21"/>
          <w:szCs w:val="21"/>
          <w:highlight w:val="none"/>
          <w:lang w:val="en-US" w:eastAsia="zh-CN"/>
        </w:rPr>
      </w:pPr>
      <w:bookmarkStart w:id="40" w:name="_Toc10088"/>
      <w:bookmarkStart w:id="41" w:name="_Toc8735"/>
      <w:r>
        <w:rPr>
          <w:rFonts w:hint="eastAsia" w:asciiTheme="minorEastAsia" w:hAnsiTheme="minorEastAsia" w:eastAsiaTheme="minorEastAsia" w:cstheme="minorEastAsia"/>
          <w:color w:val="auto"/>
          <w:sz w:val="21"/>
          <w:szCs w:val="21"/>
          <w:highlight w:val="none"/>
          <w:lang w:val="en-US" w:eastAsia="zh-CN"/>
        </w:rPr>
        <w:t>走读转住宿申请</w:t>
      </w:r>
      <w:bookmarkEnd w:id="40"/>
    </w:p>
    <w:p w14:paraId="384C16D4">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包含待审批及已审批两个选项卡。分别显示所有待审批及已审批的历史记录。</w:t>
      </w:r>
    </w:p>
    <w:p w14:paraId="76CF0548">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学生发起走读转住宿申请，包含填写申请的理由，上次附件等内容。</w:t>
      </w:r>
    </w:p>
    <w:bookmarkEnd w:id="41"/>
    <w:p w14:paraId="709127E2">
      <w:pPr>
        <w:pStyle w:val="169"/>
        <w:widowControl/>
        <w:numPr>
          <w:ilvl w:val="0"/>
          <w:numId w:val="60"/>
        </w:numPr>
        <w:spacing w:line="360" w:lineRule="auto"/>
        <w:ind w:left="0" w:leftChars="0" w:firstLine="40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教师端</w:t>
      </w:r>
    </w:p>
    <w:p w14:paraId="0293DE80">
      <w:pPr>
        <w:pStyle w:val="169"/>
        <w:widowControl/>
        <w:numPr>
          <w:ilvl w:val="0"/>
          <w:numId w:val="62"/>
        </w:numPr>
        <w:spacing w:line="360" w:lineRule="auto"/>
        <w:ind w:left="425" w:leftChars="0" w:hanging="5" w:firstLineChars="0"/>
        <w:jc w:val="left"/>
        <w:outlineLvl w:val="5"/>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bookmarkStart w:id="42" w:name="_Toc3216"/>
      <w:r>
        <w:rPr>
          <w:rFonts w:hint="eastAsia" w:asciiTheme="minorEastAsia" w:hAnsiTheme="minorEastAsia" w:eastAsiaTheme="minorEastAsia" w:cstheme="minorEastAsia"/>
          <w:color w:val="auto"/>
          <w:sz w:val="21"/>
          <w:szCs w:val="21"/>
          <w:highlight w:val="none"/>
          <w:lang w:val="en-US" w:eastAsia="zh-CN"/>
        </w:rPr>
        <w:t>退宿审批</w:t>
      </w:r>
    </w:p>
    <w:p w14:paraId="4AF31721">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包含待审批及已审批两个选项卡。分别显示所有待审批及已审批的历史记录。</w:t>
      </w:r>
    </w:p>
    <w:p w14:paraId="7FDB454F">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班主任、宿管老师及财务负责人对学生退宿进行审批，并添加批复意见。</w:t>
      </w:r>
    </w:p>
    <w:p w14:paraId="5FCE3FC7">
      <w:pPr>
        <w:pStyle w:val="169"/>
        <w:widowControl/>
        <w:numPr>
          <w:ilvl w:val="0"/>
          <w:numId w:val="62"/>
        </w:numPr>
        <w:spacing w:line="360" w:lineRule="auto"/>
        <w:ind w:left="425" w:leftChars="0" w:hanging="5" w:firstLineChars="0"/>
        <w:jc w:val="left"/>
        <w:outlineLvl w:val="5"/>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走读转住宿审批</w:t>
      </w:r>
      <w:bookmarkEnd w:id="42"/>
    </w:p>
    <w:p w14:paraId="0AFE824B">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包含待审批及已审批两个选项卡。分别显示所有待审批及已审批的历史记录。</w:t>
      </w:r>
    </w:p>
    <w:p w14:paraId="2C8C7ACC">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班主任、宿管老师及财务负责人对学生走读转住宿进行审批，并添加批复意见。</w:t>
      </w:r>
    </w:p>
    <w:p w14:paraId="76CFE60F">
      <w:pPr>
        <w:pStyle w:val="169"/>
        <w:widowControl/>
        <w:numPr>
          <w:ilvl w:val="0"/>
          <w:numId w:val="56"/>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宿舍晚点名</w:t>
      </w:r>
    </w:p>
    <w:p w14:paraId="3A2964CB">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晚点名按楼栋、楼层、宿舍依次进行，宿管老师或指定负责人逐一核实学生到寝情况，对于未按时归寝的学生，标注为“旷宿”。</w:t>
      </w:r>
    </w:p>
    <w:p w14:paraId="5AC126A1">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学生如果在晚点名后当晚12点前归寝，可以主动联系宿管老师，经核实后修改学生的住宿状态为“晚宿”。</w:t>
      </w:r>
    </w:p>
    <w:p w14:paraId="5EEA1AFA">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系统与请假模块联动，对于已请假学生，宿管老师在晚点名时将自动识别其请假状态，并且</w:t>
      </w:r>
      <w:r>
        <w:rPr>
          <w:rFonts w:hint="eastAsia" w:asciiTheme="minorEastAsia" w:hAnsiTheme="minorEastAsia" w:eastAsiaTheme="minorEastAsia" w:cstheme="minorEastAsia"/>
          <w:b/>
          <w:bCs/>
          <w:color w:val="auto"/>
          <w:kern w:val="0"/>
          <w:sz w:val="21"/>
          <w:szCs w:val="21"/>
          <w:highlight w:val="none"/>
          <w:lang w:val="en-US" w:eastAsia="zh-CN"/>
        </w:rPr>
        <w:t>不允许</w:t>
      </w:r>
      <w:r>
        <w:rPr>
          <w:rFonts w:hint="eastAsia" w:asciiTheme="minorEastAsia" w:hAnsiTheme="minorEastAsia" w:eastAsiaTheme="minorEastAsia" w:cstheme="minorEastAsia"/>
          <w:color w:val="auto"/>
          <w:kern w:val="0"/>
          <w:sz w:val="21"/>
          <w:szCs w:val="21"/>
          <w:highlight w:val="none"/>
          <w:lang w:val="en-US" w:eastAsia="zh-CN"/>
        </w:rPr>
        <w:t>将其标记为“旷宿”。</w:t>
      </w:r>
    </w:p>
    <w:p w14:paraId="6A492269">
      <w:pPr>
        <w:widowControl/>
        <w:spacing w:line="360" w:lineRule="auto"/>
        <w:ind w:firstLine="420" w:firstLineChars="200"/>
        <w:jc w:val="both"/>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每天凌晨12点后，宿管系统将自动汇总所有所有旷宿的学生，将其视为违纪行为，并同步到学生违纪管理系统，同时自动生成相关通知推送给班主任，便于班主任及时跟进和处理。这样确保了学生的住宿纪律得到有效管理，同时班主任可以在第一时间进行干预和沟通。</w:t>
      </w:r>
      <w:r>
        <w:rPr>
          <w:rFonts w:hint="eastAsia" w:asciiTheme="minorEastAsia" w:hAnsiTheme="minorEastAsia" w:eastAsiaTheme="minorEastAsia" w:cstheme="minorEastAsia"/>
          <w:b w:val="0"/>
          <w:bCs w:val="0"/>
          <w:color w:val="auto"/>
          <w:kern w:val="0"/>
          <w:sz w:val="21"/>
          <w:szCs w:val="21"/>
          <w:highlight w:val="none"/>
          <w:lang w:val="en-US" w:eastAsia="zh-CN" w:bidi="ar-SA"/>
        </w:rPr>
        <w:t>主要功能包含：</w:t>
      </w:r>
    </w:p>
    <w:p w14:paraId="36E4DBF3">
      <w:pPr>
        <w:pStyle w:val="169"/>
        <w:widowControl/>
        <w:numPr>
          <w:ilvl w:val="0"/>
          <w:numId w:val="63"/>
        </w:numPr>
        <w:spacing w:line="360" w:lineRule="auto"/>
        <w:ind w:left="0" w:leftChars="0" w:firstLine="40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移动端：</w:t>
      </w:r>
    </w:p>
    <w:p w14:paraId="1D220A62">
      <w:pPr>
        <w:pStyle w:val="7"/>
        <w:keepNext/>
        <w:keepLines/>
        <w:pageBreakBefore w:val="0"/>
        <w:widowControl w:val="0"/>
        <w:numPr>
          <w:ilvl w:val="0"/>
          <w:numId w:val="64"/>
        </w:numPr>
        <w:kinsoku/>
        <w:wordWrap/>
        <w:overflowPunct/>
        <w:topLinePunct w:val="0"/>
        <w:autoSpaceDE/>
        <w:autoSpaceDN/>
        <w:bidi w:val="0"/>
        <w:adjustRightInd/>
        <w:snapToGrid/>
        <w:spacing w:before="0" w:after="0" w:line="360" w:lineRule="auto"/>
        <w:ind w:left="425" w:leftChars="0" w:hanging="5" w:firstLineChars="0"/>
        <w:textAlignment w:val="auto"/>
        <w:outlineLvl w:val="5"/>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晚点名：宿管老师登记旷宿的学生；</w:t>
      </w:r>
    </w:p>
    <w:p w14:paraId="63E8430C">
      <w:pPr>
        <w:pStyle w:val="7"/>
        <w:keepNext/>
        <w:keepLines/>
        <w:pageBreakBefore w:val="0"/>
        <w:widowControl w:val="0"/>
        <w:numPr>
          <w:ilvl w:val="0"/>
          <w:numId w:val="64"/>
        </w:numPr>
        <w:kinsoku/>
        <w:wordWrap/>
        <w:overflowPunct/>
        <w:topLinePunct w:val="0"/>
        <w:autoSpaceDE/>
        <w:autoSpaceDN/>
        <w:bidi w:val="0"/>
        <w:adjustRightInd/>
        <w:snapToGrid/>
        <w:spacing w:before="0" w:after="0" w:line="360" w:lineRule="auto"/>
        <w:ind w:left="425" w:leftChars="0" w:hanging="5" w:firstLineChars="0"/>
        <w:textAlignment w:val="auto"/>
        <w:outlineLvl w:val="5"/>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晚宿补登：对晚宿的学生进行登记；</w:t>
      </w:r>
    </w:p>
    <w:p w14:paraId="3F312818">
      <w:pPr>
        <w:pStyle w:val="169"/>
        <w:widowControl/>
        <w:numPr>
          <w:ilvl w:val="0"/>
          <w:numId w:val="63"/>
        </w:numPr>
        <w:spacing w:line="360" w:lineRule="auto"/>
        <w:ind w:left="0" w:leftChars="0" w:firstLine="40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PC端：</w:t>
      </w:r>
    </w:p>
    <w:p w14:paraId="67D55442">
      <w:pPr>
        <w:pStyle w:val="7"/>
        <w:keepNext/>
        <w:keepLines/>
        <w:pageBreakBefore w:val="0"/>
        <w:widowControl w:val="0"/>
        <w:numPr>
          <w:ilvl w:val="0"/>
          <w:numId w:val="65"/>
        </w:numPr>
        <w:kinsoku/>
        <w:wordWrap/>
        <w:overflowPunct/>
        <w:topLinePunct w:val="0"/>
        <w:autoSpaceDE/>
        <w:autoSpaceDN/>
        <w:bidi w:val="0"/>
        <w:adjustRightInd/>
        <w:snapToGrid/>
        <w:spacing w:before="0" w:after="0" w:line="360" w:lineRule="auto"/>
        <w:ind w:left="425" w:leftChars="0" w:hanging="5" w:firstLineChars="0"/>
        <w:textAlignment w:val="auto"/>
        <w:outlineLvl w:val="5"/>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晚宿补登：对晚宿的学生进行登记；</w:t>
      </w:r>
    </w:p>
    <w:p w14:paraId="72A44354">
      <w:pPr>
        <w:pStyle w:val="7"/>
        <w:keepNext/>
        <w:keepLines/>
        <w:pageBreakBefore w:val="0"/>
        <w:widowControl w:val="0"/>
        <w:numPr>
          <w:ilvl w:val="0"/>
          <w:numId w:val="65"/>
        </w:numPr>
        <w:kinsoku/>
        <w:wordWrap/>
        <w:overflowPunct/>
        <w:topLinePunct w:val="0"/>
        <w:autoSpaceDE/>
        <w:autoSpaceDN/>
        <w:bidi w:val="0"/>
        <w:adjustRightInd/>
        <w:snapToGrid/>
        <w:spacing w:before="0" w:after="0" w:line="360" w:lineRule="auto"/>
        <w:ind w:left="425" w:leftChars="0" w:hanging="5" w:firstLineChars="0"/>
        <w:textAlignment w:val="auto"/>
        <w:outlineLvl w:val="5"/>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旷宿查询：按日期显示所有旷宿的学生名单，支持导出；</w:t>
      </w:r>
    </w:p>
    <w:p w14:paraId="06803CD8">
      <w:pPr>
        <w:pStyle w:val="169"/>
        <w:widowControl/>
        <w:numPr>
          <w:ilvl w:val="0"/>
          <w:numId w:val="63"/>
        </w:numPr>
        <w:spacing w:line="360" w:lineRule="auto"/>
        <w:ind w:left="0" w:leftChars="0" w:firstLine="400" w:firstLineChars="0"/>
        <w:jc w:val="left"/>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同步服务程序</w:t>
      </w:r>
    </w:p>
    <w:p w14:paraId="328AD9E1">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20" w:firstLineChars="200"/>
        <w:textAlignment w:val="auto"/>
        <w:outlineLvl w:val="9"/>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通过后台服务程序自动对旷宿的学生进行违纪行为登记。</w:t>
      </w:r>
    </w:p>
    <w:p w14:paraId="2B67928A">
      <w:pPr>
        <w:pStyle w:val="169"/>
        <w:widowControl/>
        <w:numPr>
          <w:ilvl w:val="0"/>
          <w:numId w:val="45"/>
        </w:numPr>
        <w:spacing w:line="360" w:lineRule="auto"/>
        <w:ind w:left="425" w:leftChars="0" w:hanging="42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bookmarkStart w:id="43" w:name="_Toc7038"/>
      <w:r>
        <w:rPr>
          <w:rFonts w:hint="eastAsia" w:asciiTheme="minorEastAsia" w:hAnsiTheme="minorEastAsia" w:eastAsiaTheme="minorEastAsia" w:cstheme="minorEastAsia"/>
          <w:b/>
          <w:bCs/>
          <w:color w:val="auto"/>
          <w:kern w:val="0"/>
          <w:sz w:val="21"/>
          <w:szCs w:val="21"/>
          <w:highlight w:val="none"/>
          <w:lang w:val="en-US" w:eastAsia="zh-CN"/>
        </w:rPr>
        <w:t>操行管理模块升级</w:t>
      </w:r>
      <w:bookmarkEnd w:id="43"/>
    </w:p>
    <w:p w14:paraId="0EBBD29A">
      <w:pPr>
        <w:pStyle w:val="169"/>
        <w:widowControl/>
        <w:numPr>
          <w:ilvl w:val="0"/>
          <w:numId w:val="66"/>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批量导入</w:t>
      </w:r>
    </w:p>
    <w:p w14:paraId="2533A410">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支持批量导入职教网格式操行分表。</w:t>
      </w:r>
    </w:p>
    <w:p w14:paraId="2268409E">
      <w:pPr>
        <w:widowControl/>
        <w:numPr>
          <w:ilvl w:val="0"/>
          <w:numId w:val="66"/>
        </w:numPr>
        <w:spacing w:line="360" w:lineRule="auto"/>
        <w:ind w:left="425" w:leftChars="0" w:hanging="425" w:firstLineChars="0"/>
        <w:jc w:val="both"/>
        <w:outlineLvl w:val="3"/>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查询统计</w:t>
      </w:r>
    </w:p>
    <w:p w14:paraId="7E5068B8">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新增查询统计页面。</w:t>
      </w:r>
    </w:p>
    <w:p w14:paraId="535B88D8">
      <w:pPr>
        <w:pStyle w:val="169"/>
        <w:widowControl/>
        <w:numPr>
          <w:ilvl w:val="0"/>
          <w:numId w:val="45"/>
        </w:numPr>
        <w:spacing w:line="360" w:lineRule="auto"/>
        <w:ind w:left="425" w:leftChars="0" w:hanging="42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bookmarkStart w:id="44" w:name="_Toc1865"/>
      <w:r>
        <w:rPr>
          <w:rFonts w:hint="eastAsia" w:asciiTheme="minorEastAsia" w:hAnsiTheme="minorEastAsia" w:eastAsiaTheme="minorEastAsia" w:cstheme="minorEastAsia"/>
          <w:b/>
          <w:bCs/>
          <w:color w:val="auto"/>
          <w:kern w:val="0"/>
          <w:sz w:val="21"/>
          <w:szCs w:val="21"/>
          <w:highlight w:val="none"/>
          <w:lang w:val="en-US" w:eastAsia="zh-CN"/>
        </w:rPr>
        <w:t>学生在线证明</w:t>
      </w:r>
      <w:bookmarkEnd w:id="44"/>
    </w:p>
    <w:p w14:paraId="045F2A02">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学生在线证明功能是为了简化学生的证明申请流程，提升了管理效率，同时减少了纸质证明的使用，方便学生随时随地获取所需的证明材料。系统支持在校证明、雨露计划、家庭成员学校信息登记证明及广东省技工院学生学籍证明四类证明的在线开具。具体功能包含：</w:t>
      </w:r>
    </w:p>
    <w:p w14:paraId="13010BB8">
      <w:pPr>
        <w:pStyle w:val="169"/>
        <w:widowControl/>
        <w:numPr>
          <w:ilvl w:val="0"/>
          <w:numId w:val="67"/>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教师移动端</w:t>
      </w:r>
    </w:p>
    <w:p w14:paraId="5621E733">
      <w:pPr>
        <w:pStyle w:val="6"/>
        <w:keepNext/>
        <w:keepLines/>
        <w:pageBreakBefore w:val="0"/>
        <w:widowControl w:val="0"/>
        <w:numPr>
          <w:ilvl w:val="0"/>
          <w:numId w:val="68"/>
        </w:numPr>
        <w:kinsoku/>
        <w:wordWrap/>
        <w:overflowPunct/>
        <w:topLinePunct w:val="0"/>
        <w:autoSpaceDE/>
        <w:autoSpaceDN/>
        <w:bidi w:val="0"/>
        <w:adjustRightInd/>
        <w:snapToGrid/>
        <w:spacing w:before="0" w:after="0" w:line="360" w:lineRule="auto"/>
        <w:ind w:left="425" w:leftChars="0" w:hanging="425" w:firstLineChars="0"/>
        <w:textAlignment w:val="auto"/>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班主任发起</w:t>
      </w:r>
    </w:p>
    <w:p w14:paraId="14EF66E1">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班主任发起申请，选择要开具证明的学生（本班），证明的类型，上传沟通记录证明，根据证明的类型不同，补充相应的资料。</w:t>
      </w:r>
    </w:p>
    <w:p w14:paraId="0BD3CA79">
      <w:pPr>
        <w:pStyle w:val="6"/>
        <w:keepNext/>
        <w:keepLines/>
        <w:pageBreakBefore w:val="0"/>
        <w:widowControl w:val="0"/>
        <w:numPr>
          <w:ilvl w:val="0"/>
          <w:numId w:val="68"/>
        </w:numPr>
        <w:kinsoku/>
        <w:wordWrap/>
        <w:overflowPunct/>
        <w:topLinePunct w:val="0"/>
        <w:autoSpaceDE/>
        <w:autoSpaceDN/>
        <w:bidi w:val="0"/>
        <w:adjustRightInd/>
        <w:snapToGrid/>
        <w:spacing w:before="0" w:after="0" w:line="360" w:lineRule="auto"/>
        <w:ind w:left="425" w:leftChars="0" w:hanging="425" w:firstLineChars="0"/>
        <w:textAlignment w:val="auto"/>
        <w:outlineLvl w:val="4"/>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在线审核</w:t>
      </w:r>
    </w:p>
    <w:p w14:paraId="731F7DB2">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班主任发起申请后，经系学管审核，学生处审批通过，自动生成加盖电子章的证明文件（PDF格式）。</w:t>
      </w:r>
    </w:p>
    <w:p w14:paraId="22DA54CB">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审批的每个环节通过“微信模板消息”通知相关用户，点击消息可进入审批或查看页面。</w:t>
      </w:r>
    </w:p>
    <w:p w14:paraId="7595532E">
      <w:pPr>
        <w:pStyle w:val="169"/>
        <w:widowControl/>
        <w:numPr>
          <w:ilvl w:val="0"/>
          <w:numId w:val="67"/>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学生移动端</w:t>
      </w:r>
    </w:p>
    <w:p w14:paraId="136F9063">
      <w:pPr>
        <w:widowControl/>
        <w:spacing w:line="360" w:lineRule="auto"/>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学生点击“在线证明”查看所有开具的证明文件，可下载或者发送邮件到指定的邮箱。</w:t>
      </w:r>
    </w:p>
    <w:p w14:paraId="2415535E">
      <w:pPr>
        <w:pStyle w:val="169"/>
        <w:widowControl/>
        <w:numPr>
          <w:ilvl w:val="0"/>
          <w:numId w:val="67"/>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在线证明查询</w:t>
      </w:r>
    </w:p>
    <w:p w14:paraId="463C3D5E">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根据根据用户角色不同，班主任、系部学管、学生处负责人分别可以查询本班、本院系及全校的“在线证明”申请记录。</w:t>
      </w:r>
    </w:p>
    <w:p w14:paraId="1AC10C2E">
      <w:pPr>
        <w:pStyle w:val="169"/>
        <w:widowControl/>
        <w:numPr>
          <w:ilvl w:val="0"/>
          <w:numId w:val="45"/>
        </w:numPr>
        <w:spacing w:line="360" w:lineRule="auto"/>
        <w:ind w:left="425" w:leftChars="0" w:hanging="42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bookmarkStart w:id="45" w:name="_Toc14963"/>
      <w:r>
        <w:rPr>
          <w:rFonts w:hint="eastAsia" w:asciiTheme="minorEastAsia" w:hAnsiTheme="minorEastAsia" w:eastAsiaTheme="minorEastAsia" w:cstheme="minorEastAsia"/>
          <w:b/>
          <w:bCs/>
          <w:color w:val="auto"/>
          <w:kern w:val="0"/>
          <w:sz w:val="21"/>
          <w:szCs w:val="21"/>
          <w:highlight w:val="none"/>
          <w:lang w:val="en-US" w:eastAsia="zh-CN"/>
        </w:rPr>
        <w:t>其他</w:t>
      </w:r>
      <w:bookmarkStart w:id="46" w:name="_Toc29691"/>
      <w:r>
        <w:rPr>
          <w:rFonts w:hint="eastAsia" w:asciiTheme="minorEastAsia" w:hAnsiTheme="minorEastAsia" w:eastAsiaTheme="minorEastAsia" w:cstheme="minorEastAsia"/>
          <w:b/>
          <w:bCs/>
          <w:color w:val="auto"/>
          <w:kern w:val="0"/>
          <w:sz w:val="21"/>
          <w:szCs w:val="21"/>
          <w:highlight w:val="none"/>
          <w:lang w:val="en-US" w:eastAsia="zh-CN"/>
        </w:rPr>
        <w:t>学生资料</w:t>
      </w:r>
      <w:bookmarkEnd w:id="45"/>
    </w:p>
    <w:p w14:paraId="2EF29F30">
      <w:pPr>
        <w:pStyle w:val="169"/>
        <w:widowControl/>
        <w:numPr>
          <w:ilvl w:val="0"/>
          <w:numId w:val="69"/>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新增医保状态</w:t>
      </w:r>
      <w:bookmarkEnd w:id="46"/>
    </w:p>
    <w:p w14:paraId="588A86A0">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在学生资料添加医保状态及意外险状态两个字段，并添加导入功能，允许管理员批量导入学生的参保情况。</w:t>
      </w:r>
    </w:p>
    <w:p w14:paraId="6DB942DD">
      <w:pPr>
        <w:pStyle w:val="169"/>
        <w:widowControl/>
        <w:numPr>
          <w:ilvl w:val="0"/>
          <w:numId w:val="69"/>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家庭联系人</w:t>
      </w:r>
    </w:p>
    <w:p w14:paraId="62D5ECCC">
      <w:pPr>
        <w:widowControl/>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关闭原双亲及其联系人的方式，改为新的家庭联系人。</w:t>
      </w:r>
    </w:p>
    <w:p w14:paraId="7A5B7422">
      <w:pPr>
        <w:pStyle w:val="169"/>
        <w:widowControl/>
        <w:numPr>
          <w:ilvl w:val="0"/>
          <w:numId w:val="69"/>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其他信息</w:t>
      </w:r>
    </w:p>
    <w:p w14:paraId="5C8E5C57">
      <w:pPr>
        <w:widowControl/>
        <w:spacing w:line="360" w:lineRule="auto"/>
        <w:jc w:val="both"/>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 xml:space="preserve">   证件号强制字母大写、父母不能留空等。</w:t>
      </w:r>
    </w:p>
    <w:p w14:paraId="42E6FC92">
      <w:pPr>
        <w:widowControl/>
        <w:numPr>
          <w:ilvl w:val="0"/>
          <w:numId w:val="44"/>
        </w:numPr>
        <w:spacing w:line="360" w:lineRule="auto"/>
        <w:ind w:left="0" w:leftChars="0" w:firstLine="420" w:firstLineChars="0"/>
        <w:jc w:val="left"/>
        <w:outlineLvl w:val="1"/>
        <w:rPr>
          <w:rFonts w:hint="eastAsia" w:asciiTheme="minorEastAsia" w:hAnsiTheme="minorEastAsia" w:eastAsiaTheme="minorEastAsia" w:cstheme="minorEastAsia"/>
          <w:b/>
          <w:bCs/>
          <w:color w:val="auto"/>
          <w:kern w:val="0"/>
          <w:sz w:val="21"/>
          <w:szCs w:val="21"/>
          <w:highlight w:val="none"/>
        </w:rPr>
      </w:pPr>
      <w:bookmarkStart w:id="47" w:name="_Toc27973"/>
      <w:r>
        <w:rPr>
          <w:rFonts w:hint="eastAsia" w:asciiTheme="minorEastAsia" w:hAnsiTheme="minorEastAsia" w:eastAsiaTheme="minorEastAsia" w:cstheme="minorEastAsia"/>
          <w:b/>
          <w:bCs/>
          <w:color w:val="auto"/>
          <w:kern w:val="0"/>
          <w:sz w:val="21"/>
          <w:szCs w:val="21"/>
          <w:highlight w:val="none"/>
          <w:lang w:val="en-US" w:eastAsia="zh-CN"/>
        </w:rPr>
        <w:t>教务系统升级</w:t>
      </w:r>
      <w:bookmarkEnd w:id="47"/>
    </w:p>
    <w:p w14:paraId="2EC1C8AF">
      <w:pPr>
        <w:pStyle w:val="169"/>
        <w:widowControl/>
        <w:numPr>
          <w:ilvl w:val="0"/>
          <w:numId w:val="70"/>
        </w:numPr>
        <w:spacing w:line="360" w:lineRule="auto"/>
        <w:ind w:left="425" w:leftChars="0" w:hanging="42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bookmarkStart w:id="48" w:name="_Toc8211"/>
      <w:r>
        <w:rPr>
          <w:rFonts w:hint="eastAsia" w:asciiTheme="minorEastAsia" w:hAnsiTheme="minorEastAsia" w:eastAsiaTheme="minorEastAsia" w:cstheme="minorEastAsia"/>
          <w:b/>
          <w:bCs/>
          <w:color w:val="auto"/>
          <w:kern w:val="0"/>
          <w:sz w:val="21"/>
          <w:szCs w:val="21"/>
          <w:highlight w:val="none"/>
          <w:lang w:val="en-US" w:eastAsia="zh-CN"/>
        </w:rPr>
        <w:t>教学管理</w:t>
      </w:r>
      <w:bookmarkEnd w:id="48"/>
    </w:p>
    <w:p w14:paraId="5631EA99">
      <w:pPr>
        <w:pStyle w:val="169"/>
        <w:widowControl/>
        <w:numPr>
          <w:ilvl w:val="0"/>
          <w:numId w:val="71"/>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实施性教学计划</w:t>
      </w:r>
    </w:p>
    <w:p w14:paraId="37B4F0FF">
      <w:pPr>
        <w:widowControl/>
        <w:numPr>
          <w:ilvl w:val="0"/>
          <w:numId w:val="72"/>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学历提升带来变化修改。计划数据库不再与学历提升关联。具体:2024级起计划表单学历提升栏隐藏（2020级级之前数据保留，2021-2023级关联数据需要统一删除。</w:t>
      </w:r>
    </w:p>
    <w:p w14:paraId="111FE1B9">
      <w:pPr>
        <w:widowControl/>
        <w:numPr>
          <w:ilvl w:val="0"/>
          <w:numId w:val="72"/>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人社部公共基础课改革文件带来变化。计划表单增加多元化学时部分的对应字段，同时更新学时统计模块。</w:t>
      </w:r>
    </w:p>
    <w:p w14:paraId="0BEED11B">
      <w:pPr>
        <w:widowControl/>
        <w:numPr>
          <w:ilvl w:val="0"/>
          <w:numId w:val="72"/>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增加库专业代码管理字段，规范教学计划专业代码，方便编辑时调用。</w:t>
      </w:r>
    </w:p>
    <w:p w14:paraId="6818EFD3">
      <w:pPr>
        <w:widowControl/>
        <w:numPr>
          <w:ilvl w:val="0"/>
          <w:numId w:val="72"/>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增加教学计划修改申请功能：对审核通过的教学计划，如需要修改部分数据，需发起申请、经过审批通过后才可修改。</w:t>
      </w:r>
    </w:p>
    <w:p w14:paraId="430F4304">
      <w:pPr>
        <w:widowControl/>
        <w:numPr>
          <w:ilvl w:val="0"/>
          <w:numId w:val="72"/>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教学计划新增课程执行起始、结束周字段，同步优化系统学时学分计算公式，并更新导出教学计划表。</w:t>
      </w:r>
    </w:p>
    <w:p w14:paraId="13D5BE55">
      <w:pPr>
        <w:pStyle w:val="169"/>
        <w:widowControl/>
        <w:numPr>
          <w:ilvl w:val="0"/>
          <w:numId w:val="71"/>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教学任务管理升级</w:t>
      </w:r>
    </w:p>
    <w:p w14:paraId="06E63415">
      <w:pPr>
        <w:widowControl/>
        <w:numPr>
          <w:ilvl w:val="0"/>
          <w:numId w:val="73"/>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新增教学部、系学期按教学工作用量两个统计功能，便于系部做任务安排统筹参考。</w:t>
      </w:r>
    </w:p>
    <w:p w14:paraId="35A1FB15">
      <w:pPr>
        <w:widowControl/>
        <w:numPr>
          <w:ilvl w:val="0"/>
          <w:numId w:val="73"/>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任务书编制模块升级：时同一课程多学期分段执行高亮关联，增加同一课程多学期分段执行的，自动高亮；自动统计课程开过的次数；对2022年后的，不再显示电大相关的任务。</w:t>
      </w:r>
    </w:p>
    <w:p w14:paraId="38A4FB53">
      <w:pPr>
        <w:widowControl/>
        <w:numPr>
          <w:ilvl w:val="0"/>
          <w:numId w:val="73"/>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新增教学任务的非成建制班：在教学班级管理模块，需要增加非成建制班的组班（可以勾选班级部分同学）；在新增教学任务时，可以选择该非成建制班级，创建新的教学任务。</w:t>
      </w:r>
    </w:p>
    <w:p w14:paraId="26CB9F74">
      <w:pPr>
        <w:pStyle w:val="169"/>
        <w:widowControl/>
        <w:numPr>
          <w:ilvl w:val="0"/>
          <w:numId w:val="71"/>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课程表翻页功能优化</w:t>
      </w:r>
    </w:p>
    <w:p w14:paraId="35EC0DD8">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现课表查询办理、教师、场地等，查看上下记录时，要根据查询结果关联翻页，如查看的课表时 某某（1）班，翻下一个记录应该显示某某（2）班。</w:t>
      </w:r>
    </w:p>
    <w:p w14:paraId="6CF41267">
      <w:pPr>
        <w:pStyle w:val="169"/>
        <w:widowControl/>
        <w:numPr>
          <w:ilvl w:val="0"/>
          <w:numId w:val="71"/>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选修课功能优化及升级</w:t>
      </w:r>
    </w:p>
    <w:p w14:paraId="0ADE3E2B">
      <w:pPr>
        <w:widowControl/>
        <w:numPr>
          <w:ilvl w:val="0"/>
          <w:numId w:val="74"/>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新增选修课开课起始、结束周字段，选修课课表根据起始周精准生成。</w:t>
      </w:r>
    </w:p>
    <w:p w14:paraId="6C260645">
      <w:pPr>
        <w:widowControl/>
        <w:numPr>
          <w:ilvl w:val="0"/>
          <w:numId w:val="74"/>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新增选修课停课，能够对单门课程（某个班名）进行精准停课管理。</w:t>
      </w:r>
    </w:p>
    <w:p w14:paraId="09437216">
      <w:pPr>
        <w:widowControl/>
        <w:numPr>
          <w:ilvl w:val="0"/>
          <w:numId w:val="74"/>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新增限制：学生的名单开课后不得添加删除。</w:t>
      </w:r>
    </w:p>
    <w:p w14:paraId="77A92B06">
      <w:pPr>
        <w:widowControl/>
        <w:numPr>
          <w:ilvl w:val="0"/>
          <w:numId w:val="74"/>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新增选修课授课计划：与正常课一样，包含计划的添加、修改、删除及审核，分权限查询等功能。</w:t>
      </w:r>
    </w:p>
    <w:p w14:paraId="7A0438B5">
      <w:pPr>
        <w:pStyle w:val="169"/>
        <w:widowControl/>
        <w:numPr>
          <w:ilvl w:val="0"/>
          <w:numId w:val="71"/>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成绩管理。</w:t>
      </w:r>
    </w:p>
    <w:p w14:paraId="6E39F777">
      <w:pPr>
        <w:widowControl/>
        <w:numPr>
          <w:ilvl w:val="0"/>
          <w:numId w:val="75"/>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新增综合活动课程成绩管理。支持添加新课程到现有成绩课程列表中，并与其他成绩同步管理。</w:t>
      </w:r>
    </w:p>
    <w:p w14:paraId="58BC90AE">
      <w:pPr>
        <w:widowControl/>
        <w:numPr>
          <w:ilvl w:val="0"/>
          <w:numId w:val="75"/>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新增学生毕业档案成绩线上打印功能（Windows打印程序）。在系统中学生毕业成绩按照学籍档案规范（A4，正反打印，添加成绩证明水印），生成单人成绩单张，通过“批量打印”功能直接线上打印学生成绩证明。</w:t>
      </w:r>
    </w:p>
    <w:p w14:paraId="0014C35E">
      <w:pPr>
        <w:widowControl/>
        <w:numPr>
          <w:ilvl w:val="0"/>
          <w:numId w:val="75"/>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学生个人成绩查看页面增设“开设学期”栏目。</w:t>
      </w:r>
    </w:p>
    <w:p w14:paraId="2DD7760C">
      <w:pPr>
        <w:widowControl/>
        <w:numPr>
          <w:ilvl w:val="0"/>
          <w:numId w:val="75"/>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新增课程免修申请：班主任发起课程免修，审核流程通过后，课程成绩自动变更“免修”状态。</w:t>
      </w:r>
    </w:p>
    <w:p w14:paraId="0B7FCFA1">
      <w:pPr>
        <w:widowControl/>
        <w:numPr>
          <w:ilvl w:val="0"/>
          <w:numId w:val="75"/>
        </w:numPr>
        <w:spacing w:line="360" w:lineRule="auto"/>
        <w:ind w:left="0" w:leftChars="0" w:firstLine="400" w:firstLineChars="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增加补考老师单条录入功能，现在只支持下载模板批量录入。</w:t>
      </w:r>
    </w:p>
    <w:p w14:paraId="7061A9C6">
      <w:pPr>
        <w:pStyle w:val="169"/>
        <w:widowControl/>
        <w:numPr>
          <w:ilvl w:val="0"/>
          <w:numId w:val="71"/>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系统学校标识优化更新。</w:t>
      </w:r>
    </w:p>
    <w:p w14:paraId="73CEAFCB">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系统界面、各类报表及模板文件的中的“广州市机电高级技工学校”标识不再显示，统一显示为广州市机电技师学院。</w:t>
      </w:r>
    </w:p>
    <w:p w14:paraId="3F1C3A57">
      <w:pPr>
        <w:pStyle w:val="169"/>
        <w:widowControl/>
        <w:numPr>
          <w:ilvl w:val="0"/>
          <w:numId w:val="70"/>
        </w:numPr>
        <w:spacing w:line="360" w:lineRule="auto"/>
        <w:ind w:left="425" w:leftChars="0" w:hanging="42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bookmarkStart w:id="49" w:name="_Toc21834"/>
      <w:r>
        <w:rPr>
          <w:rFonts w:hint="eastAsia" w:asciiTheme="minorEastAsia" w:hAnsiTheme="minorEastAsia" w:eastAsiaTheme="minorEastAsia" w:cstheme="minorEastAsia"/>
          <w:b/>
          <w:bCs/>
          <w:color w:val="auto"/>
          <w:kern w:val="0"/>
          <w:sz w:val="21"/>
          <w:szCs w:val="21"/>
          <w:highlight w:val="none"/>
          <w:lang w:val="en-US" w:eastAsia="zh-CN"/>
        </w:rPr>
        <w:t>机房预约优化</w:t>
      </w:r>
      <w:bookmarkEnd w:id="49"/>
    </w:p>
    <w:p w14:paraId="2AB9824C">
      <w:pPr>
        <w:pStyle w:val="169"/>
        <w:widowControl/>
        <w:numPr>
          <w:ilvl w:val="0"/>
          <w:numId w:val="76"/>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名称修改</w:t>
      </w:r>
    </w:p>
    <w:p w14:paraId="6E4E56CA">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名称修改为“机房教学软件需求申报”、“机房教学软件需求查询”和“机房教学软件需求审核”。</w:t>
      </w:r>
    </w:p>
    <w:p w14:paraId="15288B79">
      <w:pPr>
        <w:pStyle w:val="169"/>
        <w:widowControl/>
        <w:numPr>
          <w:ilvl w:val="0"/>
          <w:numId w:val="76"/>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 xml:space="preserve">审核流程优化     </w:t>
      </w:r>
    </w:p>
    <w:p w14:paraId="711A85AD">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审核流程修改为：教学部--教学系--教务处--信息中心。</w:t>
      </w:r>
    </w:p>
    <w:p w14:paraId="04EF8195">
      <w:pPr>
        <w:pStyle w:val="169"/>
        <w:widowControl/>
        <w:numPr>
          <w:ilvl w:val="0"/>
          <w:numId w:val="70"/>
        </w:numPr>
        <w:spacing w:line="360" w:lineRule="auto"/>
        <w:ind w:left="425" w:leftChars="0" w:hanging="42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bookmarkStart w:id="50" w:name="_Toc32370"/>
      <w:r>
        <w:rPr>
          <w:rFonts w:hint="eastAsia" w:asciiTheme="minorEastAsia" w:hAnsiTheme="minorEastAsia" w:eastAsiaTheme="minorEastAsia" w:cstheme="minorEastAsia"/>
          <w:b/>
          <w:bCs/>
          <w:color w:val="auto"/>
          <w:kern w:val="0"/>
          <w:sz w:val="21"/>
          <w:szCs w:val="21"/>
          <w:highlight w:val="none"/>
          <w:lang w:val="en-US" w:eastAsia="zh-CN"/>
        </w:rPr>
        <w:t>选项卡优化</w:t>
      </w:r>
      <w:bookmarkEnd w:id="50"/>
    </w:p>
    <w:p w14:paraId="26B2B8F7">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调课、文件上传等涉及到选项卡的，统一进行优化，与实际保持一致。</w:t>
      </w:r>
    </w:p>
    <w:p w14:paraId="4A82CE0D">
      <w:pPr>
        <w:pStyle w:val="169"/>
        <w:widowControl/>
        <w:numPr>
          <w:ilvl w:val="0"/>
          <w:numId w:val="70"/>
        </w:numPr>
        <w:spacing w:line="360" w:lineRule="auto"/>
        <w:ind w:left="425" w:leftChars="0" w:hanging="42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bookmarkStart w:id="51" w:name="_Toc21377"/>
      <w:r>
        <w:rPr>
          <w:rFonts w:hint="eastAsia" w:asciiTheme="minorEastAsia" w:hAnsiTheme="minorEastAsia" w:eastAsiaTheme="minorEastAsia" w:cstheme="minorEastAsia"/>
          <w:b/>
          <w:bCs/>
          <w:color w:val="auto"/>
          <w:kern w:val="0"/>
          <w:sz w:val="21"/>
          <w:szCs w:val="21"/>
          <w:highlight w:val="none"/>
          <w:lang w:val="en-US" w:eastAsia="zh-CN"/>
        </w:rPr>
        <w:t>新增实践教学管理</w:t>
      </w:r>
      <w:bookmarkEnd w:id="51"/>
    </w:p>
    <w:p w14:paraId="378E26B3">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实现对课表内的课程（含选修课）外出实践教学的申请，主要功能包含申请发起（自定义上课地点），审核（班主任-&gt;院系-&gt;教务处-&gt;分管领导）,课表自动同步，查询及统计等功能。</w:t>
      </w:r>
    </w:p>
    <w:p w14:paraId="53EDDBE3">
      <w:pPr>
        <w:pStyle w:val="169"/>
        <w:widowControl/>
        <w:numPr>
          <w:ilvl w:val="0"/>
          <w:numId w:val="70"/>
        </w:numPr>
        <w:spacing w:line="360" w:lineRule="auto"/>
        <w:ind w:left="425" w:leftChars="0" w:hanging="425" w:firstLineChars="0"/>
        <w:jc w:val="left"/>
        <w:outlineLvl w:val="2"/>
        <w:rPr>
          <w:rFonts w:hint="eastAsia" w:asciiTheme="minorEastAsia" w:hAnsiTheme="minorEastAsia" w:eastAsiaTheme="minorEastAsia" w:cstheme="minorEastAsia"/>
          <w:b/>
          <w:bCs/>
          <w:color w:val="auto"/>
          <w:kern w:val="0"/>
          <w:sz w:val="21"/>
          <w:szCs w:val="21"/>
          <w:highlight w:val="none"/>
          <w:lang w:val="en-US" w:eastAsia="zh-CN"/>
        </w:rPr>
      </w:pPr>
      <w:bookmarkStart w:id="52" w:name="_Toc8688"/>
      <w:r>
        <w:rPr>
          <w:rFonts w:hint="eastAsia" w:asciiTheme="minorEastAsia" w:hAnsiTheme="minorEastAsia" w:eastAsiaTheme="minorEastAsia" w:cstheme="minorEastAsia"/>
          <w:b/>
          <w:bCs/>
          <w:color w:val="auto"/>
          <w:kern w:val="0"/>
          <w:sz w:val="21"/>
          <w:szCs w:val="21"/>
          <w:highlight w:val="none"/>
          <w:lang w:val="en-US" w:eastAsia="zh-CN"/>
        </w:rPr>
        <w:t>教学日志优化</w:t>
      </w:r>
      <w:bookmarkEnd w:id="52"/>
    </w:p>
    <w:p w14:paraId="48DC1C03">
      <w:pPr>
        <w:pStyle w:val="169"/>
        <w:widowControl/>
        <w:numPr>
          <w:ilvl w:val="0"/>
          <w:numId w:val="77"/>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考勤登记优化</w:t>
      </w:r>
    </w:p>
    <w:p w14:paraId="35B95420">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教学日志中的考勤登记，添加克隆功能，解决反复登记的问题。</w:t>
      </w:r>
    </w:p>
    <w:p w14:paraId="36BD67B1">
      <w:pPr>
        <w:pStyle w:val="169"/>
        <w:widowControl/>
        <w:numPr>
          <w:ilvl w:val="0"/>
          <w:numId w:val="77"/>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违纪标准</w:t>
      </w:r>
    </w:p>
    <w:p w14:paraId="46137097">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教学日志中登记考勤中的其他违纪允许任课老师添加备注描述具体情况（如扰乱课堂，破坏公物，顶撞老师，违规操作设备等）</w:t>
      </w:r>
    </w:p>
    <w:p w14:paraId="10AB18E8">
      <w:pPr>
        <w:pStyle w:val="169"/>
        <w:widowControl/>
        <w:numPr>
          <w:ilvl w:val="0"/>
          <w:numId w:val="77"/>
        </w:numPr>
        <w:spacing w:line="360" w:lineRule="auto"/>
        <w:ind w:left="425" w:leftChars="0" w:hanging="425" w:firstLineChars="0"/>
        <w:jc w:val="left"/>
        <w:outlineLvl w:val="3"/>
        <w:rPr>
          <w:rFonts w:hint="eastAsia" w:asciiTheme="minorEastAsia" w:hAnsiTheme="minorEastAsia" w:eastAsiaTheme="minorEastAsia" w:cstheme="minorEastAsia"/>
          <w:b/>
          <w:bCs/>
          <w:color w:val="auto"/>
          <w:kern w:val="0"/>
          <w:sz w:val="21"/>
          <w:szCs w:val="21"/>
          <w:highlight w:val="none"/>
          <w:lang w:val="en-US" w:eastAsia="zh-CN"/>
        </w:rPr>
      </w:pPr>
      <w:r>
        <w:rPr>
          <w:rFonts w:hint="eastAsia" w:asciiTheme="minorEastAsia" w:hAnsiTheme="minorEastAsia" w:eastAsiaTheme="minorEastAsia" w:cstheme="minorEastAsia"/>
          <w:b/>
          <w:bCs/>
          <w:color w:val="auto"/>
          <w:kern w:val="0"/>
          <w:sz w:val="21"/>
          <w:szCs w:val="21"/>
          <w:highlight w:val="none"/>
          <w:lang w:val="en-US" w:eastAsia="zh-CN"/>
        </w:rPr>
        <w:t>未填写日志提醒功能优化</w:t>
      </w:r>
    </w:p>
    <w:p w14:paraId="5162A46E">
      <w:pPr>
        <w:widowControl/>
        <w:spacing w:line="360" w:lineRule="auto"/>
        <w:ind w:firstLine="405" w:firstLineChars="193"/>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从第4天有信息提示，改为第3、第4天都有提示。</w:t>
      </w:r>
    </w:p>
    <w:p w14:paraId="6D43319F">
      <w:pPr>
        <w:spacing w:before="156" w:after="156"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四</w:t>
      </w:r>
      <w:r>
        <w:rPr>
          <w:rFonts w:hint="eastAsia" w:asciiTheme="minorEastAsia" w:hAnsiTheme="minorEastAsia" w:eastAsiaTheme="minorEastAsia" w:cstheme="minorEastAsia"/>
          <w:b/>
          <w:color w:val="auto"/>
          <w:sz w:val="21"/>
          <w:szCs w:val="21"/>
          <w:highlight w:val="none"/>
        </w:rPr>
        <w:t>、建设要求</w:t>
      </w:r>
    </w:p>
    <w:p w14:paraId="685EA29C">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（一）建设周期要求</w:t>
      </w:r>
    </w:p>
    <w:p w14:paraId="3F3DACF1">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参选人</w:t>
      </w:r>
      <w:r>
        <w:rPr>
          <w:rFonts w:hint="eastAsia" w:asciiTheme="minorEastAsia" w:hAnsiTheme="minorEastAsia" w:eastAsiaTheme="minorEastAsia" w:cstheme="minorEastAsia"/>
          <w:color w:val="auto"/>
          <w:sz w:val="21"/>
          <w:szCs w:val="21"/>
          <w:highlight w:val="none"/>
        </w:rPr>
        <w:t>必须提出保障措施，</w:t>
      </w:r>
      <w:r>
        <w:rPr>
          <w:rFonts w:hint="eastAsia" w:asciiTheme="minorEastAsia" w:hAnsiTheme="minorEastAsia" w:eastAsiaTheme="minorEastAsia" w:cstheme="minorEastAsia"/>
          <w:b/>
          <w:bCs/>
          <w:color w:val="auto"/>
          <w:sz w:val="21"/>
          <w:szCs w:val="21"/>
          <w:highlight w:val="none"/>
        </w:rPr>
        <w:t>须提供承诺函</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格式自拟</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保证在合同签订后</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个月内完成项目的实施交付。</w:t>
      </w:r>
    </w:p>
    <w:p w14:paraId="275E98DF">
      <w:pPr>
        <w:spacing w:before="156" w:after="156"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（二）技术要求</w:t>
      </w:r>
    </w:p>
    <w:p w14:paraId="7EBC94A5">
      <w:pPr>
        <w:spacing w:before="156" w:after="156"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、现有</w:t>
      </w:r>
      <w:r>
        <w:rPr>
          <w:rFonts w:hint="eastAsia" w:asciiTheme="minorEastAsia" w:hAnsiTheme="minorEastAsia" w:eastAsiaTheme="minorEastAsia" w:cstheme="minorEastAsia"/>
          <w:color w:val="auto"/>
          <w:sz w:val="21"/>
          <w:szCs w:val="21"/>
          <w:highlight w:val="none"/>
          <w:lang w:eastAsia="zh-CN"/>
        </w:rPr>
        <w:t>N</w:t>
      </w:r>
      <w:r>
        <w:rPr>
          <w:rFonts w:hint="eastAsia" w:asciiTheme="minorEastAsia" w:hAnsiTheme="minorEastAsia" w:eastAsiaTheme="minorEastAsia" w:cstheme="minorEastAsia"/>
          <w:color w:val="auto"/>
          <w:sz w:val="21"/>
          <w:szCs w:val="21"/>
          <w:highlight w:val="none"/>
          <w:lang w:val="en-US" w:eastAsia="zh-CN"/>
        </w:rPr>
        <w:t>VERP</w:t>
      </w:r>
      <w:r>
        <w:rPr>
          <w:rFonts w:hint="eastAsia" w:asciiTheme="minorEastAsia" w:hAnsiTheme="minorEastAsia" w:eastAsiaTheme="minorEastAsia" w:cstheme="minorEastAsia"/>
          <w:color w:val="auto"/>
          <w:sz w:val="21"/>
          <w:szCs w:val="21"/>
          <w:highlight w:val="none"/>
        </w:rPr>
        <w:t>系统属于成品系统，新模块开发基于原有系统界面之上，中标人需要和原有系统供应商沟通。如涉及接口以及源代码费，中标人需承担相关费用。中标人也可提供了功能满足现有线上门诊接诊系统业务需求的新系统，需验收前完成旧数据迁移至新系统工作。</w:t>
      </w:r>
    </w:p>
    <w:p w14:paraId="7EF4BCA0">
      <w:pPr>
        <w:spacing w:before="156" w:after="156"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安全与稳定性保障：确保数据传输过程中的安全性，以及对接后系统的稳定运行，避免数据泄露或系统故障对业务工作造成影响。</w:t>
      </w:r>
    </w:p>
    <w:p w14:paraId="4CA83BF8">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rPr>
        <w:t>）人员投入要求</w:t>
      </w:r>
    </w:p>
    <w:p w14:paraId="5705A5A4">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参选人</w:t>
      </w:r>
      <w:r>
        <w:rPr>
          <w:rFonts w:hint="eastAsia" w:asciiTheme="minorEastAsia" w:hAnsiTheme="minorEastAsia" w:eastAsiaTheme="minorEastAsia" w:cstheme="minorEastAsia"/>
          <w:color w:val="auto"/>
          <w:sz w:val="21"/>
          <w:szCs w:val="21"/>
          <w:highlight w:val="none"/>
        </w:rPr>
        <w:t>必须针对本项目成立专门交付团队，组成人员必须具有从</w:t>
      </w:r>
      <w:r>
        <w:rPr>
          <w:rFonts w:hint="eastAsia" w:asciiTheme="minorEastAsia" w:hAnsiTheme="minorEastAsia" w:eastAsiaTheme="minorEastAsia" w:cstheme="minorEastAsia"/>
          <w:color w:val="auto"/>
          <w:sz w:val="21"/>
          <w:szCs w:val="21"/>
          <w:highlight w:val="none"/>
          <w:lang w:val="en-US" w:eastAsia="zh-CN"/>
        </w:rPr>
        <w:t>智慧校园</w:t>
      </w:r>
      <w:r>
        <w:rPr>
          <w:rFonts w:hint="eastAsia" w:asciiTheme="minorEastAsia" w:hAnsiTheme="minorEastAsia" w:eastAsiaTheme="minorEastAsia" w:cstheme="minorEastAsia"/>
          <w:color w:val="auto"/>
          <w:sz w:val="21"/>
          <w:szCs w:val="21"/>
          <w:highlight w:val="none"/>
        </w:rPr>
        <w:t>软件项目资历。</w:t>
      </w:r>
    </w:p>
    <w:p w14:paraId="39CF45D0">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四</w:t>
      </w:r>
      <w:r>
        <w:rPr>
          <w:rFonts w:hint="eastAsia" w:asciiTheme="minorEastAsia" w:hAnsiTheme="minorEastAsia" w:eastAsiaTheme="minorEastAsia" w:cstheme="minorEastAsia"/>
          <w:color w:val="auto"/>
          <w:sz w:val="21"/>
          <w:szCs w:val="21"/>
          <w:highlight w:val="none"/>
        </w:rPr>
        <w:t>）安装调试要求</w:t>
      </w:r>
    </w:p>
    <w:p w14:paraId="61337B55">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参选人</w:t>
      </w:r>
      <w:r>
        <w:rPr>
          <w:rFonts w:hint="eastAsia" w:asciiTheme="minorEastAsia" w:hAnsiTheme="minorEastAsia" w:eastAsiaTheme="minorEastAsia" w:cstheme="minorEastAsia"/>
          <w:color w:val="auto"/>
          <w:sz w:val="21"/>
          <w:szCs w:val="21"/>
          <w:highlight w:val="none"/>
        </w:rPr>
        <w:t>必须对其所提供的全部系统进行安装，包括：安装、测试和联网调试。</w:t>
      </w:r>
    </w:p>
    <w:p w14:paraId="50C16E00">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五</w:t>
      </w:r>
      <w:r>
        <w:rPr>
          <w:rFonts w:hint="eastAsia" w:asciiTheme="minorEastAsia" w:hAnsiTheme="minorEastAsia" w:eastAsiaTheme="minorEastAsia" w:cstheme="minorEastAsia"/>
          <w:color w:val="auto"/>
          <w:sz w:val="21"/>
          <w:szCs w:val="21"/>
          <w:highlight w:val="none"/>
        </w:rPr>
        <w:t>）维护服务要求</w:t>
      </w:r>
    </w:p>
    <w:p w14:paraId="5EE08859">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本项目费用包含系统通过验收正式上线后一年的维护服务费，技术支持和售后服务费列入总报价之内。</w:t>
      </w:r>
    </w:p>
    <w:p w14:paraId="725C72D1">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六</w:t>
      </w:r>
      <w:r>
        <w:rPr>
          <w:rFonts w:hint="eastAsia" w:asciiTheme="minorEastAsia" w:hAnsiTheme="minorEastAsia" w:eastAsiaTheme="minorEastAsia" w:cstheme="minorEastAsia"/>
          <w:color w:val="auto"/>
          <w:sz w:val="21"/>
          <w:szCs w:val="21"/>
          <w:highlight w:val="none"/>
        </w:rPr>
        <w:t>）培训要求</w:t>
      </w:r>
    </w:p>
    <w:p w14:paraId="2A942824">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参选人</w:t>
      </w:r>
      <w:r>
        <w:rPr>
          <w:rFonts w:hint="eastAsia" w:asciiTheme="minorEastAsia" w:hAnsiTheme="minorEastAsia" w:eastAsiaTheme="minorEastAsia" w:cstheme="minorEastAsia"/>
          <w:color w:val="auto"/>
          <w:sz w:val="21"/>
          <w:szCs w:val="21"/>
          <w:highlight w:val="none"/>
        </w:rPr>
        <w:t>必须提供符合本期项目建设要求的培训服务。</w:t>
      </w:r>
    </w:p>
    <w:p w14:paraId="3E24B47C">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参选人</w:t>
      </w:r>
      <w:r>
        <w:rPr>
          <w:rFonts w:hint="eastAsia" w:asciiTheme="minorEastAsia" w:hAnsiTheme="minorEastAsia" w:eastAsiaTheme="minorEastAsia" w:cstheme="minorEastAsia"/>
          <w:color w:val="auto"/>
          <w:sz w:val="21"/>
          <w:szCs w:val="21"/>
          <w:highlight w:val="none"/>
        </w:rPr>
        <w:t>必须提供高水平的培训，培训内容包括系统管理、系统使用和应用软件用户操作等方面的培训。所有的培训教员必须用中文授课，除非有其它的协议规定。</w:t>
      </w:r>
    </w:p>
    <w:p w14:paraId="6E445998">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参选人</w:t>
      </w:r>
      <w:r>
        <w:rPr>
          <w:rFonts w:hint="eastAsia" w:asciiTheme="minorEastAsia" w:hAnsiTheme="minorEastAsia" w:eastAsiaTheme="minorEastAsia" w:cstheme="minorEastAsia"/>
          <w:color w:val="auto"/>
          <w:sz w:val="21"/>
          <w:szCs w:val="21"/>
          <w:highlight w:val="none"/>
        </w:rPr>
        <w:t>必须为所有被培训人员提供培训用文字资料和讲义等相关用品。所有的资料必须是中文书写。</w:t>
      </w:r>
    </w:p>
    <w:p w14:paraId="62FE6D83">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上述培训资料需符合国家标准，提供纸质件，并提供电子文档。</w:t>
      </w:r>
    </w:p>
    <w:p w14:paraId="5AEA79CF">
      <w:pPr>
        <w:spacing w:before="156" w:after="156"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五</w:t>
      </w:r>
      <w:r>
        <w:rPr>
          <w:rFonts w:hint="eastAsia" w:asciiTheme="minorEastAsia" w:hAnsiTheme="minorEastAsia" w:eastAsiaTheme="minorEastAsia" w:cstheme="minorEastAsia"/>
          <w:b/>
          <w:color w:val="auto"/>
          <w:sz w:val="21"/>
          <w:szCs w:val="21"/>
          <w:highlight w:val="none"/>
        </w:rPr>
        <w:t>、售后服务要求</w:t>
      </w:r>
    </w:p>
    <w:p w14:paraId="112002AD">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1.免费质保期期限：项目质保期为</w:t>
      </w:r>
      <w:r>
        <w:rPr>
          <w:rFonts w:hint="eastAsia" w:asciiTheme="minorEastAsia" w:hAnsiTheme="minorEastAsia" w:eastAsiaTheme="minorEastAsia" w:cstheme="minorEastAsia"/>
          <w:color w:val="auto"/>
          <w:sz w:val="21"/>
          <w:szCs w:val="21"/>
          <w:highlight w:val="none"/>
          <w:u w:val="single"/>
        </w:rPr>
        <w:t>1</w:t>
      </w:r>
      <w:r>
        <w:rPr>
          <w:rFonts w:hint="eastAsia" w:asciiTheme="minorEastAsia" w:hAnsiTheme="minorEastAsia" w:eastAsiaTheme="minorEastAsia" w:cstheme="minorEastAsia"/>
          <w:color w:val="auto"/>
          <w:sz w:val="21"/>
          <w:szCs w:val="21"/>
          <w:highlight w:val="none"/>
        </w:rPr>
        <w:t>年，具体按国家或行业有关标准由甲乙双方在合同中约定。所投的软件产品提供更新、升级与维护，提供产品技术支持服务，及时提供免费补丁，维护期内更新、升级及维护的费用包含在本项目的报价内。</w:t>
      </w:r>
    </w:p>
    <w:p w14:paraId="360EA402">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候选人</w:t>
      </w:r>
      <w:r>
        <w:rPr>
          <w:rFonts w:hint="eastAsia" w:asciiTheme="minorEastAsia" w:hAnsiTheme="minorEastAsia" w:eastAsiaTheme="minorEastAsia" w:cstheme="minorEastAsia"/>
          <w:color w:val="auto"/>
          <w:sz w:val="21"/>
          <w:szCs w:val="21"/>
          <w:highlight w:val="none"/>
        </w:rPr>
        <w:t>对单位提出的需求或系统发生故障，要建立响应和处理机制。免费质保期内实现5×8 小时技术支持，维修人员接到维修通知后2 小时内响应，24小时内到达现场，特急情况下，需在4小时内到达现场。</w:t>
      </w:r>
    </w:p>
    <w:p w14:paraId="5B4B0118">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3.质保期内中选单位须负责维护任何由于软件自身的质量问题造成的损坏及故障并承担相关费用。</w:t>
      </w:r>
    </w:p>
    <w:p w14:paraId="0D85DE50">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4.故障解决后，中选单位须提供一式两份报告给单位，包括故障原因，解决措施，完成修复所需时间及恢复正常运行日期。</w:t>
      </w:r>
    </w:p>
    <w:p w14:paraId="74D50A31">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 </w:t>
      </w:r>
      <w:r>
        <w:rPr>
          <w:rFonts w:hint="eastAsia" w:asciiTheme="minorEastAsia" w:hAnsiTheme="minorEastAsia" w:eastAsiaTheme="minorEastAsia" w:cstheme="minorEastAsia"/>
          <w:color w:val="auto"/>
          <w:sz w:val="21"/>
          <w:szCs w:val="21"/>
          <w:highlight w:val="none"/>
          <w:lang w:eastAsia="zh-CN"/>
        </w:rPr>
        <w:t>候选人</w:t>
      </w:r>
      <w:r>
        <w:rPr>
          <w:rFonts w:hint="eastAsia" w:asciiTheme="minorEastAsia" w:hAnsiTheme="minorEastAsia" w:eastAsiaTheme="minorEastAsia" w:cstheme="minorEastAsia"/>
          <w:color w:val="auto"/>
          <w:sz w:val="21"/>
          <w:szCs w:val="21"/>
          <w:highlight w:val="none"/>
        </w:rPr>
        <w:t>应提供售后服务方案，并具有专门售后服务队伍，能提供5×8技术支持服务，包含但不限于以下内容：</w:t>
      </w:r>
    </w:p>
    <w:p w14:paraId="095037BE">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（1）远程技术服务</w:t>
      </w:r>
    </w:p>
    <w:p w14:paraId="17BBCFE9">
      <w:pPr>
        <w:numPr>
          <w:ilvl w:val="0"/>
          <w:numId w:val="78"/>
        </w:numPr>
        <w:spacing w:before="156" w:after="156" w:line="360" w:lineRule="auto"/>
        <w:ind w:left="0" w:leftChars="0" w:firstLine="40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热线电话支持：技术支持工程师直接同用户对话，帮助解决用户提出的疑难问题。 热线电话提供5×8 的服务能力，对客户提出的一般性问题进行技术咨询、指导，帮助用户选择和使用新技术；</w:t>
      </w:r>
    </w:p>
    <w:p w14:paraId="1900F166">
      <w:pPr>
        <w:numPr>
          <w:ilvl w:val="0"/>
          <w:numId w:val="78"/>
        </w:numPr>
        <w:spacing w:before="156" w:after="156" w:line="360" w:lineRule="auto"/>
        <w:ind w:left="0" w:leftChars="0" w:firstLine="40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电子邮件服务：以电子邮件的形式发送关于各类产品的问题请求，由专门的技术支持工程师实时监控电子邮件信息，并及时予以回复。</w:t>
      </w:r>
    </w:p>
    <w:p w14:paraId="69271876">
      <w:pPr>
        <w:spacing w:before="156" w:after="156" w:line="360" w:lineRule="auto"/>
        <w:ind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（2）现场技术支持</w:t>
      </w:r>
    </w:p>
    <w:p w14:paraId="7FC58D92">
      <w:pPr>
        <w:numPr>
          <w:ilvl w:val="0"/>
          <w:numId w:val="79"/>
        </w:numPr>
        <w:spacing w:before="156" w:after="156" w:line="360" w:lineRule="auto"/>
        <w:ind w:left="0" w:leftChars="0" w:firstLine="40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现场故障排除：当通过远程支持不能解决问题时，在24小时内派遣技术支持工程师到现场帮助用户排除故障或解决疑难问题，特急情况下，需在4小时内到达现场。</w:t>
      </w:r>
    </w:p>
    <w:p w14:paraId="0F0C762D">
      <w:pPr>
        <w:numPr>
          <w:ilvl w:val="0"/>
          <w:numId w:val="0"/>
        </w:numPr>
        <w:spacing w:before="156" w:after="156" w:line="360" w:lineRule="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六、付款方式</w:t>
      </w:r>
    </w:p>
    <w:p w14:paraId="3564856D">
      <w:pPr>
        <w:numPr>
          <w:ilvl w:val="0"/>
          <w:numId w:val="0"/>
        </w:numPr>
        <w:spacing w:before="156" w:after="156" w:line="360" w:lineRule="auto"/>
        <w:ind w:left="481" w:leftChars="0" w:firstLine="0" w:firstLineChars="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kern w:val="2"/>
          <w:sz w:val="21"/>
          <w:szCs w:val="21"/>
          <w:highlight w:val="none"/>
          <w:lang w:val="en-US" w:eastAsia="zh-CN" w:bidi="ar-SA"/>
        </w:rPr>
        <w:t>1.</w:t>
      </w:r>
      <w:r>
        <w:rPr>
          <w:rFonts w:hint="eastAsia" w:asciiTheme="minorEastAsia" w:hAnsiTheme="minorEastAsia" w:eastAsiaTheme="minorEastAsia" w:cstheme="minorEastAsia"/>
          <w:b w:val="0"/>
          <w:bCs/>
          <w:color w:val="auto"/>
          <w:sz w:val="21"/>
          <w:szCs w:val="21"/>
          <w:highlight w:val="none"/>
          <w:lang w:val="en-US" w:eastAsia="zh-CN"/>
        </w:rPr>
        <w:t>签订合同后且收到发票后7个工作日内支付首付款合同款的30%；</w:t>
      </w:r>
    </w:p>
    <w:p w14:paraId="6BE05EBA">
      <w:pPr>
        <w:numPr>
          <w:ilvl w:val="0"/>
          <w:numId w:val="0"/>
        </w:numPr>
        <w:spacing w:before="156" w:after="156" w:line="360" w:lineRule="auto"/>
        <w:ind w:left="481" w:leftChars="0" w:firstLine="0" w:firstLineChars="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kern w:val="2"/>
          <w:sz w:val="21"/>
          <w:szCs w:val="21"/>
          <w:highlight w:val="none"/>
          <w:lang w:val="en-US" w:eastAsia="zh-CN" w:bidi="ar-SA"/>
        </w:rPr>
        <w:t>2.</w:t>
      </w:r>
      <w:r>
        <w:rPr>
          <w:rFonts w:hint="eastAsia" w:asciiTheme="minorEastAsia" w:hAnsiTheme="minorEastAsia" w:eastAsiaTheme="minorEastAsia" w:cstheme="minorEastAsia"/>
          <w:b w:val="0"/>
          <w:bCs/>
          <w:color w:val="auto"/>
          <w:sz w:val="21"/>
          <w:szCs w:val="21"/>
          <w:highlight w:val="none"/>
          <w:lang w:val="en-US" w:eastAsia="zh-CN"/>
        </w:rPr>
        <w:t>系统上线支付后且收到发票后7个工作日内合同款的65%；</w:t>
      </w:r>
    </w:p>
    <w:p w14:paraId="73E5C6DF">
      <w:pPr>
        <w:numPr>
          <w:ilvl w:val="0"/>
          <w:numId w:val="0"/>
        </w:numPr>
        <w:spacing w:before="156" w:after="156" w:line="360" w:lineRule="auto"/>
        <w:ind w:left="481" w:leftChars="0" w:firstLine="0" w:firstLineChars="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kern w:val="2"/>
          <w:sz w:val="21"/>
          <w:szCs w:val="21"/>
          <w:highlight w:val="none"/>
          <w:lang w:val="en-US" w:eastAsia="zh-CN" w:bidi="ar-SA"/>
        </w:rPr>
        <w:t>3.</w:t>
      </w:r>
      <w:r>
        <w:rPr>
          <w:rFonts w:hint="eastAsia" w:asciiTheme="minorEastAsia" w:hAnsiTheme="minorEastAsia" w:eastAsiaTheme="minorEastAsia" w:cstheme="minorEastAsia"/>
          <w:b w:val="0"/>
          <w:bCs/>
          <w:color w:val="auto"/>
          <w:sz w:val="21"/>
          <w:szCs w:val="21"/>
          <w:highlight w:val="none"/>
          <w:lang w:val="en-US" w:eastAsia="zh-CN"/>
        </w:rPr>
        <w:t>项目合同验收后且收到发票后7个工作日内支付剩余尾款合同款的5%。</w:t>
      </w:r>
    </w:p>
    <w:p w14:paraId="5DD712D6">
      <w:pPr>
        <w:pStyle w:val="169"/>
        <w:numPr>
          <w:ilvl w:val="0"/>
          <w:numId w:val="20"/>
        </w:num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评分标准</w:t>
      </w:r>
    </w:p>
    <w:p w14:paraId="230AEB83">
      <w:pPr>
        <w:spacing w:line="360" w:lineRule="auto"/>
        <w:ind w:firstLine="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包组三：</w:t>
      </w:r>
      <w:r>
        <w:rPr>
          <w:rFonts w:hint="eastAsia" w:asciiTheme="minorEastAsia" w:hAnsiTheme="minorEastAsia" w:eastAsiaTheme="minorEastAsia" w:cstheme="minorEastAsia"/>
          <w:b/>
          <w:bCs/>
          <w:color w:val="auto"/>
          <w:sz w:val="21"/>
          <w:szCs w:val="21"/>
          <w:highlight w:val="none"/>
        </w:rPr>
        <w:t>本次采用综合评分法。遴选以文件规定的条件为依据。评分比重构成如下：</w:t>
      </w:r>
    </w:p>
    <w:tbl>
      <w:tblPr>
        <w:tblStyle w:val="35"/>
        <w:tblW w:w="8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2250"/>
        <w:gridCol w:w="2277"/>
        <w:gridCol w:w="2058"/>
      </w:tblGrid>
      <w:tr w14:paraId="0C2B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605B8105">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评分项目</w:t>
            </w:r>
          </w:p>
        </w:tc>
        <w:tc>
          <w:tcPr>
            <w:tcW w:w="2250" w:type="dxa"/>
            <w:tcBorders>
              <w:top w:val="single" w:color="auto" w:sz="4" w:space="0"/>
              <w:left w:val="nil"/>
              <w:bottom w:val="single" w:color="auto" w:sz="4" w:space="0"/>
              <w:right w:val="single" w:color="auto" w:sz="4" w:space="0"/>
            </w:tcBorders>
            <w:vAlign w:val="center"/>
          </w:tcPr>
          <w:p w14:paraId="1705F351">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技术部分</w:t>
            </w:r>
          </w:p>
        </w:tc>
        <w:tc>
          <w:tcPr>
            <w:tcW w:w="2277" w:type="dxa"/>
            <w:tcBorders>
              <w:top w:val="single" w:color="auto" w:sz="4" w:space="0"/>
              <w:left w:val="nil"/>
              <w:bottom w:val="single" w:color="auto" w:sz="4" w:space="0"/>
              <w:right w:val="single" w:color="auto" w:sz="4" w:space="0"/>
            </w:tcBorders>
            <w:vAlign w:val="center"/>
          </w:tcPr>
          <w:p w14:paraId="3A155ABC">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商务部分</w:t>
            </w:r>
          </w:p>
        </w:tc>
        <w:tc>
          <w:tcPr>
            <w:tcW w:w="2058" w:type="dxa"/>
            <w:tcBorders>
              <w:top w:val="single" w:color="auto" w:sz="4" w:space="0"/>
              <w:left w:val="nil"/>
              <w:bottom w:val="single" w:color="auto" w:sz="4" w:space="0"/>
              <w:right w:val="single" w:color="auto" w:sz="4" w:space="0"/>
            </w:tcBorders>
            <w:vAlign w:val="center"/>
          </w:tcPr>
          <w:p w14:paraId="6E6FA926">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价格部分</w:t>
            </w:r>
          </w:p>
        </w:tc>
      </w:tr>
      <w:tr w14:paraId="6C92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14:paraId="3B34E707">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分值</w:t>
            </w:r>
          </w:p>
        </w:tc>
        <w:tc>
          <w:tcPr>
            <w:tcW w:w="2250" w:type="dxa"/>
            <w:tcBorders>
              <w:top w:val="single" w:color="auto" w:sz="4" w:space="0"/>
              <w:left w:val="nil"/>
              <w:bottom w:val="single" w:color="auto" w:sz="4" w:space="0"/>
              <w:right w:val="single" w:color="auto" w:sz="4" w:space="0"/>
            </w:tcBorders>
            <w:vAlign w:val="center"/>
          </w:tcPr>
          <w:p w14:paraId="21227475">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65分</w:t>
            </w:r>
          </w:p>
        </w:tc>
        <w:tc>
          <w:tcPr>
            <w:tcW w:w="2277" w:type="dxa"/>
            <w:tcBorders>
              <w:top w:val="single" w:color="auto" w:sz="4" w:space="0"/>
              <w:left w:val="nil"/>
              <w:bottom w:val="single" w:color="auto" w:sz="4" w:space="0"/>
              <w:right w:val="single" w:color="auto" w:sz="4" w:space="0"/>
            </w:tcBorders>
            <w:vAlign w:val="center"/>
          </w:tcPr>
          <w:p w14:paraId="1CA2B2B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25分</w:t>
            </w:r>
          </w:p>
        </w:tc>
        <w:tc>
          <w:tcPr>
            <w:tcW w:w="2058" w:type="dxa"/>
            <w:tcBorders>
              <w:top w:val="single" w:color="auto" w:sz="4" w:space="0"/>
              <w:left w:val="nil"/>
              <w:bottom w:val="single" w:color="auto" w:sz="4" w:space="0"/>
              <w:right w:val="single" w:color="auto" w:sz="4" w:space="0"/>
            </w:tcBorders>
            <w:vAlign w:val="center"/>
          </w:tcPr>
          <w:p w14:paraId="2A16602C">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10分</w:t>
            </w:r>
          </w:p>
        </w:tc>
      </w:tr>
    </w:tbl>
    <w:p w14:paraId="4481DD65">
      <w:pPr>
        <w:spacing w:line="360" w:lineRule="auto"/>
        <w:ind w:firstLine="422" w:firstLineChars="200"/>
        <w:jc w:val="left"/>
        <w:rPr>
          <w:rFonts w:hint="eastAsia" w:asciiTheme="minorEastAsia" w:hAnsiTheme="minorEastAsia" w:eastAsiaTheme="minorEastAsia" w:cstheme="minorEastAsia"/>
          <w:b/>
          <w:bCs/>
          <w:color w:val="auto"/>
          <w:kern w:val="0"/>
          <w:sz w:val="21"/>
          <w:szCs w:val="21"/>
          <w:highlight w:val="none"/>
        </w:rPr>
      </w:pPr>
    </w:p>
    <w:tbl>
      <w:tblPr>
        <w:tblStyle w:val="35"/>
        <w:tblW w:w="88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3"/>
        <w:gridCol w:w="1305"/>
        <w:gridCol w:w="4718"/>
        <w:gridCol w:w="1091"/>
        <w:gridCol w:w="996"/>
      </w:tblGrid>
      <w:tr w14:paraId="331FB8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2" w:hRule="atLeast"/>
          <w:jc w:val="center"/>
        </w:trPr>
        <w:tc>
          <w:tcPr>
            <w:tcW w:w="703" w:type="dxa"/>
            <w:tcBorders>
              <w:top w:val="single" w:color="auto" w:sz="12" w:space="0"/>
              <w:left w:val="single" w:color="auto" w:sz="12" w:space="0"/>
              <w:bottom w:val="single" w:color="auto" w:sz="6" w:space="0"/>
              <w:right w:val="single" w:color="auto" w:sz="6" w:space="0"/>
            </w:tcBorders>
            <w:vAlign w:val="center"/>
          </w:tcPr>
          <w:p w14:paraId="706990CD">
            <w:pPr>
              <w:snapToGrid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305" w:type="dxa"/>
            <w:tcBorders>
              <w:top w:val="single" w:color="auto" w:sz="12" w:space="0"/>
              <w:left w:val="single" w:color="auto" w:sz="6" w:space="0"/>
              <w:bottom w:val="single" w:color="auto" w:sz="6" w:space="0"/>
              <w:right w:val="single" w:color="auto" w:sz="6" w:space="0"/>
            </w:tcBorders>
            <w:vAlign w:val="center"/>
          </w:tcPr>
          <w:p w14:paraId="50FF5C36">
            <w:pPr>
              <w:snapToGrid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遴选因素</w:t>
            </w:r>
          </w:p>
        </w:tc>
        <w:tc>
          <w:tcPr>
            <w:tcW w:w="4718" w:type="dxa"/>
            <w:tcBorders>
              <w:top w:val="single" w:color="auto" w:sz="12" w:space="0"/>
              <w:left w:val="single" w:color="auto" w:sz="6" w:space="0"/>
              <w:bottom w:val="single" w:color="auto" w:sz="6" w:space="0"/>
              <w:right w:val="single" w:color="auto" w:sz="6" w:space="0"/>
            </w:tcBorders>
            <w:vAlign w:val="center"/>
          </w:tcPr>
          <w:p w14:paraId="41E94439">
            <w:pPr>
              <w:snapToGrid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遴选细则</w:t>
            </w:r>
          </w:p>
        </w:tc>
        <w:tc>
          <w:tcPr>
            <w:tcW w:w="1091" w:type="dxa"/>
            <w:tcBorders>
              <w:top w:val="single" w:color="auto" w:sz="12" w:space="0"/>
              <w:left w:val="single" w:color="auto" w:sz="6" w:space="0"/>
              <w:bottom w:val="single" w:color="auto" w:sz="6" w:space="0"/>
              <w:right w:val="single" w:color="auto" w:sz="6" w:space="0"/>
            </w:tcBorders>
            <w:vAlign w:val="center"/>
          </w:tcPr>
          <w:p w14:paraId="3679E341">
            <w:pPr>
              <w:snapToGrid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分值</w:t>
            </w:r>
          </w:p>
          <w:p w14:paraId="1E9C8F79">
            <w:pPr>
              <w:snapToGrid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（分）</w:t>
            </w:r>
          </w:p>
        </w:tc>
        <w:tc>
          <w:tcPr>
            <w:tcW w:w="996" w:type="dxa"/>
            <w:tcBorders>
              <w:top w:val="single" w:color="auto" w:sz="12" w:space="0"/>
              <w:left w:val="single" w:color="auto" w:sz="6" w:space="0"/>
              <w:bottom w:val="single" w:color="auto" w:sz="6" w:space="0"/>
              <w:right w:val="single" w:color="auto" w:sz="12" w:space="0"/>
            </w:tcBorders>
            <w:vAlign w:val="center"/>
          </w:tcPr>
          <w:p w14:paraId="2A07555D">
            <w:pPr>
              <w:snapToGrid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权重（%）</w:t>
            </w:r>
          </w:p>
        </w:tc>
      </w:tr>
      <w:tr w14:paraId="101DB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813" w:type="dxa"/>
            <w:gridSpan w:val="5"/>
            <w:tcBorders>
              <w:top w:val="single" w:color="auto" w:sz="6" w:space="0"/>
              <w:left w:val="single" w:color="auto" w:sz="12" w:space="0"/>
              <w:bottom w:val="single" w:color="auto" w:sz="6" w:space="0"/>
              <w:right w:val="single" w:color="auto" w:sz="12" w:space="0"/>
            </w:tcBorders>
            <w:vAlign w:val="center"/>
          </w:tcPr>
          <w:p w14:paraId="7049CCFE">
            <w:pPr>
              <w:snapToGrid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技术部分（合计65分）</w:t>
            </w:r>
          </w:p>
        </w:tc>
      </w:tr>
      <w:tr w14:paraId="538C8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3" w:type="dxa"/>
            <w:tcBorders>
              <w:top w:val="single" w:color="auto" w:sz="6" w:space="0"/>
              <w:left w:val="single" w:color="auto" w:sz="12" w:space="0"/>
              <w:right w:val="single" w:color="auto" w:sz="6" w:space="0"/>
            </w:tcBorders>
            <w:vAlign w:val="center"/>
          </w:tcPr>
          <w:p w14:paraId="3255D54F">
            <w:pPr>
              <w:numPr>
                <w:ilvl w:val="0"/>
                <w:numId w:val="80"/>
              </w:numPr>
              <w:snapToGrid w:val="0"/>
              <w:spacing w:line="240" w:lineRule="auto"/>
              <w:ind w:left="425" w:leftChars="0" w:hanging="425" w:firstLineChars="0"/>
              <w:jc w:val="center"/>
              <w:rPr>
                <w:rFonts w:hint="eastAsia" w:asciiTheme="minorEastAsia" w:hAnsiTheme="minorEastAsia" w:eastAsiaTheme="minorEastAsia" w:cstheme="minorEastAsia"/>
                <w:bCs/>
                <w:color w:val="auto"/>
                <w:sz w:val="21"/>
                <w:szCs w:val="21"/>
                <w:highlight w:val="none"/>
              </w:rPr>
            </w:pPr>
          </w:p>
        </w:tc>
        <w:tc>
          <w:tcPr>
            <w:tcW w:w="1305" w:type="dxa"/>
            <w:tcBorders>
              <w:top w:val="single" w:color="auto" w:sz="6" w:space="0"/>
              <w:left w:val="single" w:color="auto" w:sz="6" w:space="0"/>
              <w:right w:val="single" w:color="auto" w:sz="6" w:space="0"/>
            </w:tcBorders>
            <w:vAlign w:val="center"/>
          </w:tcPr>
          <w:p w14:paraId="6B5B0E2F">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用户需求书</w:t>
            </w:r>
            <w:r>
              <w:rPr>
                <w:rFonts w:hint="eastAsia" w:asciiTheme="minorEastAsia" w:hAnsiTheme="minorEastAsia" w:eastAsiaTheme="minorEastAsia" w:cstheme="minorEastAsia"/>
                <w:color w:val="auto"/>
                <w:sz w:val="21"/>
                <w:szCs w:val="21"/>
                <w:highlight w:val="none"/>
              </w:rPr>
              <w:t>中的</w:t>
            </w:r>
            <w:r>
              <w:rPr>
                <w:rFonts w:hint="eastAsia" w:asciiTheme="minorEastAsia" w:hAnsiTheme="minorEastAsia" w:eastAsiaTheme="minorEastAsia" w:cstheme="minorEastAsia"/>
                <w:color w:val="auto"/>
                <w:sz w:val="21"/>
                <w:szCs w:val="21"/>
                <w:highlight w:val="none"/>
                <w:lang w:eastAsia="zh-CN"/>
              </w:rPr>
              <w:t>技术条款</w:t>
            </w:r>
            <w:r>
              <w:rPr>
                <w:rFonts w:hint="eastAsia" w:asciiTheme="minorEastAsia" w:hAnsiTheme="minorEastAsia" w:eastAsiaTheme="minorEastAsia" w:cstheme="minorEastAsia"/>
                <w:color w:val="auto"/>
                <w:sz w:val="21"/>
                <w:szCs w:val="21"/>
                <w:highlight w:val="none"/>
              </w:rPr>
              <w:t>响应情况</w:t>
            </w:r>
          </w:p>
        </w:tc>
        <w:tc>
          <w:tcPr>
            <w:tcW w:w="4718" w:type="dxa"/>
            <w:tcBorders>
              <w:top w:val="single" w:color="auto" w:sz="6" w:space="0"/>
              <w:left w:val="single" w:color="auto" w:sz="6" w:space="0"/>
              <w:bottom w:val="single" w:color="auto" w:sz="6" w:space="0"/>
              <w:right w:val="single" w:color="auto" w:sz="6" w:space="0"/>
            </w:tcBorders>
            <w:vAlign w:val="center"/>
          </w:tcPr>
          <w:p w14:paraId="366F7FA0">
            <w:pPr>
              <w:tabs>
                <w:tab w:val="left" w:pos="1302"/>
              </w:tabs>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参选人</w:t>
            </w:r>
            <w:r>
              <w:rPr>
                <w:rFonts w:hint="eastAsia" w:asciiTheme="minorEastAsia" w:hAnsiTheme="minorEastAsia" w:eastAsiaTheme="minorEastAsia" w:cstheme="minorEastAsia"/>
                <w:color w:val="auto"/>
                <w:sz w:val="21"/>
                <w:szCs w:val="21"/>
                <w:highlight w:val="none"/>
              </w:rPr>
              <w:t>对</w:t>
            </w:r>
            <w:r>
              <w:rPr>
                <w:rFonts w:hint="eastAsia" w:asciiTheme="minorEastAsia" w:hAnsiTheme="minorEastAsia" w:eastAsiaTheme="minorEastAsia" w:cstheme="minorEastAsia"/>
                <w:color w:val="auto"/>
                <w:sz w:val="21"/>
                <w:szCs w:val="21"/>
                <w:highlight w:val="none"/>
                <w:lang w:eastAsia="zh-CN"/>
              </w:rPr>
              <w:t>用户需求书</w:t>
            </w:r>
            <w:r>
              <w:rPr>
                <w:rFonts w:hint="eastAsia" w:asciiTheme="minorEastAsia" w:hAnsiTheme="minorEastAsia" w:eastAsiaTheme="minorEastAsia" w:cstheme="minorEastAsia"/>
                <w:color w:val="auto"/>
                <w:sz w:val="21"/>
                <w:szCs w:val="21"/>
                <w:highlight w:val="none"/>
              </w:rPr>
              <w:t>中</w:t>
            </w:r>
            <w:r>
              <w:rPr>
                <w:rFonts w:hint="eastAsia" w:asciiTheme="minorEastAsia" w:hAnsiTheme="minorEastAsia" w:eastAsiaTheme="minorEastAsia" w:cstheme="minorEastAsia"/>
                <w:color w:val="auto"/>
                <w:sz w:val="21"/>
                <w:szCs w:val="21"/>
                <w:highlight w:val="none"/>
                <w:lang w:val="en-US" w:eastAsia="zh-CN"/>
              </w:rPr>
              <w:t>的技术要求</w:t>
            </w:r>
            <w:r>
              <w:rPr>
                <w:rFonts w:hint="eastAsia" w:asciiTheme="minorEastAsia" w:hAnsiTheme="minorEastAsia" w:eastAsiaTheme="minorEastAsia" w:cstheme="minorEastAsia"/>
                <w:color w:val="auto"/>
                <w:sz w:val="21"/>
                <w:szCs w:val="21"/>
                <w:highlight w:val="none"/>
              </w:rPr>
              <w:t>完全满足或优于用户需求得</w:t>
            </w: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分；有负偏离情况按以下要求得分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此项最高得40分</w:t>
            </w:r>
            <w:r>
              <w:rPr>
                <w:rFonts w:hint="eastAsia" w:asciiTheme="minorEastAsia" w:hAnsiTheme="minorEastAsia" w:eastAsiaTheme="minorEastAsia" w:cstheme="minorEastAsia"/>
                <w:color w:val="auto"/>
                <w:sz w:val="21"/>
                <w:szCs w:val="21"/>
                <w:highlight w:val="none"/>
              </w:rPr>
              <w:t>：</w:t>
            </w:r>
          </w:p>
          <w:p w14:paraId="7DF9BEDD">
            <w:pPr>
              <w:tabs>
                <w:tab w:val="left" w:pos="1302"/>
              </w:tabs>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有1-4项（含本数）条款为负偏离的得</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分；</w:t>
            </w:r>
          </w:p>
          <w:p w14:paraId="3926F560">
            <w:pPr>
              <w:tabs>
                <w:tab w:val="left" w:pos="1302"/>
              </w:tabs>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有5-8项（含本数）条款为负偏离的得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p>
          <w:p w14:paraId="07C29C8C">
            <w:pPr>
              <w:tabs>
                <w:tab w:val="left" w:pos="1302"/>
              </w:tabs>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有9-12项（含本数）条款为负偏离的得</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分；</w:t>
            </w:r>
          </w:p>
          <w:p w14:paraId="7BA60904">
            <w:pPr>
              <w:tabs>
                <w:tab w:val="left" w:pos="1302"/>
              </w:tabs>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有13-16项（含本数）条款为负偏离的得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p w14:paraId="67A41033">
            <w:pPr>
              <w:tabs>
                <w:tab w:val="left" w:pos="1302"/>
              </w:tabs>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有17-20项（含本数）条款为负偏离的得1分；</w:t>
            </w:r>
          </w:p>
          <w:p w14:paraId="23F42C96">
            <w:pPr>
              <w:tabs>
                <w:tab w:val="left" w:pos="1302"/>
              </w:tabs>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有20项（不含本数）以上条款为负偏离的得0分。</w:t>
            </w:r>
          </w:p>
          <w:p w14:paraId="6C46C24A">
            <w:pPr>
              <w:tabs>
                <w:tab w:val="left" w:pos="1302"/>
              </w:tabs>
              <w:snapToGrid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此处最高得</w:t>
            </w: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分。</w:t>
            </w:r>
          </w:p>
          <w:p w14:paraId="2213A391">
            <w:pPr>
              <w:tabs>
                <w:tab w:val="left" w:pos="1302"/>
              </w:tabs>
              <w:snapToGrid w:val="0"/>
              <w:spacing w:line="24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备注：如</w:t>
            </w:r>
            <w:r>
              <w:rPr>
                <w:rFonts w:hint="eastAsia" w:asciiTheme="minorEastAsia" w:hAnsiTheme="minorEastAsia" w:eastAsiaTheme="minorEastAsia" w:cstheme="minorEastAsia"/>
                <w:b/>
                <w:color w:val="auto"/>
                <w:sz w:val="21"/>
                <w:szCs w:val="21"/>
                <w:highlight w:val="none"/>
                <w:lang w:eastAsia="zh-CN"/>
              </w:rPr>
              <w:t>用户需求书</w:t>
            </w:r>
            <w:r>
              <w:rPr>
                <w:rFonts w:hint="eastAsia" w:asciiTheme="minorEastAsia" w:hAnsiTheme="minorEastAsia" w:eastAsiaTheme="minorEastAsia" w:cstheme="minorEastAsia"/>
                <w:b/>
                <w:color w:val="auto"/>
                <w:sz w:val="21"/>
                <w:szCs w:val="21"/>
                <w:highlight w:val="none"/>
              </w:rPr>
              <w:t>中有明确提供的证明资料，则以</w:t>
            </w:r>
            <w:r>
              <w:rPr>
                <w:rFonts w:hint="eastAsia" w:asciiTheme="minorEastAsia" w:hAnsiTheme="minorEastAsia" w:eastAsiaTheme="minorEastAsia" w:cstheme="minorEastAsia"/>
                <w:b/>
                <w:color w:val="auto"/>
                <w:sz w:val="21"/>
                <w:szCs w:val="21"/>
                <w:highlight w:val="none"/>
                <w:lang w:eastAsia="zh-CN"/>
              </w:rPr>
              <w:t>用户需求书</w:t>
            </w:r>
            <w:r>
              <w:rPr>
                <w:rFonts w:hint="eastAsia" w:asciiTheme="minorEastAsia" w:hAnsiTheme="minorEastAsia" w:eastAsiaTheme="minorEastAsia" w:cstheme="minorEastAsia"/>
                <w:b/>
                <w:color w:val="auto"/>
                <w:sz w:val="21"/>
                <w:szCs w:val="21"/>
                <w:highlight w:val="none"/>
              </w:rPr>
              <w:t>中要求的为准，无或未按要求提供证明材料的不得分；如</w:t>
            </w:r>
            <w:r>
              <w:rPr>
                <w:rFonts w:hint="eastAsia" w:asciiTheme="minorEastAsia" w:hAnsiTheme="minorEastAsia" w:eastAsiaTheme="minorEastAsia" w:cstheme="minorEastAsia"/>
                <w:b/>
                <w:color w:val="auto"/>
                <w:sz w:val="21"/>
                <w:szCs w:val="21"/>
                <w:highlight w:val="none"/>
                <w:lang w:eastAsia="zh-CN"/>
              </w:rPr>
              <w:t>用户需求书</w:t>
            </w:r>
            <w:r>
              <w:rPr>
                <w:rFonts w:hint="eastAsia" w:asciiTheme="minorEastAsia" w:hAnsiTheme="minorEastAsia" w:eastAsiaTheme="minorEastAsia" w:cstheme="minorEastAsia"/>
                <w:b/>
                <w:color w:val="auto"/>
                <w:sz w:val="21"/>
                <w:szCs w:val="21"/>
                <w:highlight w:val="none"/>
              </w:rPr>
              <w:t>中无明确证明材料的，以</w:t>
            </w:r>
            <w:r>
              <w:rPr>
                <w:rFonts w:hint="eastAsia" w:asciiTheme="minorEastAsia" w:hAnsiTheme="minorEastAsia" w:eastAsiaTheme="minorEastAsia" w:cstheme="minorEastAsia"/>
                <w:b/>
                <w:color w:val="auto"/>
                <w:sz w:val="21"/>
                <w:szCs w:val="21"/>
                <w:highlight w:val="none"/>
                <w:lang w:eastAsia="zh-CN"/>
              </w:rPr>
              <w:t>参选人参选文件</w:t>
            </w:r>
            <w:r>
              <w:rPr>
                <w:rFonts w:hint="eastAsia" w:asciiTheme="minorEastAsia" w:hAnsiTheme="minorEastAsia" w:eastAsiaTheme="minorEastAsia" w:cstheme="minorEastAsia"/>
                <w:b/>
                <w:color w:val="auto"/>
                <w:sz w:val="21"/>
                <w:szCs w:val="21"/>
                <w:highlight w:val="none"/>
              </w:rPr>
              <w:t>中的《</w:t>
            </w:r>
            <w:r>
              <w:rPr>
                <w:rFonts w:hint="eastAsia" w:asciiTheme="minorEastAsia" w:hAnsiTheme="minorEastAsia" w:eastAsiaTheme="minorEastAsia" w:cstheme="minorEastAsia"/>
                <w:b/>
                <w:color w:val="auto"/>
                <w:sz w:val="21"/>
                <w:szCs w:val="21"/>
                <w:highlight w:val="none"/>
                <w:lang w:eastAsia="zh-CN"/>
              </w:rPr>
              <w:t>用户需求书</w:t>
            </w:r>
            <w:r>
              <w:rPr>
                <w:rFonts w:hint="eastAsia" w:asciiTheme="minorEastAsia" w:hAnsiTheme="minorEastAsia" w:eastAsiaTheme="minorEastAsia" w:cstheme="minorEastAsia"/>
                <w:b/>
                <w:color w:val="auto"/>
                <w:sz w:val="21"/>
                <w:szCs w:val="21"/>
                <w:highlight w:val="none"/>
              </w:rPr>
              <w:t>条款响应一览表》中的</w:t>
            </w:r>
            <w:r>
              <w:rPr>
                <w:rFonts w:hint="eastAsia" w:asciiTheme="minorEastAsia" w:hAnsiTheme="minorEastAsia" w:eastAsiaTheme="minorEastAsia" w:cstheme="minorEastAsia"/>
                <w:b/>
                <w:color w:val="auto"/>
                <w:sz w:val="21"/>
                <w:szCs w:val="21"/>
                <w:highlight w:val="none"/>
                <w:lang w:eastAsia="zh-CN"/>
              </w:rPr>
              <w:t>参选人</w:t>
            </w:r>
            <w:r>
              <w:rPr>
                <w:rFonts w:hint="eastAsia" w:asciiTheme="minorEastAsia" w:hAnsiTheme="minorEastAsia" w:eastAsiaTheme="minorEastAsia" w:cstheme="minorEastAsia"/>
                <w:b/>
                <w:color w:val="auto"/>
                <w:sz w:val="21"/>
                <w:szCs w:val="21"/>
                <w:highlight w:val="none"/>
              </w:rPr>
              <w:t>填写内容为准，未填写或负偏离的为负偏离。</w:t>
            </w:r>
          </w:p>
        </w:tc>
        <w:tc>
          <w:tcPr>
            <w:tcW w:w="1091" w:type="dxa"/>
            <w:tcBorders>
              <w:top w:val="single" w:color="auto" w:sz="6" w:space="0"/>
              <w:left w:val="single" w:color="auto" w:sz="6" w:space="0"/>
              <w:bottom w:val="single" w:color="auto" w:sz="6" w:space="0"/>
              <w:right w:val="single" w:color="auto" w:sz="6" w:space="0"/>
            </w:tcBorders>
            <w:vAlign w:val="center"/>
          </w:tcPr>
          <w:p w14:paraId="3039D720">
            <w:pPr>
              <w:spacing w:line="240" w:lineRule="auto"/>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40</w:t>
            </w:r>
          </w:p>
        </w:tc>
        <w:tc>
          <w:tcPr>
            <w:tcW w:w="996" w:type="dxa"/>
            <w:tcBorders>
              <w:top w:val="single" w:color="auto" w:sz="6" w:space="0"/>
              <w:left w:val="single" w:color="auto" w:sz="6" w:space="0"/>
              <w:bottom w:val="single" w:color="auto" w:sz="6" w:space="0"/>
              <w:right w:val="single" w:color="auto" w:sz="12" w:space="0"/>
            </w:tcBorders>
            <w:vAlign w:val="center"/>
          </w:tcPr>
          <w:p w14:paraId="46004218">
            <w:pPr>
              <w:spacing w:line="240" w:lineRule="auto"/>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40</w:t>
            </w:r>
          </w:p>
        </w:tc>
      </w:tr>
      <w:tr w14:paraId="171A7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3" w:type="dxa"/>
            <w:tcBorders>
              <w:top w:val="single" w:color="auto" w:sz="6" w:space="0"/>
              <w:left w:val="single" w:color="auto" w:sz="12" w:space="0"/>
              <w:bottom w:val="single" w:color="auto" w:sz="6" w:space="0"/>
              <w:right w:val="single" w:color="auto" w:sz="6" w:space="0"/>
            </w:tcBorders>
            <w:vAlign w:val="center"/>
          </w:tcPr>
          <w:p w14:paraId="5BFCF40A">
            <w:pPr>
              <w:numPr>
                <w:ilvl w:val="0"/>
                <w:numId w:val="80"/>
              </w:numPr>
              <w:snapToGrid w:val="0"/>
              <w:spacing w:line="240" w:lineRule="auto"/>
              <w:ind w:left="425" w:leftChars="0" w:hanging="425" w:firstLineChars="0"/>
              <w:jc w:val="center"/>
              <w:rPr>
                <w:rFonts w:hint="eastAsia" w:asciiTheme="minorEastAsia" w:hAnsiTheme="minorEastAsia" w:eastAsiaTheme="minorEastAsia" w:cstheme="minorEastAsia"/>
                <w:bCs/>
                <w:color w:val="auto"/>
                <w:sz w:val="21"/>
                <w:szCs w:val="21"/>
                <w:highlight w:val="none"/>
              </w:rPr>
            </w:pPr>
          </w:p>
        </w:tc>
        <w:tc>
          <w:tcPr>
            <w:tcW w:w="1305" w:type="dxa"/>
            <w:tcBorders>
              <w:top w:val="single" w:color="auto" w:sz="6" w:space="0"/>
              <w:left w:val="single" w:color="auto" w:sz="6" w:space="0"/>
              <w:bottom w:val="single" w:color="auto" w:sz="6" w:space="0"/>
              <w:right w:val="single" w:color="auto" w:sz="6" w:space="0"/>
            </w:tcBorders>
            <w:vAlign w:val="center"/>
          </w:tcPr>
          <w:p w14:paraId="2BA605AB">
            <w:pPr>
              <w:spacing w:line="240" w:lineRule="auto"/>
              <w:jc w:val="center"/>
              <w:rPr>
                <w:rFonts w:hint="eastAsia" w:eastAsia="宋体" w:asciiTheme="minorEastAsia" w:hAnsi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项目重点难点分析、应对措施及相关的合理化建议</w:t>
            </w: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p>
        </w:tc>
        <w:tc>
          <w:tcPr>
            <w:tcW w:w="4718" w:type="dxa"/>
            <w:tcBorders>
              <w:top w:val="single" w:color="auto" w:sz="6" w:space="0"/>
              <w:left w:val="single" w:color="auto" w:sz="6" w:space="0"/>
              <w:bottom w:val="single" w:color="auto" w:sz="6" w:space="0"/>
              <w:right w:val="single" w:color="auto" w:sz="6" w:space="0"/>
            </w:tcBorders>
          </w:tcPr>
          <w:p w14:paraId="0FB739A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根据响应供应商提供的“项目重点难点分析、应对措施及相关的合理化建议”进行评审：</w:t>
            </w:r>
          </w:p>
          <w:p w14:paraId="227C9245">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提供以下内容的，每满足1点得3分。本小项最高得6分。</w:t>
            </w:r>
          </w:p>
          <w:p w14:paraId="7584EA0A">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1.项目重点难点分析；</w:t>
            </w:r>
          </w:p>
          <w:p w14:paraId="13CCF4E6">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2.项目重点难点应对措施及合理化建议。</w:t>
            </w:r>
          </w:p>
          <w:p w14:paraId="566DA5B4">
            <w:pPr>
              <w:spacing w:line="24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备注：提供项目重点难点分析、应对措施及相关的合理化建议，格式自拟。</w:t>
            </w:r>
          </w:p>
        </w:tc>
        <w:tc>
          <w:tcPr>
            <w:tcW w:w="1091" w:type="dxa"/>
            <w:tcBorders>
              <w:top w:val="single" w:color="auto" w:sz="6" w:space="0"/>
              <w:left w:val="single" w:color="auto" w:sz="6" w:space="0"/>
              <w:bottom w:val="single" w:color="auto" w:sz="6" w:space="0"/>
              <w:right w:val="single" w:color="auto" w:sz="6" w:space="0"/>
            </w:tcBorders>
            <w:vAlign w:val="center"/>
          </w:tcPr>
          <w:p w14:paraId="21790778">
            <w:pPr>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996" w:type="dxa"/>
            <w:tcBorders>
              <w:top w:val="single" w:color="auto" w:sz="6" w:space="0"/>
              <w:left w:val="single" w:color="auto" w:sz="6" w:space="0"/>
              <w:bottom w:val="single" w:color="auto" w:sz="6" w:space="0"/>
              <w:right w:val="single" w:color="auto" w:sz="12" w:space="0"/>
            </w:tcBorders>
            <w:vAlign w:val="center"/>
          </w:tcPr>
          <w:p w14:paraId="6ACEF272">
            <w:pPr>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p>
        </w:tc>
      </w:tr>
      <w:tr w14:paraId="1EB59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3" w:type="dxa"/>
            <w:tcBorders>
              <w:top w:val="single" w:color="auto" w:sz="6" w:space="0"/>
              <w:left w:val="single" w:color="auto" w:sz="12" w:space="0"/>
              <w:bottom w:val="single" w:color="auto" w:sz="6" w:space="0"/>
              <w:right w:val="single" w:color="auto" w:sz="6" w:space="0"/>
            </w:tcBorders>
            <w:vAlign w:val="center"/>
          </w:tcPr>
          <w:p w14:paraId="437A3061">
            <w:pPr>
              <w:numPr>
                <w:ilvl w:val="0"/>
                <w:numId w:val="80"/>
              </w:numPr>
              <w:snapToGrid w:val="0"/>
              <w:spacing w:line="240" w:lineRule="auto"/>
              <w:ind w:left="425" w:leftChars="0" w:hanging="425" w:firstLineChars="0"/>
              <w:jc w:val="center"/>
              <w:rPr>
                <w:rFonts w:hint="default" w:asciiTheme="minorEastAsia" w:hAnsiTheme="minorEastAsia" w:eastAsiaTheme="minorEastAsia" w:cstheme="minorEastAsia"/>
                <w:bCs/>
                <w:color w:val="auto"/>
                <w:sz w:val="21"/>
                <w:szCs w:val="21"/>
                <w:highlight w:val="none"/>
                <w:lang w:val="en-US" w:eastAsia="zh-CN"/>
              </w:rPr>
            </w:pPr>
          </w:p>
        </w:tc>
        <w:tc>
          <w:tcPr>
            <w:tcW w:w="1305" w:type="dxa"/>
            <w:tcBorders>
              <w:top w:val="single" w:color="auto" w:sz="6" w:space="0"/>
              <w:left w:val="single" w:color="auto" w:sz="6" w:space="0"/>
              <w:bottom w:val="single" w:color="auto" w:sz="6" w:space="0"/>
              <w:right w:val="single" w:color="auto" w:sz="6" w:space="0"/>
            </w:tcBorders>
            <w:vAlign w:val="center"/>
          </w:tcPr>
          <w:p w14:paraId="0D5B06A9">
            <w:pPr>
              <w:spacing w:line="240" w:lineRule="auto"/>
              <w:jc w:val="center"/>
              <w:rPr>
                <w:rFonts w:hint="eastAsia" w:eastAsia="宋体" w:asciiTheme="minorEastAsia" w:hAnsi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项目重点难点分析、应对措施及相关的合理化建议</w:t>
            </w: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p>
        </w:tc>
        <w:tc>
          <w:tcPr>
            <w:tcW w:w="4718" w:type="dxa"/>
            <w:tcBorders>
              <w:top w:val="single" w:color="auto" w:sz="6" w:space="0"/>
              <w:left w:val="single" w:color="auto" w:sz="6" w:space="0"/>
              <w:bottom w:val="single" w:color="auto" w:sz="6" w:space="0"/>
              <w:right w:val="single" w:color="auto" w:sz="6" w:space="0"/>
            </w:tcBorders>
          </w:tcPr>
          <w:p w14:paraId="442998D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项目重点难点分析、应对措施及相关的合理化建议</w:t>
            </w: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的基础上，根据各供应商的相关方案内容进一步评审加分，本小项最高得4分。</w:t>
            </w:r>
          </w:p>
          <w:p w14:paraId="5D385888">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1.相关方案内容全面具体，针对性强，科学合理，可操作性强，得4分；</w:t>
            </w:r>
          </w:p>
          <w:p w14:paraId="1AA2DBC2">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2.相关方案内容比较全面具体，针对性比较强，比较科学合理，可操作性比较强，得3分；</w:t>
            </w:r>
          </w:p>
          <w:p w14:paraId="4DEE4C97">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3.相关方案内容基本合理可行，具备基础可操作性，基本可以满足服务要求，得2分；</w:t>
            </w:r>
          </w:p>
          <w:p w14:paraId="2A53C646">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4.相关方案内容不全面，不具备针对性，无操作性，不得分。</w:t>
            </w:r>
          </w:p>
          <w:p w14:paraId="1EC29BE5">
            <w:pPr>
              <w:spacing w:line="24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备注：提供项目重点难点分析、应对措施及相关的合理化建议，格式自拟。</w:t>
            </w:r>
          </w:p>
        </w:tc>
        <w:tc>
          <w:tcPr>
            <w:tcW w:w="1091" w:type="dxa"/>
            <w:tcBorders>
              <w:top w:val="single" w:color="auto" w:sz="6" w:space="0"/>
              <w:left w:val="single" w:color="auto" w:sz="6" w:space="0"/>
              <w:bottom w:val="single" w:color="auto" w:sz="6" w:space="0"/>
              <w:right w:val="single" w:color="auto" w:sz="6" w:space="0"/>
            </w:tcBorders>
            <w:vAlign w:val="center"/>
          </w:tcPr>
          <w:p w14:paraId="4E971EDD">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996" w:type="dxa"/>
            <w:tcBorders>
              <w:top w:val="single" w:color="auto" w:sz="6" w:space="0"/>
              <w:left w:val="single" w:color="auto" w:sz="6" w:space="0"/>
              <w:bottom w:val="single" w:color="auto" w:sz="6" w:space="0"/>
              <w:right w:val="single" w:color="auto" w:sz="12" w:space="0"/>
            </w:tcBorders>
            <w:vAlign w:val="center"/>
          </w:tcPr>
          <w:p w14:paraId="545B9D78">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r>
      <w:tr w14:paraId="68B8D5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3" w:type="dxa"/>
            <w:tcBorders>
              <w:top w:val="single" w:color="auto" w:sz="6" w:space="0"/>
              <w:left w:val="single" w:color="auto" w:sz="12" w:space="0"/>
              <w:bottom w:val="single" w:color="auto" w:sz="6" w:space="0"/>
              <w:right w:val="single" w:color="auto" w:sz="6" w:space="0"/>
            </w:tcBorders>
            <w:vAlign w:val="center"/>
          </w:tcPr>
          <w:p w14:paraId="460D91FE">
            <w:pPr>
              <w:numPr>
                <w:ilvl w:val="0"/>
                <w:numId w:val="80"/>
              </w:numPr>
              <w:snapToGrid w:val="0"/>
              <w:spacing w:line="240" w:lineRule="auto"/>
              <w:ind w:left="425" w:leftChars="0" w:hanging="425" w:firstLineChars="0"/>
              <w:jc w:val="center"/>
              <w:rPr>
                <w:rFonts w:hint="eastAsia" w:asciiTheme="minorEastAsia" w:hAnsiTheme="minorEastAsia" w:eastAsiaTheme="minorEastAsia" w:cstheme="minorEastAsia"/>
                <w:bCs/>
                <w:color w:val="auto"/>
                <w:sz w:val="21"/>
                <w:szCs w:val="21"/>
                <w:highlight w:val="none"/>
              </w:rPr>
            </w:pPr>
          </w:p>
        </w:tc>
        <w:tc>
          <w:tcPr>
            <w:tcW w:w="1305" w:type="dxa"/>
            <w:tcBorders>
              <w:top w:val="single" w:color="auto" w:sz="6" w:space="0"/>
              <w:left w:val="single" w:color="auto" w:sz="6" w:space="0"/>
              <w:bottom w:val="single" w:color="auto" w:sz="6" w:space="0"/>
              <w:right w:val="single" w:color="auto" w:sz="6" w:space="0"/>
            </w:tcBorders>
            <w:vAlign w:val="center"/>
          </w:tcPr>
          <w:p w14:paraId="39A7BB1F">
            <w:pPr>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实施方案</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一</w:t>
            </w:r>
            <w:r>
              <w:rPr>
                <w:rFonts w:hint="eastAsia" w:asciiTheme="minorEastAsia" w:hAnsiTheme="minorEastAsia" w:eastAsiaTheme="minorEastAsia" w:cstheme="minorEastAsia"/>
                <w:bCs/>
                <w:color w:val="auto"/>
                <w:sz w:val="21"/>
                <w:szCs w:val="21"/>
                <w:highlight w:val="none"/>
                <w:lang w:eastAsia="zh-CN"/>
              </w:rPr>
              <w:t>）</w:t>
            </w:r>
          </w:p>
        </w:tc>
        <w:tc>
          <w:tcPr>
            <w:tcW w:w="4718" w:type="dxa"/>
            <w:tcBorders>
              <w:top w:val="single" w:color="auto" w:sz="6" w:space="0"/>
              <w:left w:val="single" w:color="auto" w:sz="6" w:space="0"/>
              <w:bottom w:val="single" w:color="auto" w:sz="6" w:space="0"/>
              <w:right w:val="single" w:color="auto" w:sz="6" w:space="0"/>
            </w:tcBorders>
            <w:vAlign w:val="center"/>
          </w:tcPr>
          <w:p w14:paraId="17DE9CF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根据响应供应商提供的实施方案进行评审：</w:t>
            </w:r>
          </w:p>
          <w:p w14:paraId="7B20D958">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实施方案中包括但不限于以下内容，每满足1项得2分。本小项最高得6分。</w:t>
            </w:r>
          </w:p>
          <w:p w14:paraId="0A9CB706">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1.人员安排；</w:t>
            </w:r>
          </w:p>
          <w:p w14:paraId="36FC80E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2.项目管理；</w:t>
            </w:r>
          </w:p>
          <w:p w14:paraId="249895F7">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3.服务响应。</w:t>
            </w:r>
          </w:p>
          <w:p w14:paraId="2193D65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备注：提供实施方案，格式自拟。</w:t>
            </w:r>
          </w:p>
        </w:tc>
        <w:tc>
          <w:tcPr>
            <w:tcW w:w="1091" w:type="dxa"/>
            <w:tcBorders>
              <w:top w:val="single" w:color="auto" w:sz="6" w:space="0"/>
              <w:left w:val="single" w:color="auto" w:sz="6" w:space="0"/>
              <w:bottom w:val="single" w:color="auto" w:sz="6" w:space="0"/>
              <w:right w:val="single" w:color="auto" w:sz="6" w:space="0"/>
            </w:tcBorders>
            <w:vAlign w:val="center"/>
          </w:tcPr>
          <w:p w14:paraId="5754FD1F">
            <w:pPr>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996" w:type="dxa"/>
            <w:tcBorders>
              <w:top w:val="single" w:color="auto" w:sz="6" w:space="0"/>
              <w:left w:val="single" w:color="auto" w:sz="6" w:space="0"/>
              <w:bottom w:val="single" w:color="auto" w:sz="6" w:space="0"/>
              <w:right w:val="single" w:color="auto" w:sz="12" w:space="0"/>
            </w:tcBorders>
            <w:vAlign w:val="center"/>
          </w:tcPr>
          <w:p w14:paraId="78AB7F44">
            <w:pPr>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p>
        </w:tc>
      </w:tr>
      <w:tr w14:paraId="420E8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3" w:type="dxa"/>
            <w:tcBorders>
              <w:top w:val="single" w:color="auto" w:sz="6" w:space="0"/>
              <w:left w:val="single" w:color="auto" w:sz="12" w:space="0"/>
              <w:bottom w:val="single" w:color="auto" w:sz="6" w:space="0"/>
              <w:right w:val="single" w:color="auto" w:sz="6" w:space="0"/>
            </w:tcBorders>
            <w:vAlign w:val="center"/>
          </w:tcPr>
          <w:p w14:paraId="4204E79C">
            <w:pPr>
              <w:numPr>
                <w:ilvl w:val="0"/>
                <w:numId w:val="80"/>
              </w:numPr>
              <w:snapToGrid w:val="0"/>
              <w:spacing w:line="240" w:lineRule="auto"/>
              <w:ind w:left="425" w:leftChars="0" w:hanging="425" w:firstLineChars="0"/>
              <w:jc w:val="center"/>
              <w:rPr>
                <w:rFonts w:hint="default" w:asciiTheme="minorEastAsia" w:hAnsiTheme="minorEastAsia" w:eastAsiaTheme="minorEastAsia" w:cstheme="minorEastAsia"/>
                <w:bCs/>
                <w:color w:val="auto"/>
                <w:sz w:val="21"/>
                <w:szCs w:val="21"/>
                <w:highlight w:val="none"/>
                <w:lang w:val="en-US" w:eastAsia="zh-CN"/>
              </w:rPr>
            </w:pPr>
          </w:p>
        </w:tc>
        <w:tc>
          <w:tcPr>
            <w:tcW w:w="1305" w:type="dxa"/>
            <w:tcBorders>
              <w:top w:val="single" w:color="auto" w:sz="6" w:space="0"/>
              <w:left w:val="single" w:color="auto" w:sz="6" w:space="0"/>
              <w:bottom w:val="single" w:color="auto" w:sz="6" w:space="0"/>
              <w:right w:val="single" w:color="auto" w:sz="6" w:space="0"/>
            </w:tcBorders>
            <w:vAlign w:val="center"/>
          </w:tcPr>
          <w:p w14:paraId="02EE6FDC">
            <w:pPr>
              <w:snapToGrid w:val="0"/>
              <w:spacing w:line="240" w:lineRule="auto"/>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实施方案</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二</w:t>
            </w:r>
            <w:r>
              <w:rPr>
                <w:rFonts w:hint="eastAsia" w:asciiTheme="minorEastAsia" w:hAnsiTheme="minorEastAsia" w:eastAsiaTheme="minorEastAsia" w:cstheme="minorEastAsia"/>
                <w:bCs/>
                <w:color w:val="auto"/>
                <w:sz w:val="21"/>
                <w:szCs w:val="21"/>
                <w:highlight w:val="none"/>
                <w:lang w:eastAsia="zh-CN"/>
              </w:rPr>
              <w:t>）</w:t>
            </w:r>
          </w:p>
        </w:tc>
        <w:tc>
          <w:tcPr>
            <w:tcW w:w="4718" w:type="dxa"/>
            <w:tcBorders>
              <w:top w:val="single" w:color="auto" w:sz="6" w:space="0"/>
              <w:left w:val="single" w:color="auto" w:sz="6" w:space="0"/>
              <w:bottom w:val="single" w:color="auto" w:sz="6" w:space="0"/>
              <w:right w:val="single" w:color="auto" w:sz="6" w:space="0"/>
            </w:tcBorders>
            <w:vAlign w:val="center"/>
          </w:tcPr>
          <w:p w14:paraId="75C8F221">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实施方案</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一</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的基础上，根据各供应商的相关方案进一步评审加分，本小项最高得4分。</w:t>
            </w:r>
          </w:p>
          <w:p w14:paraId="5F49B60D">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项目整体实施方案完整、需求对应清晰，方案合理可行，满足服务要求，符合采购人业务使用特性，得4分；</w:t>
            </w:r>
          </w:p>
          <w:p w14:paraId="2A3999DC">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项目整体实施方案完整、需求对应比较清晰，方案比较合理可行，可以满足服务要求，得3分；</w:t>
            </w:r>
          </w:p>
          <w:p w14:paraId="46E55D97">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项目整体实施方案基本完整、需求对应基本清晰，方案基本合理可行，基本满足服务要求，得2分；</w:t>
            </w:r>
          </w:p>
          <w:p w14:paraId="4960BADB">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项目整体实施方案及需求对应不清晰，方案不完整，不能满足服务需要，不得分。</w:t>
            </w:r>
          </w:p>
          <w:p w14:paraId="09117BBC">
            <w:pPr>
              <w:spacing w:line="240" w:lineRule="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备注：提供实施方案，格式自拟。</w:t>
            </w:r>
          </w:p>
        </w:tc>
        <w:tc>
          <w:tcPr>
            <w:tcW w:w="1091" w:type="dxa"/>
            <w:tcBorders>
              <w:top w:val="single" w:color="auto" w:sz="6" w:space="0"/>
              <w:left w:val="single" w:color="auto" w:sz="6" w:space="0"/>
              <w:bottom w:val="single" w:color="auto" w:sz="6" w:space="0"/>
              <w:right w:val="single" w:color="auto" w:sz="6" w:space="0"/>
            </w:tcBorders>
            <w:vAlign w:val="center"/>
          </w:tcPr>
          <w:p w14:paraId="5EBC8BB4">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996" w:type="dxa"/>
            <w:tcBorders>
              <w:top w:val="single" w:color="auto" w:sz="6" w:space="0"/>
              <w:left w:val="single" w:color="auto" w:sz="6" w:space="0"/>
              <w:bottom w:val="single" w:color="auto" w:sz="6" w:space="0"/>
              <w:right w:val="single" w:color="auto" w:sz="12" w:space="0"/>
            </w:tcBorders>
            <w:vAlign w:val="center"/>
          </w:tcPr>
          <w:p w14:paraId="4A903DF2">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r>
      <w:tr w14:paraId="7D660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3" w:type="dxa"/>
            <w:tcBorders>
              <w:top w:val="single" w:color="auto" w:sz="6" w:space="0"/>
              <w:left w:val="single" w:color="auto" w:sz="12" w:space="0"/>
              <w:bottom w:val="single" w:color="auto" w:sz="6" w:space="0"/>
              <w:right w:val="single" w:color="auto" w:sz="6" w:space="0"/>
            </w:tcBorders>
            <w:vAlign w:val="center"/>
          </w:tcPr>
          <w:p w14:paraId="71CD54C2">
            <w:pPr>
              <w:numPr>
                <w:ilvl w:val="0"/>
                <w:numId w:val="80"/>
              </w:numPr>
              <w:snapToGrid w:val="0"/>
              <w:spacing w:line="240" w:lineRule="auto"/>
              <w:ind w:left="425" w:leftChars="0" w:hanging="425" w:firstLineChars="0"/>
              <w:jc w:val="center"/>
              <w:rPr>
                <w:rFonts w:hint="default" w:asciiTheme="minorEastAsia" w:hAnsiTheme="minorEastAsia" w:eastAsiaTheme="minorEastAsia" w:cstheme="minorEastAsia"/>
                <w:bCs/>
                <w:color w:val="auto"/>
                <w:sz w:val="21"/>
                <w:szCs w:val="21"/>
                <w:highlight w:val="none"/>
                <w:lang w:val="en-US" w:eastAsia="zh-CN"/>
              </w:rPr>
            </w:pPr>
          </w:p>
        </w:tc>
        <w:tc>
          <w:tcPr>
            <w:tcW w:w="1305" w:type="dxa"/>
            <w:tcBorders>
              <w:top w:val="single" w:color="auto" w:sz="6" w:space="0"/>
              <w:left w:val="single" w:color="auto" w:sz="6" w:space="0"/>
              <w:bottom w:val="single" w:color="auto" w:sz="6" w:space="0"/>
              <w:right w:val="single" w:color="auto" w:sz="6" w:space="0"/>
            </w:tcBorders>
            <w:vAlign w:val="center"/>
          </w:tcPr>
          <w:p w14:paraId="7EF18252">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售后服务方案</w:t>
            </w:r>
          </w:p>
        </w:tc>
        <w:tc>
          <w:tcPr>
            <w:tcW w:w="4718" w:type="dxa"/>
            <w:tcBorders>
              <w:top w:val="single" w:color="auto" w:sz="6" w:space="0"/>
              <w:left w:val="single" w:color="auto" w:sz="6" w:space="0"/>
              <w:bottom w:val="single" w:color="auto" w:sz="6" w:space="0"/>
              <w:right w:val="single" w:color="auto" w:sz="6" w:space="0"/>
            </w:tcBorders>
            <w:vAlign w:val="center"/>
          </w:tcPr>
          <w:p w14:paraId="2E52A542">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根据响应供应商提供的售后服务方案进行评审：</w:t>
            </w:r>
          </w:p>
          <w:p w14:paraId="76C8F234">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 xml:space="preserve">售后服务方案详细具体，完全适用本项目需求，得5分； </w:t>
            </w:r>
          </w:p>
          <w:p w14:paraId="5B73F0C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售后服务方案较详细，可操作性一般，基本适用本项目需求，得3分；</w:t>
            </w:r>
          </w:p>
          <w:p w14:paraId="7656CD47">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 xml:space="preserve">售后服务方案不详细、不全面，不满足项目需求，得1分； </w:t>
            </w:r>
          </w:p>
          <w:p w14:paraId="087E437E">
            <w:pPr>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不提供售后服务方案的不得分。</w:t>
            </w:r>
          </w:p>
          <w:p w14:paraId="5CED3986">
            <w:pPr>
              <w:pStyle w:val="45"/>
              <w:spacing w:line="240" w:lineRule="auto"/>
              <w:ind w:left="0" w:leftChars="0" w:firstLine="0" w:firstLine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备注：提供售后服务方案，格式自拟。</w:t>
            </w:r>
          </w:p>
        </w:tc>
        <w:tc>
          <w:tcPr>
            <w:tcW w:w="1091" w:type="dxa"/>
            <w:tcBorders>
              <w:top w:val="single" w:color="auto" w:sz="6" w:space="0"/>
              <w:left w:val="single" w:color="auto" w:sz="6" w:space="0"/>
              <w:bottom w:val="single" w:color="auto" w:sz="6" w:space="0"/>
              <w:right w:val="single" w:color="auto" w:sz="6" w:space="0"/>
            </w:tcBorders>
            <w:vAlign w:val="center"/>
          </w:tcPr>
          <w:p w14:paraId="4204EC27">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996" w:type="dxa"/>
            <w:tcBorders>
              <w:top w:val="single" w:color="auto" w:sz="6" w:space="0"/>
              <w:left w:val="single" w:color="auto" w:sz="6" w:space="0"/>
              <w:bottom w:val="single" w:color="auto" w:sz="6" w:space="0"/>
              <w:right w:val="single" w:color="auto" w:sz="12" w:space="0"/>
            </w:tcBorders>
            <w:vAlign w:val="center"/>
          </w:tcPr>
          <w:p w14:paraId="4BA0FD40">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r>
      <w:tr w14:paraId="07FC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8813" w:type="dxa"/>
            <w:gridSpan w:val="5"/>
            <w:tcBorders>
              <w:top w:val="single" w:color="auto" w:sz="6" w:space="0"/>
              <w:left w:val="single" w:color="auto" w:sz="12" w:space="0"/>
              <w:bottom w:val="single" w:color="auto" w:sz="6" w:space="0"/>
              <w:right w:val="single" w:color="auto" w:sz="12" w:space="0"/>
            </w:tcBorders>
            <w:vAlign w:val="center"/>
          </w:tcPr>
          <w:p w14:paraId="122B7E7C">
            <w:pPr>
              <w:snapToGrid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商务部分（合计25分）</w:t>
            </w:r>
          </w:p>
        </w:tc>
      </w:tr>
      <w:tr w14:paraId="3F03D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03" w:type="dxa"/>
            <w:tcBorders>
              <w:top w:val="single" w:color="auto" w:sz="6" w:space="0"/>
              <w:left w:val="single" w:color="auto" w:sz="12" w:space="0"/>
              <w:bottom w:val="single" w:color="auto" w:sz="6" w:space="0"/>
              <w:right w:val="single" w:color="auto" w:sz="6" w:space="0"/>
            </w:tcBorders>
            <w:vAlign w:val="center"/>
          </w:tcPr>
          <w:p w14:paraId="43B29D79">
            <w:pPr>
              <w:numPr>
                <w:ilvl w:val="0"/>
                <w:numId w:val="81"/>
              </w:numPr>
              <w:snapToGrid w:val="0"/>
              <w:spacing w:line="240" w:lineRule="auto"/>
              <w:ind w:left="425" w:leftChars="0" w:hanging="425" w:firstLineChars="0"/>
              <w:jc w:val="center"/>
              <w:rPr>
                <w:rFonts w:hint="eastAsia" w:asciiTheme="minorEastAsia" w:hAnsiTheme="minorEastAsia" w:eastAsiaTheme="minorEastAsia" w:cstheme="minorEastAsia"/>
                <w:bCs/>
                <w:color w:val="auto"/>
                <w:sz w:val="21"/>
                <w:szCs w:val="21"/>
                <w:highlight w:val="none"/>
                <w:lang w:val="en-US" w:eastAsia="zh-CN"/>
              </w:rPr>
            </w:pPr>
          </w:p>
        </w:tc>
        <w:tc>
          <w:tcPr>
            <w:tcW w:w="1305" w:type="dxa"/>
            <w:tcBorders>
              <w:top w:val="single" w:color="auto" w:sz="6" w:space="0"/>
              <w:left w:val="single" w:color="auto" w:sz="6" w:space="0"/>
              <w:bottom w:val="single" w:color="auto" w:sz="6" w:space="0"/>
              <w:right w:val="single" w:color="auto" w:sz="6" w:space="0"/>
            </w:tcBorders>
            <w:vAlign w:val="center"/>
          </w:tcPr>
          <w:p w14:paraId="571E8F97">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同类项目业绩</w:t>
            </w:r>
          </w:p>
        </w:tc>
        <w:tc>
          <w:tcPr>
            <w:tcW w:w="4718" w:type="dxa"/>
            <w:tcBorders>
              <w:top w:val="single" w:color="auto" w:sz="6" w:space="0"/>
              <w:left w:val="single" w:color="auto" w:sz="6" w:space="0"/>
              <w:bottom w:val="single" w:color="auto" w:sz="6" w:space="0"/>
              <w:right w:val="single" w:color="auto" w:sz="6" w:space="0"/>
            </w:tcBorders>
            <w:vAlign w:val="center"/>
          </w:tcPr>
          <w:p w14:paraId="5B9E4445">
            <w:pPr>
              <w:spacing w:line="24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参选人2022年1月1日至今具有的同类项目业绩，以合同签订时间为准具有的同类项目业绩，以合同签订时间为准，每提供1个得</w:t>
            </w:r>
            <w:r>
              <w:rPr>
                <w:rFonts w:hint="eastAsia" w:asciiTheme="minorEastAsia" w:hAnsiTheme="minorEastAsia" w:eastAsia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分，累计最高得</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分。</w:t>
            </w:r>
          </w:p>
          <w:p w14:paraId="2595D16D">
            <w:pPr>
              <w:spacing w:line="240" w:lineRule="auto"/>
              <w:ind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注：参选人需提供合同复印件关键页，包含项目名称、签订合同双方的单位名称、项目内容及含签订双方的落款盖章、签订日期等关键页），未提供或所提供文件资料无法辨识者不得分。</w:t>
            </w:r>
          </w:p>
        </w:tc>
        <w:tc>
          <w:tcPr>
            <w:tcW w:w="1091" w:type="dxa"/>
            <w:tcBorders>
              <w:top w:val="single" w:color="auto" w:sz="6" w:space="0"/>
              <w:left w:val="single" w:color="auto" w:sz="6" w:space="0"/>
              <w:bottom w:val="single" w:color="auto" w:sz="6" w:space="0"/>
              <w:right w:val="single" w:color="auto" w:sz="6" w:space="0"/>
            </w:tcBorders>
            <w:vAlign w:val="center"/>
          </w:tcPr>
          <w:p w14:paraId="6AA2BC1D">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996" w:type="dxa"/>
            <w:tcBorders>
              <w:top w:val="single" w:color="auto" w:sz="6" w:space="0"/>
              <w:left w:val="single" w:color="auto" w:sz="6" w:space="0"/>
              <w:bottom w:val="single" w:color="auto" w:sz="6" w:space="0"/>
              <w:right w:val="single" w:color="auto" w:sz="12" w:space="0"/>
            </w:tcBorders>
            <w:vAlign w:val="center"/>
          </w:tcPr>
          <w:p w14:paraId="1FA16A43">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r>
      <w:tr w14:paraId="398A7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4" w:hRule="atLeast"/>
          <w:jc w:val="center"/>
        </w:trPr>
        <w:tc>
          <w:tcPr>
            <w:tcW w:w="703" w:type="dxa"/>
            <w:tcBorders>
              <w:top w:val="single" w:color="auto" w:sz="6" w:space="0"/>
              <w:left w:val="single" w:color="auto" w:sz="12" w:space="0"/>
              <w:bottom w:val="single" w:color="auto" w:sz="6" w:space="0"/>
              <w:right w:val="single" w:color="auto" w:sz="6" w:space="0"/>
            </w:tcBorders>
            <w:vAlign w:val="center"/>
          </w:tcPr>
          <w:p w14:paraId="6DBFA354">
            <w:pPr>
              <w:numPr>
                <w:ilvl w:val="0"/>
                <w:numId w:val="81"/>
              </w:numPr>
              <w:snapToGrid w:val="0"/>
              <w:spacing w:line="240" w:lineRule="auto"/>
              <w:ind w:left="425" w:leftChars="0" w:hanging="425" w:firstLineChars="0"/>
              <w:jc w:val="center"/>
              <w:rPr>
                <w:rFonts w:hint="eastAsia" w:asciiTheme="minorEastAsia" w:hAnsiTheme="minorEastAsia" w:eastAsiaTheme="minorEastAsia" w:cstheme="minorEastAsia"/>
                <w:bCs/>
                <w:color w:val="auto"/>
                <w:sz w:val="21"/>
                <w:szCs w:val="21"/>
                <w:highlight w:val="none"/>
                <w:lang w:val="en-US" w:eastAsia="zh-CN"/>
              </w:rPr>
            </w:pPr>
          </w:p>
        </w:tc>
        <w:tc>
          <w:tcPr>
            <w:tcW w:w="1305" w:type="dxa"/>
            <w:tcBorders>
              <w:top w:val="single" w:color="auto" w:sz="6" w:space="0"/>
              <w:left w:val="single" w:color="auto" w:sz="6" w:space="0"/>
              <w:bottom w:val="single" w:color="auto" w:sz="6" w:space="0"/>
              <w:right w:val="single" w:color="auto" w:sz="6" w:space="0"/>
            </w:tcBorders>
            <w:vAlign w:val="center"/>
          </w:tcPr>
          <w:p w14:paraId="1CA2B0EF">
            <w:pPr>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拟派项目 经理资质要求</w:t>
            </w:r>
          </w:p>
        </w:tc>
        <w:tc>
          <w:tcPr>
            <w:tcW w:w="4718" w:type="dxa"/>
            <w:tcBorders>
              <w:top w:val="single" w:color="auto" w:sz="6" w:space="0"/>
              <w:left w:val="single" w:color="auto" w:sz="6" w:space="0"/>
              <w:bottom w:val="single" w:color="auto" w:sz="6" w:space="0"/>
              <w:right w:val="single" w:color="auto" w:sz="6" w:space="0"/>
            </w:tcBorders>
            <w:vAlign w:val="center"/>
          </w:tcPr>
          <w:p w14:paraId="301FBDF7">
            <w:pPr>
              <w:snapToGrid w:val="0"/>
              <w:spacing w:line="24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项目经理具备有效期内的以下证书： </w:t>
            </w:r>
          </w:p>
          <w:p w14:paraId="7D9EEFB2">
            <w:pPr>
              <w:snapToGrid w:val="0"/>
              <w:spacing w:line="240" w:lineRule="auto"/>
              <w:ind w:firstLine="420" w:firstLineChars="200"/>
              <w:jc w:val="left"/>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1、具有本科或以上学历</w:t>
            </w:r>
            <w:r>
              <w:rPr>
                <w:rFonts w:hint="eastAsia" w:asciiTheme="minorEastAsia" w:hAnsiTheme="minorEastAsia" w:eastAsiaTheme="minorEastAsia" w:cstheme="minorEastAsia"/>
                <w:color w:val="auto"/>
                <w:kern w:val="0"/>
                <w:sz w:val="21"/>
                <w:szCs w:val="21"/>
                <w:highlight w:val="none"/>
                <w:lang w:eastAsia="zh-CN"/>
              </w:rPr>
              <w:t>；</w:t>
            </w:r>
          </w:p>
          <w:p w14:paraId="700FBECE">
            <w:pPr>
              <w:snapToGrid w:val="0"/>
              <w:spacing w:line="240" w:lineRule="auto"/>
              <w:ind w:firstLine="420" w:firstLineChars="200"/>
              <w:jc w:val="left"/>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rPr>
              <w:t>2</w:t>
            </w:r>
            <w:r>
              <w:rPr>
                <w:rFonts w:hint="eastAsia" w:asciiTheme="minorEastAsia" w:hAnsiTheme="minorEastAsia" w:eastAsiaTheme="minorEastAsia" w:cstheme="minorEastAsia"/>
                <w:b w:val="0"/>
                <w:bCs w:val="0"/>
                <w:color w:val="auto"/>
                <w:kern w:val="0"/>
                <w:sz w:val="21"/>
                <w:szCs w:val="21"/>
                <w:highlight w:val="none"/>
              </w:rPr>
              <w:t>、具有信息系统项目管理师证书；</w:t>
            </w:r>
          </w:p>
          <w:p w14:paraId="72BE727F">
            <w:pPr>
              <w:snapToGrid w:val="0"/>
              <w:spacing w:line="240" w:lineRule="auto"/>
              <w:ind w:firstLine="420" w:firstLineChars="200"/>
              <w:jc w:val="left"/>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lang w:val="en-US" w:eastAsia="zh-CN"/>
              </w:rPr>
              <w:t>3</w:t>
            </w:r>
            <w:r>
              <w:rPr>
                <w:rFonts w:hint="eastAsia" w:asciiTheme="minorEastAsia" w:hAnsiTheme="minorEastAsia" w:eastAsiaTheme="minorEastAsia" w:cstheme="minorEastAsia"/>
                <w:b w:val="0"/>
                <w:bCs w:val="0"/>
                <w:color w:val="auto"/>
                <w:kern w:val="0"/>
                <w:sz w:val="21"/>
                <w:szCs w:val="21"/>
                <w:highlight w:val="none"/>
              </w:rPr>
              <w:t>、具有网络工程师证书；</w:t>
            </w:r>
          </w:p>
          <w:p w14:paraId="545684E7">
            <w:pPr>
              <w:snapToGrid w:val="0"/>
              <w:spacing w:line="24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提供证书复印件</w:t>
            </w:r>
            <w:r>
              <w:rPr>
                <w:rFonts w:hint="eastAsia" w:asciiTheme="minorEastAsia" w:hAnsiTheme="minorEastAsia" w:eastAsiaTheme="minorEastAsia" w:cstheme="minorEastAsia"/>
                <w:b w:val="0"/>
                <w:bCs w:val="0"/>
                <w:color w:val="auto"/>
                <w:kern w:val="0"/>
                <w:sz w:val="21"/>
                <w:szCs w:val="21"/>
                <w:highlight w:val="none"/>
                <w:lang w:val="en-US" w:eastAsia="zh-CN"/>
              </w:rPr>
              <w:t>,</w:t>
            </w:r>
            <w:r>
              <w:rPr>
                <w:rFonts w:hint="eastAsia" w:asciiTheme="minorEastAsia" w:hAnsiTheme="minorEastAsia" w:eastAsiaTheme="minorEastAsia" w:cstheme="minorEastAsia"/>
                <w:b w:val="0"/>
                <w:bCs w:val="0"/>
                <w:color w:val="auto"/>
                <w:kern w:val="0"/>
                <w:sz w:val="21"/>
                <w:szCs w:val="21"/>
                <w:highlight w:val="none"/>
              </w:rPr>
              <w:t>每提供以上一个资质证书得</w:t>
            </w:r>
            <w:r>
              <w:rPr>
                <w:rFonts w:hint="eastAsia" w:asciiTheme="minorEastAsia" w:hAnsiTheme="minorEastAsia" w:eastAsiaTheme="minorEastAsia" w:cstheme="minorEastAsia"/>
                <w:b w:val="0"/>
                <w:bCs w:val="0"/>
                <w:color w:val="auto"/>
                <w:kern w:val="0"/>
                <w:sz w:val="21"/>
                <w:szCs w:val="21"/>
                <w:highlight w:val="none"/>
                <w:lang w:val="en-US" w:eastAsia="zh-CN"/>
              </w:rPr>
              <w:t>2</w:t>
            </w:r>
            <w:r>
              <w:rPr>
                <w:rFonts w:hint="eastAsia" w:asciiTheme="minorEastAsia" w:hAnsiTheme="minorEastAsia" w:eastAsiaTheme="minorEastAsia" w:cstheme="minorEastAsia"/>
                <w:b w:val="0"/>
                <w:bCs w:val="0"/>
                <w:color w:val="auto"/>
                <w:kern w:val="0"/>
                <w:sz w:val="21"/>
                <w:szCs w:val="21"/>
                <w:highlight w:val="none"/>
              </w:rPr>
              <w:t>分，本项最高得</w:t>
            </w:r>
            <w:r>
              <w:rPr>
                <w:rFonts w:hint="eastAsia" w:asciiTheme="minorEastAsia" w:hAnsiTheme="minorEastAsia" w:eastAsiaTheme="minorEastAsia" w:cstheme="minorEastAsia"/>
                <w:b w:val="0"/>
                <w:bCs w:val="0"/>
                <w:color w:val="auto"/>
                <w:kern w:val="0"/>
                <w:sz w:val="21"/>
                <w:szCs w:val="21"/>
                <w:highlight w:val="none"/>
                <w:lang w:val="en-US" w:eastAsia="zh-CN"/>
              </w:rPr>
              <w:t>6</w:t>
            </w:r>
            <w:r>
              <w:rPr>
                <w:rFonts w:hint="eastAsia" w:asciiTheme="minorEastAsia" w:hAnsiTheme="minorEastAsia" w:eastAsiaTheme="minorEastAsia" w:cstheme="minorEastAsia"/>
                <w:b w:val="0"/>
                <w:bCs w:val="0"/>
                <w:color w:val="auto"/>
                <w:kern w:val="0"/>
                <w:sz w:val="21"/>
                <w:szCs w:val="21"/>
                <w:highlight w:val="none"/>
              </w:rPr>
              <w:t>分</w:t>
            </w:r>
            <w:r>
              <w:rPr>
                <w:rFonts w:hint="eastAsia" w:asciiTheme="minorEastAsia" w:hAnsiTheme="minorEastAsia" w:eastAsiaTheme="minorEastAsia" w:cstheme="minorEastAsia"/>
                <w:color w:val="auto"/>
                <w:kern w:val="0"/>
                <w:sz w:val="21"/>
                <w:szCs w:val="21"/>
                <w:highlight w:val="none"/>
              </w:rPr>
              <w:t>。</w:t>
            </w:r>
          </w:p>
          <w:p w14:paraId="0170EB78">
            <w:pPr>
              <w:snapToGrid w:val="0"/>
              <w:spacing w:line="240" w:lineRule="auto"/>
              <w:jc w:val="left"/>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val="en-US" w:eastAsia="zh-CN"/>
              </w:rPr>
              <w:t>备</w:t>
            </w:r>
            <w:r>
              <w:rPr>
                <w:rFonts w:hint="eastAsia" w:asciiTheme="minorEastAsia" w:hAnsiTheme="minorEastAsia" w:eastAsiaTheme="minorEastAsia" w:cstheme="minorEastAsia"/>
                <w:b/>
                <w:bCs/>
                <w:color w:val="auto"/>
                <w:kern w:val="0"/>
                <w:sz w:val="21"/>
                <w:szCs w:val="21"/>
                <w:highlight w:val="none"/>
              </w:rPr>
              <w:t>注：</w:t>
            </w:r>
            <w:r>
              <w:rPr>
                <w:rFonts w:hint="eastAsia" w:asciiTheme="minorEastAsia" w:hAnsiTheme="minorEastAsia" w:eastAsiaTheme="minorEastAsia" w:cstheme="minorEastAsia"/>
                <w:b/>
                <w:bCs/>
                <w:color w:val="auto"/>
                <w:kern w:val="0"/>
                <w:sz w:val="21"/>
                <w:szCs w:val="21"/>
                <w:highlight w:val="none"/>
                <w:lang w:val="en-US" w:eastAsia="zh-CN"/>
              </w:rPr>
              <w:t>提供</w:t>
            </w:r>
            <w:r>
              <w:rPr>
                <w:rFonts w:hint="eastAsia" w:asciiTheme="minorEastAsia" w:hAnsiTheme="minorEastAsia" w:eastAsiaTheme="minorEastAsia" w:cstheme="minorEastAsia"/>
                <w:b/>
                <w:bCs/>
                <w:color w:val="auto"/>
                <w:kern w:val="0"/>
                <w:sz w:val="21"/>
                <w:szCs w:val="21"/>
                <w:highlight w:val="none"/>
              </w:rPr>
              <w:t>①</w:t>
            </w:r>
            <w:r>
              <w:rPr>
                <w:rFonts w:hint="eastAsia" w:asciiTheme="minorEastAsia" w:hAnsiTheme="minorEastAsia" w:eastAsiaTheme="minorEastAsia" w:cstheme="minorEastAsia"/>
                <w:b/>
                <w:bCs/>
                <w:color w:val="auto"/>
                <w:kern w:val="0"/>
                <w:sz w:val="21"/>
                <w:szCs w:val="21"/>
                <w:highlight w:val="none"/>
                <w:lang w:eastAsia="zh-CN"/>
              </w:rPr>
              <w:t>《拟派本项目人员情况一览表》、</w:t>
            </w:r>
            <w:r>
              <w:rPr>
                <w:rFonts w:hint="eastAsia" w:asciiTheme="minorEastAsia" w:hAnsiTheme="minorEastAsia" w:eastAsiaTheme="minorEastAsia" w:cstheme="minorEastAsia"/>
                <w:b/>
                <w:bCs/>
                <w:color w:val="auto"/>
                <w:kern w:val="0"/>
                <w:sz w:val="21"/>
                <w:szCs w:val="21"/>
                <w:highlight w:val="none"/>
                <w:lang w:val="en-US" w:eastAsia="zh-CN"/>
              </w:rPr>
              <w:t>②身份证、③</w:t>
            </w:r>
            <w:r>
              <w:rPr>
                <w:rFonts w:hint="eastAsia" w:asciiTheme="minorEastAsia" w:hAnsiTheme="minorEastAsia" w:eastAsiaTheme="minorEastAsia" w:cstheme="minorEastAsia"/>
                <w:b/>
                <w:bCs/>
                <w:color w:val="auto"/>
                <w:kern w:val="0"/>
                <w:sz w:val="21"/>
                <w:szCs w:val="21"/>
                <w:highlight w:val="none"/>
              </w:rPr>
              <w:t>相应的资质证书复印件、</w:t>
            </w:r>
            <w:r>
              <w:rPr>
                <w:rFonts w:hint="eastAsia" w:asciiTheme="minorEastAsia" w:hAnsiTheme="minorEastAsia" w:eastAsiaTheme="minorEastAsia" w:cstheme="minorEastAsia"/>
                <w:b/>
                <w:bCs/>
                <w:color w:val="auto"/>
                <w:kern w:val="0"/>
                <w:sz w:val="21"/>
                <w:szCs w:val="21"/>
                <w:highlight w:val="none"/>
                <w:lang w:val="en-US" w:eastAsia="zh-CN"/>
              </w:rPr>
              <w:t>④</w:t>
            </w:r>
            <w:r>
              <w:rPr>
                <w:rFonts w:hint="eastAsia" w:asciiTheme="minorEastAsia" w:hAnsiTheme="minorEastAsia" w:eastAsiaTheme="minorEastAsia" w:cstheme="minorEastAsia"/>
                <w:b/>
                <w:bCs/>
                <w:color w:val="auto"/>
                <w:kern w:val="0"/>
                <w:sz w:val="21"/>
                <w:szCs w:val="21"/>
                <w:highlight w:val="none"/>
              </w:rPr>
              <w:t>本项目报价截止前相关政府部门出具的在参选人单位近半年内任意一个月购买的社会保险缴纳证明复印件</w:t>
            </w:r>
            <w:r>
              <w:rPr>
                <w:rFonts w:hint="eastAsia" w:asciiTheme="minorEastAsia" w:hAnsiTheme="minorEastAsia" w:eastAsiaTheme="minorEastAsia" w:cstheme="minorEastAsia"/>
                <w:b/>
                <w:bCs/>
                <w:color w:val="auto"/>
                <w:kern w:val="0"/>
                <w:sz w:val="21"/>
                <w:szCs w:val="21"/>
                <w:highlight w:val="none"/>
                <w:lang w:eastAsia="zh-CN"/>
              </w:rPr>
              <w:t>。</w:t>
            </w:r>
          </w:p>
        </w:tc>
        <w:tc>
          <w:tcPr>
            <w:tcW w:w="1091" w:type="dxa"/>
            <w:tcBorders>
              <w:top w:val="single" w:color="auto" w:sz="6" w:space="0"/>
              <w:left w:val="single" w:color="auto" w:sz="6" w:space="0"/>
              <w:bottom w:val="single" w:color="auto" w:sz="6" w:space="0"/>
              <w:right w:val="single" w:color="auto" w:sz="6" w:space="0"/>
            </w:tcBorders>
            <w:vAlign w:val="center"/>
          </w:tcPr>
          <w:p w14:paraId="0B270511">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996" w:type="dxa"/>
            <w:tcBorders>
              <w:top w:val="single" w:color="auto" w:sz="6" w:space="0"/>
              <w:left w:val="single" w:color="auto" w:sz="6" w:space="0"/>
              <w:bottom w:val="single" w:color="auto" w:sz="6" w:space="0"/>
              <w:right w:val="single" w:color="auto" w:sz="12" w:space="0"/>
            </w:tcBorders>
            <w:vAlign w:val="center"/>
          </w:tcPr>
          <w:p w14:paraId="17647E33">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r>
      <w:tr w14:paraId="0ACDB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3" w:type="dxa"/>
            <w:tcBorders>
              <w:top w:val="single" w:color="auto" w:sz="6" w:space="0"/>
              <w:left w:val="single" w:color="auto" w:sz="12" w:space="0"/>
              <w:bottom w:val="single" w:color="auto" w:sz="6" w:space="0"/>
              <w:right w:val="single" w:color="auto" w:sz="6" w:space="0"/>
            </w:tcBorders>
            <w:vAlign w:val="center"/>
          </w:tcPr>
          <w:p w14:paraId="6F7B22C7">
            <w:pPr>
              <w:numPr>
                <w:ilvl w:val="0"/>
                <w:numId w:val="81"/>
              </w:numPr>
              <w:snapToGrid w:val="0"/>
              <w:spacing w:line="240" w:lineRule="auto"/>
              <w:ind w:left="425" w:leftChars="0" w:hanging="425" w:firstLineChars="0"/>
              <w:jc w:val="center"/>
              <w:rPr>
                <w:rFonts w:hint="eastAsia" w:asciiTheme="minorEastAsia" w:hAnsiTheme="minorEastAsia" w:eastAsiaTheme="minorEastAsia" w:cstheme="minorEastAsia"/>
                <w:bCs/>
                <w:color w:val="auto"/>
                <w:sz w:val="21"/>
                <w:szCs w:val="21"/>
                <w:highlight w:val="none"/>
                <w:lang w:val="en-US" w:eastAsia="zh-CN"/>
              </w:rPr>
            </w:pPr>
          </w:p>
        </w:tc>
        <w:tc>
          <w:tcPr>
            <w:tcW w:w="1305" w:type="dxa"/>
            <w:tcBorders>
              <w:top w:val="single" w:color="auto" w:sz="6" w:space="0"/>
              <w:left w:val="single" w:color="auto" w:sz="6" w:space="0"/>
              <w:bottom w:val="single" w:color="auto" w:sz="6" w:space="0"/>
              <w:right w:val="single" w:color="auto" w:sz="6" w:space="0"/>
            </w:tcBorders>
            <w:vAlign w:val="center"/>
          </w:tcPr>
          <w:p w14:paraId="20461353">
            <w:pPr>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拟</w:t>
            </w:r>
            <w:r>
              <w:rPr>
                <w:rFonts w:hint="eastAsia" w:asciiTheme="minorEastAsia" w:hAnsiTheme="minorEastAsia" w:eastAsiaTheme="minorEastAsia" w:cstheme="minorEastAsia"/>
                <w:color w:val="auto"/>
                <w:sz w:val="21"/>
                <w:szCs w:val="21"/>
                <w:highlight w:val="none"/>
                <w:lang w:val="en-US" w:eastAsia="zh-CN"/>
              </w:rPr>
              <w:t>派</w:t>
            </w:r>
            <w:r>
              <w:rPr>
                <w:rFonts w:hint="eastAsia" w:asciiTheme="minorEastAsia" w:hAnsiTheme="minorEastAsia" w:eastAsiaTheme="minorEastAsia" w:cstheme="minorEastAsia"/>
                <w:color w:val="auto"/>
                <w:kern w:val="0"/>
                <w:sz w:val="21"/>
                <w:szCs w:val="21"/>
                <w:highlight w:val="none"/>
              </w:rPr>
              <w:t>技术成员</w:t>
            </w:r>
            <w:r>
              <w:rPr>
                <w:rFonts w:hint="eastAsia" w:asciiTheme="minorEastAsia" w:hAnsiTheme="minorEastAsia" w:eastAsiaTheme="minorEastAsia" w:cstheme="minorEastAsia"/>
                <w:color w:val="auto"/>
                <w:sz w:val="21"/>
                <w:szCs w:val="21"/>
                <w:highlight w:val="none"/>
              </w:rPr>
              <w:t>情况（项目经理除外）</w:t>
            </w:r>
          </w:p>
        </w:tc>
        <w:tc>
          <w:tcPr>
            <w:tcW w:w="4718" w:type="dxa"/>
            <w:tcBorders>
              <w:top w:val="single" w:color="auto" w:sz="6" w:space="0"/>
              <w:left w:val="single" w:color="auto" w:sz="6" w:space="0"/>
              <w:bottom w:val="single" w:color="auto" w:sz="6" w:space="0"/>
              <w:right w:val="single" w:color="auto" w:sz="6" w:space="0"/>
            </w:tcBorders>
            <w:vAlign w:val="center"/>
          </w:tcPr>
          <w:p w14:paraId="124E5DDD">
            <w:pPr>
              <w:snapToGrid w:val="0"/>
              <w:spacing w:line="24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技术成员（不含项目经理）具备有效期内的以下证书</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b/>
                <w:bCs/>
                <w:color w:val="auto"/>
                <w:kern w:val="0"/>
                <w:sz w:val="21"/>
                <w:szCs w:val="21"/>
                <w:highlight w:val="none"/>
                <w:lang w:val="en-US" w:eastAsia="zh-CN"/>
              </w:rPr>
              <w:t>同一个人符合以下内容不可累计得分</w:t>
            </w:r>
            <w:r>
              <w:rPr>
                <w:rFonts w:hint="eastAsia" w:asciiTheme="minorEastAsia" w:hAnsiTheme="minorEastAsia" w:eastAsiaTheme="minorEastAsia" w:cstheme="minorEastAsia"/>
                <w:color w:val="auto"/>
                <w:kern w:val="0"/>
                <w:sz w:val="21"/>
                <w:szCs w:val="21"/>
                <w:highlight w:val="none"/>
              </w:rPr>
              <w:t xml:space="preserve">： </w:t>
            </w:r>
          </w:p>
          <w:p w14:paraId="600A2FB3">
            <w:pPr>
              <w:snapToGrid w:val="0"/>
              <w:spacing w:line="24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1、具有</w:t>
            </w:r>
            <w:r>
              <w:rPr>
                <w:rFonts w:hint="eastAsia" w:asciiTheme="minorEastAsia" w:hAnsiTheme="minorEastAsia" w:eastAsiaTheme="minorEastAsia" w:cstheme="minorEastAsia"/>
                <w:color w:val="auto"/>
                <w:kern w:val="0"/>
                <w:sz w:val="21"/>
                <w:szCs w:val="21"/>
                <w:highlight w:val="none"/>
                <w:lang w:val="en-US" w:eastAsia="zh-CN"/>
              </w:rPr>
              <w:t>高级软件技术开发工程师</w:t>
            </w:r>
            <w:r>
              <w:rPr>
                <w:rFonts w:hint="eastAsia" w:asciiTheme="minorEastAsia" w:hAnsiTheme="minorEastAsia" w:eastAsiaTheme="minorEastAsia" w:cstheme="minorEastAsia"/>
                <w:color w:val="auto"/>
                <w:kern w:val="0"/>
                <w:sz w:val="21"/>
                <w:szCs w:val="21"/>
                <w:highlight w:val="none"/>
              </w:rPr>
              <w:t>；</w:t>
            </w:r>
          </w:p>
          <w:p w14:paraId="26FF131E">
            <w:pPr>
              <w:snapToGrid w:val="0"/>
              <w:spacing w:line="24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2、具有系统架构设计师；</w:t>
            </w:r>
          </w:p>
          <w:p w14:paraId="621DD946">
            <w:pPr>
              <w:snapToGrid w:val="0"/>
              <w:spacing w:line="24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、具有系统集成项目管理师证书；</w:t>
            </w:r>
          </w:p>
          <w:p w14:paraId="4F2CC023">
            <w:pPr>
              <w:snapToGrid w:val="0"/>
              <w:spacing w:line="240" w:lineRule="auto"/>
              <w:ind w:firstLine="420" w:firstLineChars="200"/>
              <w:jc w:val="left"/>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、具备网络工程师证书得</w:t>
            </w:r>
            <w:r>
              <w:rPr>
                <w:rFonts w:hint="eastAsia" w:asciiTheme="minorEastAsia" w:hAnsiTheme="minorEastAsia" w:eastAsiaTheme="minorEastAsia" w:cstheme="minorEastAsia"/>
                <w:color w:val="auto"/>
                <w:kern w:val="0"/>
                <w:sz w:val="21"/>
                <w:szCs w:val="21"/>
                <w:highlight w:val="none"/>
                <w:lang w:eastAsia="zh-CN"/>
              </w:rPr>
              <w:t>；</w:t>
            </w:r>
          </w:p>
          <w:p w14:paraId="193E7D10">
            <w:pPr>
              <w:snapToGrid w:val="0"/>
              <w:spacing w:line="240" w:lineRule="auto"/>
              <w:ind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提供</w:t>
            </w:r>
            <w:r>
              <w:rPr>
                <w:rFonts w:hint="eastAsia" w:asciiTheme="minorEastAsia" w:hAnsiTheme="minorEastAsia" w:eastAsiaTheme="minorEastAsia" w:cstheme="minorEastAsia"/>
                <w:color w:val="auto"/>
                <w:sz w:val="21"/>
                <w:szCs w:val="21"/>
                <w:highlight w:val="none"/>
                <w:lang w:val="en-US" w:eastAsia="zh-CN"/>
              </w:rPr>
              <w:t>证书复印件，每提供以上一个资质证书的2分，每人最高得2分，本项最高得10分。</w:t>
            </w:r>
          </w:p>
          <w:p w14:paraId="35167E81">
            <w:pPr>
              <w:snapToGrid w:val="0"/>
              <w:spacing w:line="240" w:lineRule="auto"/>
              <w:ind w:firstLine="422" w:firstLineChars="20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rPr>
              <w:t>注：参选人提供①</w:t>
            </w:r>
            <w:r>
              <w:rPr>
                <w:rFonts w:hint="eastAsia" w:asciiTheme="minorEastAsia" w:hAnsiTheme="minorEastAsia" w:eastAsiaTheme="minorEastAsia" w:cstheme="minorEastAsia"/>
                <w:b/>
                <w:bCs/>
                <w:color w:val="auto"/>
                <w:kern w:val="0"/>
                <w:sz w:val="21"/>
                <w:szCs w:val="21"/>
                <w:highlight w:val="none"/>
                <w:lang w:eastAsia="zh-CN"/>
              </w:rPr>
              <w:t>《拟派本项目人员情况一览表》、</w:t>
            </w:r>
            <w:r>
              <w:rPr>
                <w:rFonts w:hint="eastAsia" w:asciiTheme="minorEastAsia" w:hAnsiTheme="minorEastAsia" w:eastAsiaTheme="minorEastAsia" w:cstheme="minorEastAsia"/>
                <w:b/>
                <w:bCs/>
                <w:color w:val="auto"/>
                <w:kern w:val="0"/>
                <w:sz w:val="21"/>
                <w:szCs w:val="21"/>
                <w:highlight w:val="none"/>
                <w:lang w:val="en-US" w:eastAsia="zh-CN"/>
              </w:rPr>
              <w:t>②身份证、③</w:t>
            </w:r>
            <w:r>
              <w:rPr>
                <w:rFonts w:hint="eastAsia" w:asciiTheme="minorEastAsia" w:hAnsiTheme="minorEastAsia" w:eastAsiaTheme="minorEastAsia" w:cstheme="minorEastAsia"/>
                <w:b/>
                <w:bCs/>
                <w:color w:val="auto"/>
                <w:kern w:val="0"/>
                <w:sz w:val="21"/>
                <w:szCs w:val="21"/>
                <w:highlight w:val="none"/>
              </w:rPr>
              <w:t>相应的资质证书复印件、</w:t>
            </w:r>
            <w:r>
              <w:rPr>
                <w:rFonts w:hint="eastAsia" w:asciiTheme="minorEastAsia" w:hAnsiTheme="minorEastAsia" w:eastAsiaTheme="minorEastAsia" w:cstheme="minorEastAsia"/>
                <w:b/>
                <w:bCs/>
                <w:color w:val="auto"/>
                <w:kern w:val="0"/>
                <w:sz w:val="21"/>
                <w:szCs w:val="21"/>
                <w:highlight w:val="none"/>
                <w:lang w:val="en-US" w:eastAsia="zh-CN"/>
              </w:rPr>
              <w:t>④</w:t>
            </w:r>
            <w:r>
              <w:rPr>
                <w:rFonts w:hint="eastAsia" w:asciiTheme="minorEastAsia" w:hAnsiTheme="minorEastAsia" w:eastAsiaTheme="minorEastAsia" w:cstheme="minorEastAsia"/>
                <w:b/>
                <w:bCs/>
                <w:color w:val="auto"/>
                <w:kern w:val="0"/>
                <w:sz w:val="21"/>
                <w:szCs w:val="21"/>
                <w:highlight w:val="none"/>
              </w:rPr>
              <w:t>本项目报价截止前相关政府部门出具的在参选人单位近半年内任意一个月购买的社会保险缴纳证明复印件</w:t>
            </w:r>
            <w:r>
              <w:rPr>
                <w:rFonts w:hint="eastAsia" w:asciiTheme="minorEastAsia" w:hAnsiTheme="minorEastAsia" w:eastAsiaTheme="minorEastAsia" w:cstheme="minorEastAsia"/>
                <w:b/>
                <w:bCs/>
                <w:color w:val="auto"/>
                <w:kern w:val="0"/>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无提供不得分</w:t>
            </w:r>
            <w:r>
              <w:rPr>
                <w:rFonts w:hint="eastAsia" w:asciiTheme="minorEastAsia" w:hAnsiTheme="minorEastAsia" w:eastAsiaTheme="minorEastAsia" w:cstheme="minorEastAsia"/>
                <w:b/>
                <w:bCs/>
                <w:color w:val="auto"/>
                <w:kern w:val="0"/>
                <w:sz w:val="21"/>
                <w:szCs w:val="21"/>
                <w:highlight w:val="none"/>
              </w:rPr>
              <w:t>。</w:t>
            </w:r>
          </w:p>
        </w:tc>
        <w:tc>
          <w:tcPr>
            <w:tcW w:w="1091" w:type="dxa"/>
            <w:tcBorders>
              <w:top w:val="single" w:color="auto" w:sz="6" w:space="0"/>
              <w:left w:val="single" w:color="auto" w:sz="6" w:space="0"/>
              <w:bottom w:val="single" w:color="auto" w:sz="6" w:space="0"/>
              <w:right w:val="single" w:color="auto" w:sz="6" w:space="0"/>
            </w:tcBorders>
            <w:vAlign w:val="center"/>
          </w:tcPr>
          <w:p w14:paraId="1C820E7F">
            <w:pPr>
              <w:spacing w:line="240" w:lineRule="auto"/>
              <w:jc w:val="center"/>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10</w:t>
            </w:r>
          </w:p>
        </w:tc>
        <w:tc>
          <w:tcPr>
            <w:tcW w:w="996" w:type="dxa"/>
            <w:tcBorders>
              <w:top w:val="single" w:color="auto" w:sz="6" w:space="0"/>
              <w:left w:val="single" w:color="auto" w:sz="6" w:space="0"/>
              <w:bottom w:val="single" w:color="auto" w:sz="6" w:space="0"/>
              <w:right w:val="single" w:color="auto" w:sz="12" w:space="0"/>
            </w:tcBorders>
            <w:vAlign w:val="center"/>
          </w:tcPr>
          <w:p w14:paraId="240CF92C">
            <w:pPr>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r>
      <w:tr w14:paraId="20249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03" w:type="dxa"/>
            <w:tcBorders>
              <w:top w:val="single" w:color="auto" w:sz="6" w:space="0"/>
              <w:left w:val="single" w:color="auto" w:sz="12" w:space="0"/>
              <w:bottom w:val="single" w:color="auto" w:sz="6" w:space="0"/>
              <w:right w:val="single" w:color="auto" w:sz="6" w:space="0"/>
            </w:tcBorders>
            <w:vAlign w:val="center"/>
          </w:tcPr>
          <w:p w14:paraId="3A1C0E5B">
            <w:pPr>
              <w:numPr>
                <w:ilvl w:val="0"/>
                <w:numId w:val="81"/>
              </w:numPr>
              <w:snapToGrid w:val="0"/>
              <w:spacing w:line="240" w:lineRule="auto"/>
              <w:ind w:left="425" w:leftChars="0" w:hanging="425" w:firstLineChars="0"/>
              <w:jc w:val="center"/>
              <w:rPr>
                <w:rFonts w:hint="eastAsia" w:asciiTheme="minorEastAsia" w:hAnsiTheme="minorEastAsia" w:eastAsiaTheme="minorEastAsia" w:cstheme="minorEastAsia"/>
                <w:bCs/>
                <w:color w:val="auto"/>
                <w:sz w:val="21"/>
                <w:szCs w:val="21"/>
                <w:highlight w:val="none"/>
                <w:lang w:val="en-US" w:eastAsia="zh-CN"/>
              </w:rPr>
            </w:pPr>
          </w:p>
        </w:tc>
        <w:tc>
          <w:tcPr>
            <w:tcW w:w="1305" w:type="dxa"/>
            <w:tcBorders>
              <w:top w:val="single" w:color="auto" w:sz="6" w:space="0"/>
              <w:left w:val="single" w:color="auto" w:sz="6" w:space="0"/>
              <w:bottom w:val="single" w:color="auto" w:sz="6" w:space="0"/>
              <w:right w:val="single" w:color="auto" w:sz="6" w:space="0"/>
            </w:tcBorders>
            <w:vAlign w:val="center"/>
          </w:tcPr>
          <w:p w14:paraId="66EB6761">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参选人相关证书</w:t>
            </w:r>
          </w:p>
          <w:p w14:paraId="0ECB81FC">
            <w:pPr>
              <w:spacing w:line="240" w:lineRule="auto"/>
              <w:ind w:firstLine="422" w:firstLineChars="200"/>
              <w:jc w:val="left"/>
              <w:rPr>
                <w:rFonts w:hint="eastAsia" w:asciiTheme="minorEastAsia" w:hAnsiTheme="minorEastAsia" w:eastAsiaTheme="minorEastAsia" w:cstheme="minorEastAsia"/>
                <w:b/>
                <w:bCs/>
                <w:color w:val="auto"/>
                <w:sz w:val="21"/>
                <w:szCs w:val="21"/>
                <w:highlight w:val="none"/>
              </w:rPr>
            </w:pPr>
          </w:p>
        </w:tc>
        <w:tc>
          <w:tcPr>
            <w:tcW w:w="4718" w:type="dxa"/>
            <w:tcBorders>
              <w:top w:val="single" w:color="auto" w:sz="6" w:space="0"/>
              <w:left w:val="single" w:color="auto" w:sz="6" w:space="0"/>
              <w:bottom w:val="single" w:color="auto" w:sz="6" w:space="0"/>
              <w:right w:val="single" w:color="auto" w:sz="6" w:space="0"/>
            </w:tcBorders>
            <w:vAlign w:val="center"/>
          </w:tcPr>
          <w:p w14:paraId="4059A90F">
            <w:pPr>
              <w:spacing w:line="24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每具有一个有效的证书：①质量管理体系认证证书，②信息技术服务管理体系认证证书，③信息安全管理体系认证证书，得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分，最高得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分，其他不得分。</w:t>
            </w:r>
          </w:p>
          <w:p w14:paraId="58179004">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备</w:t>
            </w:r>
            <w:r>
              <w:rPr>
                <w:rFonts w:hint="eastAsia" w:asciiTheme="minorEastAsia" w:hAnsiTheme="minorEastAsia" w:eastAsiaTheme="minorEastAsia" w:cstheme="minorEastAsia"/>
                <w:b/>
                <w:bCs/>
                <w:color w:val="auto"/>
                <w:sz w:val="21"/>
                <w:szCs w:val="21"/>
                <w:highlight w:val="none"/>
              </w:rPr>
              <w:t>注：参选人提供</w:t>
            </w:r>
            <w:r>
              <w:rPr>
                <w:rFonts w:hint="eastAsia" w:asciiTheme="minorEastAsia" w:hAnsiTheme="minorEastAsia" w:eastAsiaTheme="minorEastAsia" w:cstheme="minorEastAsia"/>
                <w:b/>
                <w:bCs/>
                <w:color w:val="auto"/>
                <w:sz w:val="21"/>
                <w:szCs w:val="21"/>
                <w:highlight w:val="none"/>
                <w:lang w:val="en-US" w:eastAsia="zh-CN"/>
              </w:rPr>
              <w:t>①有效的</w:t>
            </w:r>
            <w:r>
              <w:rPr>
                <w:rFonts w:hint="eastAsia" w:asciiTheme="minorEastAsia" w:hAnsiTheme="minorEastAsia" w:eastAsiaTheme="minorEastAsia" w:cstheme="minorEastAsia"/>
                <w:b/>
                <w:bCs/>
                <w:color w:val="auto"/>
                <w:sz w:val="21"/>
                <w:szCs w:val="21"/>
                <w:highlight w:val="none"/>
              </w:rPr>
              <w:t>证书扫描件</w:t>
            </w:r>
            <w:r>
              <w:rPr>
                <w:rFonts w:hint="eastAsia" w:asciiTheme="minorEastAsia" w:hAnsiTheme="minorEastAsia" w:eastAsiaTheme="minorEastAsia" w:cstheme="minorEastAsia"/>
                <w:b/>
                <w:bCs/>
                <w:color w:val="auto"/>
                <w:sz w:val="21"/>
                <w:szCs w:val="21"/>
                <w:highlight w:val="none"/>
                <w:lang w:val="en-US" w:eastAsia="zh-CN"/>
              </w:rPr>
              <w:t>/复印件</w:t>
            </w:r>
            <w:r>
              <w:rPr>
                <w:rFonts w:hint="eastAsia" w:asciiTheme="minorEastAsia" w:hAnsiTheme="minorEastAsia" w:eastAsiaTheme="minorEastAsia" w:cstheme="minorEastAsia"/>
                <w:b/>
                <w:bCs/>
                <w:color w:val="auto"/>
                <w:sz w:val="21"/>
                <w:szCs w:val="21"/>
                <w:highlight w:val="none"/>
              </w:rPr>
              <w:t>及</w:t>
            </w:r>
            <w:r>
              <w:rPr>
                <w:rFonts w:hint="eastAsia" w:asciiTheme="minorEastAsia" w:hAnsiTheme="minorEastAsia" w:eastAsiaTheme="minorEastAsia" w:cstheme="minorEastAsia"/>
                <w:b/>
                <w:bCs/>
                <w:color w:val="auto"/>
                <w:sz w:val="21"/>
                <w:szCs w:val="21"/>
                <w:highlight w:val="none"/>
                <w:lang w:val="en-US" w:eastAsia="zh-CN"/>
              </w:rPr>
              <w:t>②</w:t>
            </w:r>
            <w:r>
              <w:rPr>
                <w:rFonts w:hint="eastAsia" w:asciiTheme="minorEastAsia" w:hAnsiTheme="minorEastAsia" w:eastAsiaTheme="minorEastAsia" w:cstheme="minorEastAsia"/>
                <w:b/>
                <w:bCs/>
                <w:color w:val="auto"/>
                <w:sz w:val="21"/>
                <w:szCs w:val="21"/>
                <w:highlight w:val="none"/>
              </w:rPr>
              <w:t>在全国认证认可信息公共服务平台上对证书的查询结果截图为证明材料。因</w:t>
            </w:r>
            <w:r>
              <w:rPr>
                <w:rFonts w:hint="eastAsia" w:asciiTheme="minorEastAsia" w:hAnsiTheme="minorEastAsia" w:eastAsiaTheme="minorEastAsia" w:cstheme="minorEastAsia"/>
                <w:b/>
                <w:bCs/>
                <w:color w:val="auto"/>
                <w:sz w:val="21"/>
                <w:szCs w:val="21"/>
                <w:highlight w:val="none"/>
                <w:lang w:val="en-US" w:eastAsia="zh-CN"/>
              </w:rPr>
              <w:t>参选人</w:t>
            </w:r>
            <w:r>
              <w:rPr>
                <w:rFonts w:hint="eastAsia" w:asciiTheme="minorEastAsia" w:hAnsiTheme="minorEastAsia" w:eastAsiaTheme="minorEastAsia" w:cstheme="minorEastAsia"/>
                <w:b/>
                <w:bCs/>
                <w:color w:val="auto"/>
                <w:sz w:val="21"/>
                <w:szCs w:val="21"/>
                <w:highlight w:val="none"/>
              </w:rPr>
              <w:t>成立时间不足3个月，导致未能取得相关认证且提供书面说明的，对应证书可得分。</w:t>
            </w:r>
          </w:p>
        </w:tc>
        <w:tc>
          <w:tcPr>
            <w:tcW w:w="1091" w:type="dxa"/>
            <w:tcBorders>
              <w:top w:val="single" w:color="auto" w:sz="6" w:space="0"/>
              <w:left w:val="single" w:color="auto" w:sz="6" w:space="0"/>
              <w:bottom w:val="single" w:color="auto" w:sz="6" w:space="0"/>
              <w:right w:val="single" w:color="auto" w:sz="6" w:space="0"/>
            </w:tcBorders>
            <w:vAlign w:val="center"/>
          </w:tcPr>
          <w:p w14:paraId="16A6E2C5">
            <w:pPr>
              <w:spacing w:line="24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996" w:type="dxa"/>
            <w:tcBorders>
              <w:top w:val="single" w:color="auto" w:sz="6" w:space="0"/>
              <w:left w:val="single" w:color="auto" w:sz="6" w:space="0"/>
              <w:bottom w:val="single" w:color="auto" w:sz="6" w:space="0"/>
              <w:right w:val="single" w:color="auto" w:sz="12" w:space="0"/>
            </w:tcBorders>
            <w:vAlign w:val="center"/>
          </w:tcPr>
          <w:p w14:paraId="51EF17CF">
            <w:pPr>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r>
      <w:tr w14:paraId="761C1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8813" w:type="dxa"/>
            <w:gridSpan w:val="5"/>
            <w:tcBorders>
              <w:top w:val="single" w:color="auto" w:sz="6" w:space="0"/>
              <w:left w:val="single" w:color="auto" w:sz="12" w:space="0"/>
              <w:bottom w:val="single" w:color="auto" w:sz="6" w:space="0"/>
              <w:right w:val="single" w:color="auto" w:sz="12" w:space="0"/>
            </w:tcBorders>
            <w:vAlign w:val="center"/>
          </w:tcPr>
          <w:p w14:paraId="0F7C3523">
            <w:pPr>
              <w:snapToGrid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价格部分（合计10分）</w:t>
            </w:r>
          </w:p>
        </w:tc>
      </w:tr>
      <w:tr w14:paraId="34EF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7" w:hRule="atLeast"/>
          <w:jc w:val="center"/>
        </w:trPr>
        <w:tc>
          <w:tcPr>
            <w:tcW w:w="703" w:type="dxa"/>
            <w:tcBorders>
              <w:top w:val="single" w:color="auto" w:sz="6" w:space="0"/>
              <w:left w:val="single" w:color="auto" w:sz="12" w:space="0"/>
              <w:bottom w:val="single" w:color="auto" w:sz="6" w:space="0"/>
              <w:right w:val="single" w:color="auto" w:sz="6" w:space="0"/>
            </w:tcBorders>
            <w:vAlign w:val="center"/>
          </w:tcPr>
          <w:p w14:paraId="44DA08B6">
            <w:pPr>
              <w:numPr>
                <w:ilvl w:val="0"/>
                <w:numId w:val="82"/>
              </w:numPr>
              <w:snapToGrid w:val="0"/>
              <w:spacing w:line="240" w:lineRule="auto"/>
              <w:ind w:left="425" w:leftChars="0" w:hanging="425" w:firstLineChars="0"/>
              <w:jc w:val="center"/>
              <w:rPr>
                <w:rFonts w:hint="eastAsia" w:asciiTheme="minorEastAsia" w:hAnsiTheme="minorEastAsia" w:eastAsiaTheme="minorEastAsia" w:cstheme="minorEastAsia"/>
                <w:color w:val="auto"/>
                <w:sz w:val="21"/>
                <w:szCs w:val="21"/>
                <w:highlight w:val="none"/>
              </w:rPr>
            </w:pPr>
          </w:p>
        </w:tc>
        <w:tc>
          <w:tcPr>
            <w:tcW w:w="1305" w:type="dxa"/>
            <w:tcBorders>
              <w:top w:val="single" w:color="auto" w:sz="6" w:space="0"/>
              <w:left w:val="single" w:color="auto" w:sz="6" w:space="0"/>
              <w:bottom w:val="single" w:color="auto" w:sz="6" w:space="0"/>
              <w:right w:val="single" w:color="auto" w:sz="6" w:space="0"/>
            </w:tcBorders>
            <w:vAlign w:val="center"/>
          </w:tcPr>
          <w:p w14:paraId="664A0DF4">
            <w:pPr>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w:t>
            </w:r>
          </w:p>
        </w:tc>
        <w:tc>
          <w:tcPr>
            <w:tcW w:w="4718" w:type="dxa"/>
            <w:tcBorders>
              <w:top w:val="single" w:color="auto" w:sz="6" w:space="0"/>
              <w:left w:val="single" w:color="auto" w:sz="6" w:space="0"/>
              <w:bottom w:val="single" w:color="auto" w:sz="6" w:space="0"/>
              <w:right w:val="single" w:color="auto" w:sz="6" w:space="0"/>
            </w:tcBorders>
            <w:vAlign w:val="center"/>
          </w:tcPr>
          <w:p w14:paraId="34518467">
            <w:pPr>
              <w:snapToGrid w:val="0"/>
              <w:spacing w:line="24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价格分统一采用低价优先法计算，即满足遴选文件要求且报价最低的报价为基准价，其价格分为满分。其他参选人的价格分统一按照下列公式计算：</w:t>
            </w:r>
          </w:p>
          <w:p w14:paraId="10151101">
            <w:pPr>
              <w:widowControl/>
              <w:snapToGrid w:val="0"/>
              <w:spacing w:line="24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报价得分=(基准价／响应报价)×100×价格权重</w:t>
            </w:r>
          </w:p>
          <w:p w14:paraId="435542B6">
            <w:pPr>
              <w:widowControl/>
              <w:snapToGrid w:val="0"/>
              <w:spacing w:line="240" w:lineRule="auto"/>
              <w:ind w:firstLine="422" w:firstLineChars="200"/>
              <w:jc w:val="left"/>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备注：</w:t>
            </w:r>
          </w:p>
          <w:p w14:paraId="474B1477">
            <w:pPr>
              <w:widowControl/>
              <w:snapToGrid w:val="0"/>
              <w:spacing w:line="240" w:lineRule="auto"/>
              <w:ind w:firstLine="422" w:firstLineChars="200"/>
              <w:jc w:val="left"/>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1.报价得分四舍五入后，小数点后保留两位有效数；</w:t>
            </w:r>
          </w:p>
          <w:p w14:paraId="36D14C8E">
            <w:pPr>
              <w:widowControl/>
              <w:snapToGrid w:val="0"/>
              <w:spacing w:line="240" w:lineRule="auto"/>
              <w:ind w:firstLine="422"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2.参选人的报价明显低于其他参选人报价，有可能影响项目质量或者不能诚信履约的，评审小组将要求其在评分现场合理的时间内提供书面说明，必要时提交相关证明材料；参选人不能证明其报价合理性的，评分委员会应当将其作为无效响应处理，取消其继续参与评分的资格。</w:t>
            </w:r>
          </w:p>
        </w:tc>
        <w:tc>
          <w:tcPr>
            <w:tcW w:w="1091" w:type="dxa"/>
            <w:tcBorders>
              <w:top w:val="single" w:color="auto" w:sz="6" w:space="0"/>
              <w:left w:val="single" w:color="auto" w:sz="6" w:space="0"/>
              <w:bottom w:val="single" w:color="auto" w:sz="6" w:space="0"/>
              <w:right w:val="single" w:color="auto" w:sz="6" w:space="0"/>
            </w:tcBorders>
            <w:vAlign w:val="center"/>
          </w:tcPr>
          <w:p w14:paraId="2966EEB7">
            <w:pPr>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996" w:type="dxa"/>
            <w:tcBorders>
              <w:top w:val="single" w:color="auto" w:sz="6" w:space="0"/>
              <w:left w:val="single" w:color="auto" w:sz="6" w:space="0"/>
              <w:bottom w:val="single" w:color="auto" w:sz="6" w:space="0"/>
              <w:right w:val="single" w:color="auto" w:sz="12" w:space="0"/>
            </w:tcBorders>
            <w:vAlign w:val="center"/>
          </w:tcPr>
          <w:p w14:paraId="3A641410">
            <w:pPr>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r>
      <w:tr w14:paraId="02C51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6726" w:type="dxa"/>
            <w:gridSpan w:val="3"/>
            <w:tcBorders>
              <w:top w:val="single" w:color="auto" w:sz="6" w:space="0"/>
              <w:left w:val="single" w:color="auto" w:sz="12" w:space="0"/>
              <w:bottom w:val="single" w:color="auto" w:sz="12" w:space="0"/>
              <w:right w:val="single" w:color="auto" w:sz="6" w:space="0"/>
            </w:tcBorders>
            <w:vAlign w:val="center"/>
          </w:tcPr>
          <w:p w14:paraId="5AF1900E">
            <w:pPr>
              <w:snapToGrid w:val="0"/>
              <w:spacing w:line="240" w:lineRule="auto"/>
              <w:ind w:firstLine="422" w:firstLineChars="20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u w:val="double"/>
              </w:rPr>
              <w:t>合计</w:t>
            </w:r>
          </w:p>
        </w:tc>
        <w:tc>
          <w:tcPr>
            <w:tcW w:w="1091" w:type="dxa"/>
            <w:tcBorders>
              <w:top w:val="single" w:color="auto" w:sz="6" w:space="0"/>
              <w:left w:val="single" w:color="auto" w:sz="6" w:space="0"/>
              <w:bottom w:val="single" w:color="auto" w:sz="12" w:space="0"/>
              <w:right w:val="single" w:color="auto" w:sz="6" w:space="0"/>
            </w:tcBorders>
            <w:vAlign w:val="center"/>
          </w:tcPr>
          <w:p w14:paraId="4FDA1A18">
            <w:pPr>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u w:val="double"/>
              </w:rPr>
              <w:t>100分</w:t>
            </w:r>
          </w:p>
        </w:tc>
        <w:tc>
          <w:tcPr>
            <w:tcW w:w="996" w:type="dxa"/>
            <w:tcBorders>
              <w:top w:val="single" w:color="auto" w:sz="6" w:space="0"/>
              <w:left w:val="single" w:color="auto" w:sz="6" w:space="0"/>
              <w:bottom w:val="single" w:color="auto" w:sz="12" w:space="0"/>
              <w:right w:val="single" w:color="auto" w:sz="12" w:space="0"/>
            </w:tcBorders>
            <w:vAlign w:val="center"/>
          </w:tcPr>
          <w:p w14:paraId="7326CA52">
            <w:pPr>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u w:val="double"/>
              </w:rPr>
              <w:t xml:space="preserve">100% </w:t>
            </w:r>
          </w:p>
        </w:tc>
      </w:tr>
    </w:tbl>
    <w:p w14:paraId="59E26747">
      <w:pPr>
        <w:rPr>
          <w:color w:val="auto"/>
          <w:highlight w:val="none"/>
        </w:rPr>
      </w:pPr>
    </w:p>
    <w:p w14:paraId="694C19F4">
      <w:pPr>
        <w:widowControl/>
        <w:jc w:val="left"/>
        <w:rPr>
          <w:rFonts w:hint="eastAsia" w:ascii="宋体" w:hAnsi="宋体"/>
          <w:color w:val="auto"/>
          <w:highlight w:val="none"/>
          <w:lang w:val="zh-CN"/>
        </w:rPr>
      </w:pPr>
    </w:p>
    <w:p w14:paraId="7F905D57">
      <w:pPr>
        <w:widowControl/>
        <w:jc w:val="left"/>
        <w:rPr>
          <w:rFonts w:hint="eastAsia" w:ascii="宋体" w:hAnsi="宋体"/>
          <w:color w:val="auto"/>
          <w:highlight w:val="none"/>
          <w:lang w:val="zh-CN"/>
        </w:rPr>
      </w:pPr>
    </w:p>
    <w:p w14:paraId="1E4B0D63">
      <w:pPr>
        <w:widowControl/>
        <w:jc w:val="left"/>
        <w:rPr>
          <w:rFonts w:hint="eastAsia" w:ascii="宋体" w:hAnsi="宋体"/>
          <w:color w:val="auto"/>
          <w:highlight w:val="none"/>
          <w:lang w:val="zh-CN"/>
        </w:rPr>
      </w:pPr>
    </w:p>
    <w:p w14:paraId="2DF41A7E">
      <w:pPr>
        <w:widowControl/>
        <w:jc w:val="left"/>
        <w:rPr>
          <w:rFonts w:hint="eastAsia" w:ascii="宋体" w:hAnsi="宋体"/>
          <w:color w:val="auto"/>
          <w:highlight w:val="none"/>
          <w:lang w:val="zh-CN"/>
        </w:rPr>
      </w:pPr>
    </w:p>
    <w:p w14:paraId="0F14502E">
      <w:pPr>
        <w:widowControl/>
        <w:jc w:val="left"/>
        <w:rPr>
          <w:rFonts w:hint="eastAsia" w:ascii="宋体" w:hAnsi="宋体"/>
          <w:color w:val="auto"/>
          <w:highlight w:val="none"/>
          <w:lang w:val="zh-CN"/>
        </w:rPr>
      </w:pPr>
    </w:p>
    <w:p w14:paraId="3E5BBA21">
      <w:pPr>
        <w:widowControl/>
        <w:jc w:val="left"/>
        <w:rPr>
          <w:rFonts w:hint="eastAsia" w:ascii="宋体" w:hAnsi="宋体"/>
          <w:color w:val="auto"/>
          <w:highlight w:val="none"/>
          <w:lang w:val="zh-CN"/>
        </w:rPr>
      </w:pPr>
    </w:p>
    <w:p w14:paraId="678B5F50">
      <w:pPr>
        <w:widowControl/>
        <w:jc w:val="left"/>
        <w:rPr>
          <w:rFonts w:hint="eastAsia" w:ascii="宋体" w:hAnsi="宋体"/>
          <w:color w:val="auto"/>
          <w:highlight w:val="none"/>
          <w:lang w:val="zh-CN"/>
        </w:rPr>
      </w:pPr>
    </w:p>
    <w:p w14:paraId="47EBD8BF">
      <w:pPr>
        <w:widowControl/>
        <w:jc w:val="left"/>
        <w:rPr>
          <w:rFonts w:hint="eastAsia" w:ascii="宋体" w:hAnsi="宋体"/>
          <w:color w:val="auto"/>
          <w:highlight w:val="none"/>
          <w:lang w:val="zh-CN"/>
        </w:rPr>
      </w:pPr>
    </w:p>
    <w:p w14:paraId="79278400">
      <w:pPr>
        <w:widowControl/>
        <w:jc w:val="left"/>
        <w:rPr>
          <w:rFonts w:hint="eastAsia" w:ascii="宋体" w:hAnsi="宋体"/>
          <w:color w:val="auto"/>
          <w:highlight w:val="none"/>
          <w:lang w:val="zh-CN"/>
        </w:rPr>
      </w:pPr>
    </w:p>
    <w:p w14:paraId="124A6AEF">
      <w:pPr>
        <w:widowControl/>
        <w:jc w:val="left"/>
        <w:rPr>
          <w:rFonts w:hint="eastAsia" w:ascii="宋体" w:hAnsi="宋体"/>
          <w:b/>
          <w:bCs/>
          <w:color w:val="auto"/>
          <w:sz w:val="32"/>
          <w:szCs w:val="32"/>
          <w:highlight w:val="none"/>
          <w:lang w:val="zh-CN"/>
        </w:rPr>
      </w:pPr>
      <w:r>
        <w:rPr>
          <w:rFonts w:hint="eastAsia" w:ascii="宋体" w:hAnsi="宋体"/>
          <w:color w:val="auto"/>
          <w:highlight w:val="none"/>
          <w:lang w:val="zh-CN"/>
        </w:rPr>
        <w:br w:type="page"/>
      </w:r>
    </w:p>
    <w:p w14:paraId="4065E152">
      <w:pPr>
        <w:pStyle w:val="31"/>
        <w:spacing w:before="0" w:after="0"/>
        <w:rPr>
          <w:rFonts w:hint="eastAsia" w:ascii="宋体" w:hAnsi="宋体"/>
          <w:color w:val="auto"/>
          <w:highlight w:val="none"/>
          <w:lang w:val="zh-CN"/>
        </w:rPr>
      </w:pPr>
      <w:r>
        <w:rPr>
          <w:rFonts w:hint="eastAsia" w:ascii="宋体" w:hAnsi="宋体"/>
          <w:color w:val="auto"/>
          <w:highlight w:val="none"/>
          <w:lang w:val="zh-CN"/>
        </w:rPr>
        <w:t>第三章 参选文件附件</w:t>
      </w:r>
    </w:p>
    <w:p w14:paraId="46ED2BC3">
      <w:pPr>
        <w:pStyle w:val="3"/>
        <w:spacing w:line="360" w:lineRule="auto"/>
        <w:jc w:val="center"/>
        <w:rPr>
          <w:rFonts w:hint="eastAsia" w:ascii="宋体" w:hAnsi="宋体" w:eastAsia="宋体"/>
          <w:color w:val="auto"/>
          <w:highlight w:val="none"/>
        </w:rPr>
      </w:pPr>
      <w:bookmarkStart w:id="53" w:name="_Toc435515292"/>
      <w:bookmarkStart w:id="54" w:name="_Toc435514852"/>
      <w:r>
        <w:rPr>
          <w:rFonts w:hint="eastAsia" w:ascii="宋体" w:hAnsi="宋体" w:eastAsia="宋体"/>
          <w:color w:val="auto"/>
          <w:highlight w:val="none"/>
        </w:rPr>
        <w:t>参选文件封面参考</w:t>
      </w:r>
      <w:bookmarkEnd w:id="53"/>
      <w:bookmarkEnd w:id="54"/>
    </w:p>
    <w:tbl>
      <w:tblPr>
        <w:tblStyle w:val="35"/>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1A17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59EE523C">
            <w:pPr>
              <w:pStyle w:val="14"/>
              <w:spacing w:line="360" w:lineRule="auto"/>
              <w:ind w:firstLine="482" w:firstLineChars="150"/>
              <w:rPr>
                <w:rFonts w:hint="eastAsia" w:ascii="宋体" w:hAnsi="宋体"/>
                <w:b/>
                <w:color w:val="auto"/>
                <w:sz w:val="32"/>
                <w:highlight w:val="none"/>
              </w:rPr>
            </w:pPr>
          </w:p>
          <w:p w14:paraId="52DBF1CE">
            <w:pPr>
              <w:pStyle w:val="14"/>
              <w:spacing w:line="360" w:lineRule="auto"/>
              <w:ind w:firstLine="482" w:firstLineChars="150"/>
              <w:rPr>
                <w:rFonts w:hint="eastAsia" w:ascii="宋体" w:hAnsi="宋体"/>
                <w:b/>
                <w:color w:val="auto"/>
                <w:sz w:val="32"/>
                <w:highlight w:val="none"/>
              </w:rPr>
            </w:pPr>
          </w:p>
          <w:p w14:paraId="63497482">
            <w:pPr>
              <w:pStyle w:val="14"/>
              <w:spacing w:line="360" w:lineRule="auto"/>
              <w:ind w:firstLine="482" w:firstLineChars="150"/>
              <w:rPr>
                <w:rFonts w:hint="eastAsia" w:ascii="宋体" w:hAnsi="宋体"/>
                <w:b/>
                <w:color w:val="auto"/>
                <w:sz w:val="32"/>
                <w:highlight w:val="none"/>
              </w:rPr>
            </w:pPr>
          </w:p>
          <w:p w14:paraId="0C715A12">
            <w:pPr>
              <w:pStyle w:val="14"/>
              <w:spacing w:line="360" w:lineRule="auto"/>
              <w:ind w:firstLine="31"/>
              <w:jc w:val="center"/>
              <w:rPr>
                <w:rFonts w:hint="eastAsia" w:ascii="宋体" w:hAnsi="宋体"/>
                <w:b/>
                <w:color w:val="auto"/>
                <w:sz w:val="72"/>
                <w:szCs w:val="72"/>
                <w:highlight w:val="none"/>
              </w:rPr>
            </w:pPr>
          </w:p>
          <w:p w14:paraId="782AF4C4">
            <w:pPr>
              <w:pStyle w:val="14"/>
              <w:spacing w:line="360" w:lineRule="auto"/>
              <w:ind w:firstLine="31"/>
              <w:jc w:val="center"/>
              <w:rPr>
                <w:rFonts w:hint="eastAsia" w:ascii="宋体" w:hAnsi="宋体"/>
                <w:b/>
                <w:color w:val="auto"/>
                <w:sz w:val="72"/>
                <w:szCs w:val="72"/>
                <w:highlight w:val="none"/>
              </w:rPr>
            </w:pPr>
          </w:p>
          <w:p w14:paraId="2957840F">
            <w:pPr>
              <w:pStyle w:val="14"/>
              <w:spacing w:line="360" w:lineRule="auto"/>
              <w:ind w:firstLine="31"/>
              <w:jc w:val="center"/>
              <w:rPr>
                <w:rFonts w:hint="eastAsia" w:ascii="宋体" w:hAnsi="宋体"/>
                <w:b/>
                <w:color w:val="auto"/>
                <w:sz w:val="72"/>
                <w:szCs w:val="72"/>
                <w:highlight w:val="none"/>
              </w:rPr>
            </w:pPr>
            <w:r>
              <w:rPr>
                <w:rFonts w:hint="eastAsia" w:ascii="宋体" w:hAnsi="宋体"/>
                <w:b/>
                <w:color w:val="auto"/>
                <w:sz w:val="72"/>
                <w:szCs w:val="72"/>
                <w:highlight w:val="none"/>
              </w:rPr>
              <w:t>参 选 文 件</w:t>
            </w:r>
          </w:p>
          <w:p w14:paraId="7BCE4D35">
            <w:pPr>
              <w:pStyle w:val="14"/>
              <w:spacing w:line="360" w:lineRule="auto"/>
              <w:ind w:firstLine="643"/>
              <w:rPr>
                <w:rFonts w:hint="eastAsia" w:ascii="宋体" w:hAnsi="宋体"/>
                <w:b/>
                <w:color w:val="auto"/>
                <w:sz w:val="32"/>
                <w:highlight w:val="none"/>
              </w:rPr>
            </w:pPr>
          </w:p>
          <w:p w14:paraId="74B2A4DB">
            <w:pPr>
              <w:pStyle w:val="14"/>
              <w:spacing w:line="360" w:lineRule="auto"/>
              <w:ind w:firstLine="643"/>
              <w:rPr>
                <w:rFonts w:hint="eastAsia" w:ascii="宋体" w:hAnsi="宋体"/>
                <w:b/>
                <w:color w:val="auto"/>
                <w:sz w:val="32"/>
                <w:highlight w:val="none"/>
              </w:rPr>
            </w:pPr>
          </w:p>
          <w:p w14:paraId="4FCAB2AF">
            <w:pPr>
              <w:pStyle w:val="14"/>
              <w:spacing w:line="400" w:lineRule="exact"/>
              <w:ind w:firstLine="900" w:firstLineChars="320"/>
              <w:rPr>
                <w:rFonts w:hint="eastAsia" w:ascii="宋体" w:hAnsi="宋体"/>
                <w:b/>
                <w:color w:val="auto"/>
                <w:sz w:val="28"/>
                <w:szCs w:val="28"/>
                <w:highlight w:val="none"/>
              </w:rPr>
            </w:pPr>
            <w:r>
              <w:rPr>
                <w:rFonts w:hint="eastAsia" w:ascii="宋体" w:hAnsi="宋体"/>
                <w:b/>
                <w:color w:val="auto"/>
                <w:sz w:val="28"/>
                <w:szCs w:val="28"/>
                <w:highlight w:val="none"/>
              </w:rPr>
              <w:t>项目编号：CD-1758553657198A</w:t>
            </w:r>
          </w:p>
          <w:p w14:paraId="3D124596">
            <w:pPr>
              <w:pStyle w:val="14"/>
              <w:spacing w:line="400" w:lineRule="exact"/>
              <w:ind w:left="2123" w:leftChars="405" w:hanging="1273" w:hangingChars="453"/>
              <w:rPr>
                <w:rFonts w:hint="eastAsia" w:ascii="宋体" w:hAnsi="宋体"/>
                <w:b/>
                <w:color w:val="auto"/>
                <w:sz w:val="28"/>
                <w:szCs w:val="32"/>
                <w:highlight w:val="none"/>
                <w:u w:val="single"/>
                <w:lang w:eastAsia="zh-CN"/>
              </w:rPr>
            </w:pPr>
            <w:r>
              <w:rPr>
                <w:rFonts w:hint="eastAsia" w:ascii="宋体" w:hAnsi="宋体"/>
                <w:b/>
                <w:color w:val="auto"/>
                <w:sz w:val="28"/>
                <w:szCs w:val="28"/>
                <w:highlight w:val="none"/>
              </w:rPr>
              <w:t>项目名称：</w:t>
            </w:r>
            <w:r>
              <w:rPr>
                <w:rFonts w:hint="eastAsia" w:ascii="宋体" w:hAnsi="宋体"/>
                <w:b/>
                <w:color w:val="auto"/>
                <w:sz w:val="28"/>
                <w:szCs w:val="32"/>
                <w:highlight w:val="none"/>
                <w:u w:val="single"/>
                <w:lang w:eastAsia="zh-CN"/>
              </w:rPr>
              <w:t>广州市机电技师学院2025年智慧校园管理平台优化服务项目遴选（第二次）</w:t>
            </w:r>
          </w:p>
          <w:p w14:paraId="054F7D84">
            <w:pPr>
              <w:pStyle w:val="14"/>
              <w:spacing w:line="400" w:lineRule="exact"/>
              <w:ind w:left="2123" w:leftChars="405" w:hanging="1273" w:hangingChars="453"/>
              <w:rPr>
                <w:rFonts w:hint="default"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参选包组号：</w:t>
            </w:r>
          </w:p>
          <w:p w14:paraId="3FD4CD8C">
            <w:pPr>
              <w:pStyle w:val="14"/>
              <w:spacing w:line="400" w:lineRule="exact"/>
              <w:ind w:firstLine="900" w:firstLineChars="320"/>
              <w:rPr>
                <w:rFonts w:hint="eastAsia" w:ascii="宋体" w:hAnsi="宋体"/>
                <w:b/>
                <w:color w:val="auto"/>
                <w:sz w:val="28"/>
                <w:szCs w:val="28"/>
                <w:highlight w:val="none"/>
              </w:rPr>
            </w:pPr>
            <w:r>
              <w:rPr>
                <w:rFonts w:hint="eastAsia" w:ascii="宋体" w:hAnsi="宋体"/>
                <w:b/>
                <w:color w:val="auto"/>
                <w:sz w:val="28"/>
                <w:szCs w:val="28"/>
                <w:highlight w:val="none"/>
              </w:rPr>
              <w:t>参选人名称：</w:t>
            </w:r>
          </w:p>
          <w:p w14:paraId="042A7E73">
            <w:pPr>
              <w:pStyle w:val="14"/>
              <w:spacing w:line="400" w:lineRule="exact"/>
              <w:ind w:firstLine="900" w:firstLineChars="320"/>
              <w:rPr>
                <w:rFonts w:hint="eastAsia" w:ascii="宋体" w:hAnsi="宋体"/>
                <w:b/>
                <w:color w:val="auto"/>
                <w:sz w:val="28"/>
                <w:szCs w:val="28"/>
                <w:highlight w:val="none"/>
              </w:rPr>
            </w:pPr>
            <w:r>
              <w:rPr>
                <w:rFonts w:hint="eastAsia" w:ascii="宋体" w:hAnsi="宋体"/>
                <w:b/>
                <w:color w:val="auto"/>
                <w:sz w:val="28"/>
                <w:szCs w:val="28"/>
                <w:highlight w:val="none"/>
              </w:rPr>
              <w:t>参选人地址：</w:t>
            </w:r>
          </w:p>
          <w:p w14:paraId="41A0ECE3">
            <w:pPr>
              <w:pStyle w:val="14"/>
              <w:spacing w:line="400" w:lineRule="exact"/>
              <w:ind w:firstLine="1028" w:firstLineChars="320"/>
              <w:rPr>
                <w:rFonts w:hint="eastAsia" w:ascii="宋体" w:hAnsi="宋体"/>
                <w:b/>
                <w:color w:val="auto"/>
                <w:sz w:val="32"/>
                <w:highlight w:val="none"/>
              </w:rPr>
            </w:pPr>
          </w:p>
        </w:tc>
      </w:tr>
    </w:tbl>
    <w:p w14:paraId="48434063">
      <w:pPr>
        <w:pStyle w:val="17"/>
        <w:rPr>
          <w:rStyle w:val="43"/>
          <w:rFonts w:hint="eastAsia" w:hAnsi="宋体"/>
          <w:color w:val="auto"/>
          <w:highlight w:val="none"/>
        </w:rPr>
      </w:pPr>
    </w:p>
    <w:p w14:paraId="63580484">
      <w:pPr>
        <w:pStyle w:val="3"/>
        <w:spacing w:line="360" w:lineRule="auto"/>
        <w:jc w:val="center"/>
        <w:rPr>
          <w:rFonts w:hint="eastAsia" w:ascii="宋体" w:hAnsi="宋体" w:eastAsia="宋体"/>
          <w:color w:val="auto"/>
          <w:highlight w:val="none"/>
        </w:rPr>
      </w:pPr>
      <w:r>
        <w:rPr>
          <w:rFonts w:hint="eastAsia" w:ascii="宋体" w:hAnsi="宋体" w:eastAsia="宋体"/>
          <w:color w:val="auto"/>
          <w:highlight w:val="none"/>
        </w:rPr>
        <w:t>报名报价参选文件目录</w:t>
      </w:r>
    </w:p>
    <w:tbl>
      <w:tblPr>
        <w:tblStyle w:val="35"/>
        <w:tblW w:w="532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2"/>
        <w:gridCol w:w="482"/>
        <w:gridCol w:w="5194"/>
        <w:gridCol w:w="1119"/>
        <w:gridCol w:w="310"/>
        <w:gridCol w:w="1487"/>
      </w:tblGrid>
      <w:tr w14:paraId="4C0FF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458" w:type="pct"/>
            <w:vAlign w:val="center"/>
          </w:tcPr>
          <w:p w14:paraId="26A03BDE">
            <w:pPr>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342" w:type="pct"/>
            <w:gridSpan w:val="2"/>
            <w:vAlign w:val="center"/>
          </w:tcPr>
          <w:p w14:paraId="495EEF5F">
            <w:pPr>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遴选因素</w:t>
            </w:r>
          </w:p>
        </w:tc>
        <w:tc>
          <w:tcPr>
            <w:tcW w:w="1183" w:type="pct"/>
            <w:gridSpan w:val="2"/>
            <w:vAlign w:val="center"/>
          </w:tcPr>
          <w:p w14:paraId="5FB36D7E">
            <w:pPr>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提交内容</w:t>
            </w:r>
          </w:p>
        </w:tc>
        <w:tc>
          <w:tcPr>
            <w:tcW w:w="1015" w:type="pct"/>
            <w:vAlign w:val="center"/>
          </w:tcPr>
          <w:p w14:paraId="76C19EFA">
            <w:pPr>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证明文件</w:t>
            </w:r>
          </w:p>
        </w:tc>
      </w:tr>
      <w:tr w14:paraId="5457C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5000" w:type="pct"/>
            <w:gridSpan w:val="6"/>
            <w:vAlign w:val="center"/>
          </w:tcPr>
          <w:p w14:paraId="2D4F8A6E">
            <w:pPr>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报名条件</w:t>
            </w:r>
          </w:p>
        </w:tc>
      </w:tr>
      <w:tr w14:paraId="74120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7" w:hRule="atLeast"/>
          <w:jc w:val="center"/>
        </w:trPr>
        <w:tc>
          <w:tcPr>
            <w:tcW w:w="458" w:type="pct"/>
            <w:vAlign w:val="center"/>
          </w:tcPr>
          <w:p w14:paraId="5AC78FA7">
            <w:pPr>
              <w:numPr>
                <w:ilvl w:val="0"/>
                <w:numId w:val="83"/>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342" w:type="pct"/>
            <w:gridSpan w:val="2"/>
            <w:vAlign w:val="center"/>
          </w:tcPr>
          <w:p w14:paraId="7AF43C97">
            <w:pPr>
              <w:spacing w:line="24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参选人提供在中华人民共和国境内注册的法人或其他组织的营业执照或事业单位法人证书或社会团体法人登记证书复印件，如国家另有规定的，则从其规定；（如参选人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1183" w:type="pct"/>
            <w:gridSpan w:val="2"/>
            <w:vAlign w:val="center"/>
          </w:tcPr>
          <w:p w14:paraId="3221F76F">
            <w:pPr>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提供在中华人民共和国境内注册的法人或其他组织的营业执照或事业单位法人证书或社会团体法人登记证书复印件</w:t>
            </w:r>
          </w:p>
        </w:tc>
        <w:tc>
          <w:tcPr>
            <w:tcW w:w="1015" w:type="pct"/>
            <w:vAlign w:val="center"/>
          </w:tcPr>
          <w:p w14:paraId="6FB21825">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084CD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7" w:hRule="atLeast"/>
          <w:jc w:val="center"/>
        </w:trPr>
        <w:tc>
          <w:tcPr>
            <w:tcW w:w="458" w:type="pct"/>
            <w:vAlign w:val="center"/>
          </w:tcPr>
          <w:p w14:paraId="41C93175">
            <w:pPr>
              <w:numPr>
                <w:ilvl w:val="0"/>
                <w:numId w:val="83"/>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342" w:type="pct"/>
            <w:gridSpan w:val="2"/>
            <w:vAlign w:val="center"/>
          </w:tcPr>
          <w:p w14:paraId="0CB4721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单位负责人为同一人或者存在直接控股、管理关系的不同参选人，不得同时参加本采购项目（或采购包）。为本项目提供整体设计、规范编制或者项目管理、监理、检测等服务的</w:t>
            </w: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，不得再参与本项目，提供参选人资格声明函，格式详见附件。</w:t>
            </w:r>
          </w:p>
        </w:tc>
        <w:tc>
          <w:tcPr>
            <w:tcW w:w="1183" w:type="pct"/>
            <w:gridSpan w:val="2"/>
            <w:vAlign w:val="center"/>
          </w:tcPr>
          <w:p w14:paraId="5578E4CD">
            <w:pPr>
              <w:snapToGrid w:val="0"/>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提供参选人资格声明函 </w:t>
            </w:r>
          </w:p>
        </w:tc>
        <w:tc>
          <w:tcPr>
            <w:tcW w:w="1015" w:type="pct"/>
            <w:vAlign w:val="center"/>
          </w:tcPr>
          <w:p w14:paraId="6CABC840">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68CCB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jc w:val="center"/>
        </w:trPr>
        <w:tc>
          <w:tcPr>
            <w:tcW w:w="458" w:type="pct"/>
            <w:vAlign w:val="center"/>
          </w:tcPr>
          <w:p w14:paraId="4583C180">
            <w:pPr>
              <w:numPr>
                <w:ilvl w:val="0"/>
                <w:numId w:val="83"/>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342" w:type="pct"/>
            <w:gridSpan w:val="2"/>
            <w:vAlign w:val="center"/>
          </w:tcPr>
          <w:p w14:paraId="483F12C7">
            <w:pPr>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办人如是法定代表人，需提供法定代表人证明书及法定代表人身份证复印件，格式详见附件；经办人如是参选人授权代表，需提供法定代表人证明书、法定代表人身份证复印件、法定代表人授权委托书、授权代表身份证复印件，格式详见附件</w:t>
            </w:r>
          </w:p>
        </w:tc>
        <w:tc>
          <w:tcPr>
            <w:tcW w:w="1183" w:type="pct"/>
            <w:gridSpan w:val="2"/>
            <w:vAlign w:val="center"/>
          </w:tcPr>
          <w:p w14:paraId="0E2750C3">
            <w:pPr>
              <w:snapToGrid w:val="0"/>
              <w:spacing w:line="24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提供相对应附件</w:t>
            </w:r>
          </w:p>
        </w:tc>
        <w:tc>
          <w:tcPr>
            <w:tcW w:w="1015" w:type="pct"/>
            <w:vAlign w:val="center"/>
          </w:tcPr>
          <w:p w14:paraId="77A50F97">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6AA20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1" w:hRule="atLeast"/>
          <w:jc w:val="center"/>
        </w:trPr>
        <w:tc>
          <w:tcPr>
            <w:tcW w:w="458" w:type="pct"/>
            <w:vAlign w:val="center"/>
          </w:tcPr>
          <w:p w14:paraId="4A63BA86">
            <w:pPr>
              <w:numPr>
                <w:ilvl w:val="0"/>
                <w:numId w:val="83"/>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342" w:type="pct"/>
            <w:gridSpan w:val="2"/>
            <w:shd w:val="clear" w:color="auto" w:fill="auto"/>
            <w:vAlign w:val="center"/>
          </w:tcPr>
          <w:p w14:paraId="2A80E803">
            <w:pPr>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参与本项目的参选人需为中小微企业，所属行业为</w:t>
            </w:r>
            <w:r>
              <w:rPr>
                <w:rFonts w:hint="eastAsia" w:ascii="宋体" w:hAnsi="宋体" w:eastAsia="宋体" w:cs="宋体"/>
                <w:color w:val="auto"/>
                <w:sz w:val="21"/>
                <w:szCs w:val="21"/>
                <w:highlight w:val="none"/>
              </w:rPr>
              <w:t>软件和信息技术服务业</w:t>
            </w:r>
            <w:r>
              <w:rPr>
                <w:rFonts w:hint="eastAsia" w:ascii="宋体" w:hAnsi="宋体" w:eastAsia="宋体" w:cs="宋体"/>
                <w:color w:val="auto"/>
                <w:kern w:val="0"/>
                <w:sz w:val="21"/>
                <w:szCs w:val="21"/>
                <w:highlight w:val="none"/>
              </w:rPr>
              <w:t>。参选人应为中小微企业、监狱企业、残疾人福利性单位。（提供《中小企业声明函》或属于监狱企业的证明材料或《残疾人福利性单位声明函》，格式详见附件）</w:t>
            </w:r>
          </w:p>
        </w:tc>
        <w:tc>
          <w:tcPr>
            <w:tcW w:w="1183" w:type="pct"/>
            <w:gridSpan w:val="2"/>
            <w:shd w:val="clear" w:color="auto" w:fill="auto"/>
            <w:vAlign w:val="center"/>
          </w:tcPr>
          <w:p w14:paraId="46FCFE4C">
            <w:pPr>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提供《中小企业声明函》或属于监狱企业的证明材料或《残疾人福利性单位声明函》，格式详见附件</w:t>
            </w:r>
          </w:p>
        </w:tc>
        <w:tc>
          <w:tcPr>
            <w:tcW w:w="1015" w:type="pct"/>
            <w:vAlign w:val="center"/>
          </w:tcPr>
          <w:p w14:paraId="6B98FBC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261C3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6" w:hRule="atLeast"/>
          <w:jc w:val="center"/>
        </w:trPr>
        <w:tc>
          <w:tcPr>
            <w:tcW w:w="458" w:type="pct"/>
            <w:vAlign w:val="center"/>
          </w:tcPr>
          <w:p w14:paraId="7C050703">
            <w:pPr>
              <w:numPr>
                <w:ilvl w:val="0"/>
                <w:numId w:val="83"/>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342" w:type="pct"/>
            <w:gridSpan w:val="2"/>
            <w:shd w:val="clear" w:color="auto" w:fill="auto"/>
            <w:vAlign w:val="center"/>
          </w:tcPr>
          <w:p w14:paraId="6D6B49C0">
            <w:pPr>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参选人在广东政府采购智慧云平台电子卖场定点</w:t>
            </w: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库，候选后需签订定点采购合同（提供在广东政府采购智慧云平台库内的截图证明）</w:t>
            </w:r>
          </w:p>
        </w:tc>
        <w:tc>
          <w:tcPr>
            <w:tcW w:w="1183" w:type="pct"/>
            <w:gridSpan w:val="2"/>
            <w:shd w:val="clear" w:color="auto" w:fill="auto"/>
            <w:vAlign w:val="center"/>
          </w:tcPr>
          <w:p w14:paraId="5A4327F4">
            <w:pPr>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提供截图证明</w:t>
            </w:r>
          </w:p>
        </w:tc>
        <w:tc>
          <w:tcPr>
            <w:tcW w:w="1015" w:type="pct"/>
            <w:vAlign w:val="center"/>
          </w:tcPr>
          <w:p w14:paraId="2B5E9A1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34666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458" w:type="pct"/>
            <w:vAlign w:val="center"/>
          </w:tcPr>
          <w:p w14:paraId="10808F72">
            <w:pPr>
              <w:numPr>
                <w:ilvl w:val="0"/>
                <w:numId w:val="83"/>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342" w:type="pct"/>
            <w:gridSpan w:val="2"/>
            <w:shd w:val="clear" w:color="auto" w:fill="auto"/>
            <w:vAlign w:val="center"/>
          </w:tcPr>
          <w:p w14:paraId="3F0AB151">
            <w:pPr>
              <w:spacing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参选人未被列入“信用中国”网站(www.creditchina.gov.cn)以下情形之一：①失信被执行人；②重大税收违法失信主体；③政府采购严重违法失信行为记录名单。同时，④在中国政府采购网(www.ccgp.gov.cn)“政府采购严重违法失信行为信息记录”中查询没有处于禁止参加政府采购活动的记录名单。（提供报名期间的相关查询记录截图并加盖</w:t>
            </w:r>
            <w:r>
              <w:rPr>
                <w:rFonts w:hint="eastAsia" w:ascii="宋体" w:hAnsi="宋体" w:cs="宋体"/>
                <w:color w:val="auto"/>
                <w:kern w:val="0"/>
                <w:sz w:val="21"/>
                <w:szCs w:val="21"/>
                <w:highlight w:val="none"/>
                <w:lang w:val="en-US" w:eastAsia="zh-CN" w:bidi="ar-SA"/>
              </w:rPr>
              <w:t>参选人</w:t>
            </w:r>
            <w:r>
              <w:rPr>
                <w:rFonts w:hint="eastAsia" w:ascii="宋体" w:hAnsi="宋体" w:eastAsia="宋体" w:cs="宋体"/>
                <w:color w:val="auto"/>
                <w:kern w:val="0"/>
                <w:sz w:val="21"/>
                <w:szCs w:val="21"/>
                <w:highlight w:val="none"/>
                <w:lang w:val="en-US" w:eastAsia="zh-CN" w:bidi="ar-SA"/>
              </w:rPr>
              <w:t>公章，信用中国截图可前往信用中国首页-专项查询（https://www.creditchina.gov.cn/zhuanxiangchaxun/）-重点领域严重失信主体名单查询①失信被执行人；②重大税收违法失信主体；③政府采购严重违法失信行为记录名单。以上四项查询分别截图加盖公章扫描为一个PDF文件上传。参选人为分公司的，同时对该分公司所属总公司（总所）进行信用记录查询，该分公司所属总公司（总所）存在不良信用记录的，视同响应</w:t>
            </w:r>
            <w:r>
              <w:rPr>
                <w:rFonts w:hint="eastAsia" w:ascii="宋体" w:hAnsi="宋体" w:cs="宋体"/>
                <w:color w:val="auto"/>
                <w:kern w:val="0"/>
                <w:sz w:val="21"/>
                <w:szCs w:val="21"/>
                <w:highlight w:val="none"/>
                <w:lang w:val="en-US" w:eastAsia="zh-CN" w:bidi="ar-SA"/>
              </w:rPr>
              <w:t>参选人</w:t>
            </w:r>
            <w:r>
              <w:rPr>
                <w:rFonts w:hint="eastAsia" w:ascii="宋体" w:hAnsi="宋体" w:eastAsia="宋体" w:cs="宋体"/>
                <w:color w:val="auto"/>
                <w:kern w:val="0"/>
                <w:sz w:val="21"/>
                <w:szCs w:val="21"/>
                <w:highlight w:val="none"/>
                <w:lang w:val="en-US" w:eastAsia="zh-CN" w:bidi="ar-SA"/>
              </w:rPr>
              <w:t>存在不良信用记录。）</w:t>
            </w:r>
          </w:p>
        </w:tc>
        <w:tc>
          <w:tcPr>
            <w:tcW w:w="1183" w:type="pct"/>
            <w:gridSpan w:val="2"/>
            <w:shd w:val="clear" w:color="auto" w:fill="auto"/>
            <w:vAlign w:val="center"/>
          </w:tcPr>
          <w:p w14:paraId="5659FA95">
            <w:pPr>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提供截图证明</w:t>
            </w:r>
          </w:p>
        </w:tc>
        <w:tc>
          <w:tcPr>
            <w:tcW w:w="1015" w:type="pct"/>
            <w:vAlign w:val="center"/>
          </w:tcPr>
          <w:p w14:paraId="0960DD84">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66518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5000" w:type="pct"/>
            <w:gridSpan w:val="6"/>
            <w:tcBorders>
              <w:top w:val="single" w:color="auto" w:sz="12" w:space="0"/>
              <w:left w:val="single" w:color="auto" w:sz="12" w:space="0"/>
              <w:bottom w:val="single" w:color="auto" w:sz="6" w:space="0"/>
              <w:right w:val="single" w:color="auto" w:sz="12" w:space="0"/>
            </w:tcBorders>
            <w:vAlign w:val="center"/>
          </w:tcPr>
          <w:p w14:paraId="087D5166">
            <w:pPr>
              <w:adjustRightInd w:val="0"/>
              <w:snapToGrid w:val="0"/>
              <w:spacing w:line="240" w:lineRule="auto"/>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价格遴选自查表</w:t>
            </w:r>
          </w:p>
        </w:tc>
      </w:tr>
      <w:tr w14:paraId="0E14A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0EE52B96">
            <w:pPr>
              <w:snapToGrid w:val="0"/>
              <w:spacing w:line="240" w:lineRule="auto"/>
              <w:ind w:left="-88" w:leftChars="-42" w:right="-82" w:rightChars="-39"/>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6DBA8347">
            <w:pPr>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文件要求</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2F1A0DF7">
            <w:pPr>
              <w:snapToGrid w:val="0"/>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证明文件</w:t>
            </w:r>
          </w:p>
        </w:tc>
      </w:tr>
      <w:tr w14:paraId="32165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672BE7D5">
            <w:pPr>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566BBD20">
            <w:pPr>
              <w:snapToGrid w:val="0"/>
              <w:spacing w:line="24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报价表</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01701647">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075F7676">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5C51D00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74B8F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jc w:val="center"/>
        </w:trPr>
        <w:tc>
          <w:tcPr>
            <w:tcW w:w="5000" w:type="pct"/>
            <w:gridSpan w:val="6"/>
            <w:tcBorders>
              <w:top w:val="single" w:color="auto" w:sz="6" w:space="0"/>
              <w:left w:val="single" w:color="auto" w:sz="12" w:space="0"/>
              <w:bottom w:val="single" w:color="auto" w:sz="6" w:space="0"/>
              <w:right w:val="single" w:color="auto" w:sz="12" w:space="0"/>
            </w:tcBorders>
            <w:vAlign w:val="center"/>
          </w:tcPr>
          <w:p w14:paraId="7B8A28D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资格、符合性审查表</w:t>
            </w:r>
          </w:p>
        </w:tc>
      </w:tr>
      <w:tr w14:paraId="430DA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5000" w:type="pct"/>
            <w:gridSpan w:val="6"/>
            <w:tcBorders>
              <w:top w:val="single" w:color="auto" w:sz="6" w:space="0"/>
              <w:left w:val="single" w:color="auto" w:sz="12" w:space="0"/>
              <w:bottom w:val="single" w:color="auto" w:sz="6" w:space="0"/>
              <w:right w:val="single" w:color="auto" w:sz="12" w:space="0"/>
            </w:tcBorders>
            <w:vAlign w:val="center"/>
          </w:tcPr>
          <w:p w14:paraId="6D033A65">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资 格 性 评 审 内 容</w:t>
            </w:r>
          </w:p>
        </w:tc>
      </w:tr>
      <w:tr w14:paraId="66C83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7"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4C35F3C5">
            <w:pPr>
              <w:numPr>
                <w:ilvl w:val="0"/>
                <w:numId w:val="84"/>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7A9880FB">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rPr>
              <w:t>具备《中华人民共和国政府采购法》第二十二条规定的条件</w:t>
            </w:r>
            <w:r>
              <w:rPr>
                <w:rFonts w:hint="eastAsia" w:ascii="宋体" w:hAnsi="宋体" w:eastAsia="宋体" w:cs="宋体"/>
                <w:color w:val="auto"/>
                <w:kern w:val="0"/>
                <w:sz w:val="21"/>
                <w:szCs w:val="21"/>
                <w:highlight w:val="none"/>
              </w:rPr>
              <w:t>；</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1CDD6E18">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4AEFEC00">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0F041F8D">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58A15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558D2411">
            <w:pPr>
              <w:adjustRightInd w:val="0"/>
              <w:snapToGrid w:val="0"/>
              <w:spacing w:line="240" w:lineRule="auto"/>
              <w:ind w:left="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7772CA64">
            <w:pPr>
              <w:snapToGrid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提供在中华人民共和国境内注册的法人或其他组织的营业执照或事业单位法人证书或社会团体法人登记证书复印件，如国家另有规定的，则从其规定；（如参选人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eastAsia="宋体" w:cs="宋体"/>
                <w:color w:val="auto"/>
                <w:kern w:val="0"/>
                <w:sz w:val="21"/>
                <w:szCs w:val="21"/>
                <w:highlight w:val="none"/>
              </w:rPr>
              <w:t>）</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7069F0A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311A95A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7181DB3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04184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47312CBE">
            <w:pPr>
              <w:adjustRightInd w:val="0"/>
              <w:snapToGrid w:val="0"/>
              <w:spacing w:line="240" w:lineRule="auto"/>
              <w:ind w:left="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958" w:type="pct"/>
            <w:gridSpan w:val="2"/>
            <w:tcBorders>
              <w:top w:val="single" w:color="auto" w:sz="6" w:space="0"/>
              <w:left w:val="single" w:color="auto" w:sz="6" w:space="0"/>
              <w:bottom w:val="single" w:color="auto" w:sz="6" w:space="0"/>
              <w:right w:val="single" w:color="auto" w:sz="6" w:space="0"/>
            </w:tcBorders>
          </w:tcPr>
          <w:p w14:paraId="4E19531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具有良好的商业信誉和健全的财务会计制度；（提供《参选人资格声明函》）</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392B1533">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3D0D79A6">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46BCB305">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657A7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52AA4BD9">
            <w:pPr>
              <w:adjustRightInd w:val="0"/>
              <w:snapToGrid w:val="0"/>
              <w:spacing w:line="240" w:lineRule="auto"/>
              <w:ind w:left="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958" w:type="pct"/>
            <w:gridSpan w:val="2"/>
            <w:tcBorders>
              <w:top w:val="single" w:color="auto" w:sz="6" w:space="0"/>
              <w:left w:val="single" w:color="auto" w:sz="6" w:space="0"/>
              <w:bottom w:val="single" w:color="auto" w:sz="6" w:space="0"/>
              <w:right w:val="single" w:color="auto" w:sz="6" w:space="0"/>
            </w:tcBorders>
          </w:tcPr>
          <w:p w14:paraId="3912ACA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提供履行合同所必需的设备和专业技术能力的书面声明；（提供《参选人资格声明函》）</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16213AD8">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11BAC54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04345D22">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617EB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13C9E69A">
            <w:pPr>
              <w:adjustRightInd w:val="0"/>
              <w:snapToGrid w:val="0"/>
              <w:spacing w:line="240" w:lineRule="auto"/>
              <w:ind w:left="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958" w:type="pct"/>
            <w:gridSpan w:val="2"/>
            <w:tcBorders>
              <w:top w:val="single" w:color="auto" w:sz="6" w:space="0"/>
              <w:left w:val="single" w:color="auto" w:sz="6" w:space="0"/>
              <w:bottom w:val="single" w:color="auto" w:sz="6" w:space="0"/>
              <w:right w:val="single" w:color="auto" w:sz="6" w:space="0"/>
            </w:tcBorders>
          </w:tcPr>
          <w:p w14:paraId="557ADF5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具有依法缴纳税收和社会保障资金的良好记录；（提供《参选人资格声明函》）</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24C50CC5">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51A1AA93">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421A0AE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066A5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62402871">
            <w:pPr>
              <w:adjustRightInd w:val="0"/>
              <w:snapToGrid w:val="0"/>
              <w:spacing w:line="240" w:lineRule="auto"/>
              <w:ind w:left="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958" w:type="pct"/>
            <w:gridSpan w:val="2"/>
            <w:tcBorders>
              <w:top w:val="single" w:color="auto" w:sz="6" w:space="0"/>
              <w:left w:val="single" w:color="auto" w:sz="6" w:space="0"/>
              <w:bottom w:val="single" w:color="auto" w:sz="6" w:space="0"/>
              <w:right w:val="single" w:color="auto" w:sz="6" w:space="0"/>
            </w:tcBorders>
          </w:tcPr>
          <w:p w14:paraId="44C94A0A">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提供参加采购活动前3年内在经营活动中没有重大违法记录的书面声明；（提供《参选人资格声明函》）</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76CB122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2D919B42">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37C0DAE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1B1F1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67A25964">
            <w:pPr>
              <w:adjustRightInd w:val="0"/>
              <w:snapToGrid w:val="0"/>
              <w:spacing w:line="240" w:lineRule="auto"/>
              <w:ind w:left="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958" w:type="pct"/>
            <w:gridSpan w:val="2"/>
            <w:tcBorders>
              <w:top w:val="single" w:color="auto" w:sz="6" w:space="0"/>
              <w:left w:val="single" w:color="auto" w:sz="6" w:space="0"/>
              <w:bottom w:val="single" w:color="auto" w:sz="6" w:space="0"/>
              <w:right w:val="single" w:color="auto" w:sz="6" w:space="0"/>
            </w:tcBorders>
          </w:tcPr>
          <w:p w14:paraId="384394C5">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法律、行政法规规定的其他条件。（提供《参选人资格声明函》）</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085E19CB">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6EEB2646">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3B876577">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077DB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366B689A">
            <w:pPr>
              <w:numPr>
                <w:ilvl w:val="0"/>
                <w:numId w:val="84"/>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190125DC">
            <w:pPr>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单位负责人为同一人或者存在直接控股、管理关系的不同参选人，不得同时参加本采购项目（或采购包）。为本项目提供整体设计、规范编制或者项目管理、监理、检测等服务的</w:t>
            </w: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，不得再参与本项目，</w:t>
            </w:r>
            <w:r>
              <w:rPr>
                <w:rFonts w:hint="eastAsia" w:ascii="宋体" w:hAnsi="宋体" w:eastAsia="宋体" w:cs="宋体"/>
                <w:bCs/>
                <w:color w:val="auto"/>
                <w:kern w:val="0"/>
                <w:sz w:val="21"/>
                <w:szCs w:val="21"/>
                <w:highlight w:val="none"/>
              </w:rPr>
              <w:t>（提供《参选人资格声明函》）</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61BA4152">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649E81C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03AAB8F5">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52B339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4ECEC208">
            <w:pPr>
              <w:numPr>
                <w:ilvl w:val="0"/>
                <w:numId w:val="84"/>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116AA047">
            <w:pPr>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经办人如是法定代表人，需提供法定代表人证明书及法定代表人身份证复印件，格式详见附件；经办人如是参选人授权代表，需提供法定代表人证明书、法定代表人身份证复印件、法定代表人授权委托书、授权代表身份证复印件</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0C0E6222">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3F1AFDC7">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3FEFE4CA">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18A7B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0E72BEF6">
            <w:pPr>
              <w:numPr>
                <w:ilvl w:val="0"/>
                <w:numId w:val="84"/>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160EA857">
            <w:pPr>
              <w:snapToGrid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参与本项目的参选人需为中小微企业，所属行业为</w:t>
            </w:r>
            <w:r>
              <w:rPr>
                <w:rFonts w:hint="eastAsia" w:ascii="宋体" w:hAnsi="宋体" w:eastAsia="宋体" w:cs="宋体"/>
                <w:color w:val="auto"/>
                <w:sz w:val="21"/>
                <w:szCs w:val="21"/>
                <w:highlight w:val="none"/>
              </w:rPr>
              <w:t>软件和信息技术服务业</w:t>
            </w:r>
            <w:r>
              <w:rPr>
                <w:rFonts w:hint="eastAsia" w:ascii="宋体" w:hAnsi="宋体" w:eastAsia="宋体" w:cs="宋体"/>
                <w:color w:val="auto"/>
                <w:kern w:val="0"/>
                <w:sz w:val="21"/>
                <w:szCs w:val="21"/>
                <w:highlight w:val="none"/>
              </w:rPr>
              <w:t>。参选人应为中小微企业、监狱企业、残疾人福利性单位。（提供《中小企业声明函》或属于监狱企业的证明材料或《残疾人福利性单位声明函》</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38408708">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1F00094D">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713306F5">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09B2B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0D41062E">
            <w:pPr>
              <w:numPr>
                <w:ilvl w:val="0"/>
                <w:numId w:val="84"/>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62DAD5A">
            <w:pPr>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参与本项目的参选人需为中小微企业。且在广东政府采购智慧云平台电子卖场定点</w:t>
            </w:r>
            <w:r>
              <w:rPr>
                <w:rFonts w:hint="eastAsia" w:ascii="宋体" w:hAnsi="宋体" w:cs="宋体"/>
                <w:color w:val="auto"/>
                <w:kern w:val="0"/>
                <w:sz w:val="21"/>
                <w:szCs w:val="21"/>
                <w:highlight w:val="none"/>
                <w:lang w:eastAsia="zh-CN"/>
              </w:rPr>
              <w:t>参选人</w:t>
            </w:r>
            <w:r>
              <w:rPr>
                <w:rFonts w:hint="eastAsia" w:ascii="宋体" w:hAnsi="宋体" w:eastAsia="宋体" w:cs="宋体"/>
                <w:color w:val="auto"/>
                <w:kern w:val="0"/>
                <w:sz w:val="21"/>
                <w:szCs w:val="21"/>
                <w:highlight w:val="none"/>
              </w:rPr>
              <w:t>库，候选后需签订定点采购合同（提供在广东政府采购智慧云平台库内的截图证明）</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064A2AE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60E7AF82">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5C9EA66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4D7DE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3D5CBFF1">
            <w:pPr>
              <w:numPr>
                <w:ilvl w:val="0"/>
                <w:numId w:val="84"/>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57881CCA">
            <w:pPr>
              <w:snapToGrid w:val="0"/>
              <w:spacing w:line="24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参选人未被列入“信用中国”网站(www.creditchina.gov.cn)以下情形之一：①失信被执行人；②重大税收违法失信主体；③政府采购严重违法失信行为记录名单。同时，④在中国政府采购网(www.ccgp.gov.cn)“政府采购严重违法失信行为信息记录”中查询没有处于禁止参加政府采购活动的记录名单。（提供报名期间的相关查询记录截图并加盖</w:t>
            </w:r>
            <w:r>
              <w:rPr>
                <w:rFonts w:hint="eastAsia" w:ascii="宋体" w:hAnsi="宋体" w:cs="宋体"/>
                <w:color w:val="auto"/>
                <w:kern w:val="0"/>
                <w:sz w:val="21"/>
                <w:szCs w:val="21"/>
                <w:highlight w:val="none"/>
                <w:lang w:val="en-US" w:eastAsia="zh-CN" w:bidi="ar-SA"/>
              </w:rPr>
              <w:t>参选人</w:t>
            </w:r>
            <w:r>
              <w:rPr>
                <w:rFonts w:hint="eastAsia" w:ascii="宋体" w:hAnsi="宋体" w:eastAsia="宋体" w:cs="宋体"/>
                <w:color w:val="auto"/>
                <w:kern w:val="0"/>
                <w:sz w:val="21"/>
                <w:szCs w:val="21"/>
                <w:highlight w:val="none"/>
                <w:lang w:val="en-US" w:eastAsia="zh-CN" w:bidi="ar-SA"/>
              </w:rPr>
              <w:t>公章，信用中国截图可前往信用中国首页-专项查询（https://www.creditchina.gov.cn/zhuanxiangchaxun/）-重点领域严重失信主体名单查询①失信被执行人；②重大税收违法失信主体；③政府采购严重违法失信行为记录名单。以上四项查询分别截图加盖公章扫描为一个PDF文件上传。参选人为分公司的，同时对该分公司所属总公司（总所）进行信用记录查询，该分公司所属总公司（总所）存在不良信用记录的，视同响应</w:t>
            </w:r>
            <w:r>
              <w:rPr>
                <w:rFonts w:hint="eastAsia" w:ascii="宋体" w:hAnsi="宋体" w:cs="宋体"/>
                <w:color w:val="auto"/>
                <w:kern w:val="0"/>
                <w:sz w:val="21"/>
                <w:szCs w:val="21"/>
                <w:highlight w:val="none"/>
                <w:lang w:val="en-US" w:eastAsia="zh-CN" w:bidi="ar-SA"/>
              </w:rPr>
              <w:t>参选人</w:t>
            </w:r>
            <w:r>
              <w:rPr>
                <w:rFonts w:hint="eastAsia" w:ascii="宋体" w:hAnsi="宋体" w:eastAsia="宋体" w:cs="宋体"/>
                <w:color w:val="auto"/>
                <w:kern w:val="0"/>
                <w:sz w:val="21"/>
                <w:szCs w:val="21"/>
                <w:highlight w:val="none"/>
                <w:lang w:val="en-US" w:eastAsia="zh-CN" w:bidi="ar-SA"/>
              </w:rPr>
              <w:t>存在不良信用记录。）</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5D7C23C0">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02EFEBC4">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2F1FFC7B">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7F7DA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71"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43719EF6">
            <w:pPr>
              <w:numPr>
                <w:ilvl w:val="0"/>
                <w:numId w:val="84"/>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1D76C11C">
            <w:pPr>
              <w:snapToGrid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参选人资格声明函已提交并符合遴选文件要求的；</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6AE58A3A">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022A1A9D">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52F47EEA">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18943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5000" w:type="pct"/>
            <w:gridSpan w:val="6"/>
            <w:tcBorders>
              <w:top w:val="single" w:color="auto" w:sz="6" w:space="0"/>
              <w:left w:val="single" w:color="auto" w:sz="12" w:space="0"/>
              <w:bottom w:val="single" w:color="auto" w:sz="6" w:space="0"/>
              <w:right w:val="single" w:color="auto" w:sz="12" w:space="0"/>
            </w:tcBorders>
            <w:vAlign w:val="center"/>
          </w:tcPr>
          <w:p w14:paraId="36493DF9">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符 合 性 评 审 内 容</w:t>
            </w:r>
          </w:p>
        </w:tc>
      </w:tr>
      <w:tr w14:paraId="17A06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2"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4C193B4C">
            <w:pPr>
              <w:numPr>
                <w:ilvl w:val="0"/>
                <w:numId w:val="85"/>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6EC3FAE5">
            <w:pPr>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按照遴选文件规定要求签署、盖章且参选文件有法定代表人签字或盖个人名章（或签字人有法定代表人有效授权书）的；</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7B53E8A0">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7B7956A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7C4B5883">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4B3BA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5165E225">
            <w:pPr>
              <w:numPr>
                <w:ilvl w:val="0"/>
                <w:numId w:val="85"/>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49704306">
            <w:pPr>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参选函已提交并符合遴选文件要求的，且参选有效期不少于遴选文件中载明的参选有效期；</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431DBE41">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361E56C2">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09C249E7">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37BA0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2A23E82A">
            <w:pPr>
              <w:numPr>
                <w:ilvl w:val="0"/>
                <w:numId w:val="85"/>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64101D0B">
            <w:pPr>
              <w:snapToGrid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lang w:val="en-US" w:eastAsia="zh-CN"/>
              </w:rPr>
              <w:t>参选</w:t>
            </w:r>
            <w:r>
              <w:rPr>
                <w:rFonts w:hint="eastAsia" w:ascii="宋体" w:hAnsi="宋体" w:cs="宋体"/>
                <w:color w:val="auto"/>
                <w:kern w:val="0"/>
                <w:szCs w:val="21"/>
                <w:highlight w:val="none"/>
              </w:rPr>
              <w:t>文件完全满足</w:t>
            </w:r>
            <w:r>
              <w:rPr>
                <w:rFonts w:hint="eastAsia" w:ascii="宋体" w:hAnsi="宋体" w:cs="宋体"/>
                <w:color w:val="auto"/>
                <w:kern w:val="0"/>
                <w:szCs w:val="21"/>
                <w:highlight w:val="none"/>
                <w:lang w:val="en-US" w:eastAsia="zh-CN"/>
              </w:rPr>
              <w:t>遴选</w:t>
            </w:r>
            <w:r>
              <w:rPr>
                <w:rFonts w:hint="eastAsia" w:ascii="宋体" w:hAnsi="宋体" w:cs="宋体"/>
                <w:color w:val="auto"/>
                <w:kern w:val="0"/>
                <w:szCs w:val="21"/>
                <w:highlight w:val="none"/>
              </w:rPr>
              <w:t>文件的实质性条款（即标注★号条款）无负偏离的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提供《用户需求书条款响应一览表》</w:t>
            </w:r>
            <w:r>
              <w:rPr>
                <w:rFonts w:hint="eastAsia" w:ascii="宋体" w:hAnsi="宋体" w:cs="宋体"/>
                <w:color w:val="auto"/>
                <w:kern w:val="0"/>
                <w:szCs w:val="21"/>
                <w:highlight w:val="none"/>
              </w:rPr>
              <w:t>；</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20AE276E">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56666A2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p w14:paraId="3ED07FAB">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）页-（ ）页</w:t>
            </w:r>
          </w:p>
        </w:tc>
      </w:tr>
      <w:tr w14:paraId="34684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4459DC6B">
            <w:pPr>
              <w:numPr>
                <w:ilvl w:val="0"/>
                <w:numId w:val="85"/>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28F7E3BF">
            <w:pPr>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参选文件未出现选择性报价或有附加条件报价的情形；</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35DC91AD">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37E62372">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r>
      <w:tr w14:paraId="50F38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646EDE14">
            <w:pPr>
              <w:numPr>
                <w:ilvl w:val="0"/>
                <w:numId w:val="85"/>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4F0AA6D9">
            <w:pPr>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参选文件没有遴选文件中规定的其它无效参选条款的；</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1F00156C">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7E8CC53A">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r>
      <w:tr w14:paraId="71746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657" w:type="pct"/>
            <w:gridSpan w:val="2"/>
            <w:tcBorders>
              <w:top w:val="single" w:color="auto" w:sz="6" w:space="0"/>
              <w:left w:val="single" w:color="auto" w:sz="12" w:space="0"/>
              <w:bottom w:val="single" w:color="auto" w:sz="6" w:space="0"/>
              <w:right w:val="single" w:color="auto" w:sz="6" w:space="0"/>
            </w:tcBorders>
            <w:vAlign w:val="center"/>
          </w:tcPr>
          <w:p w14:paraId="2628F71C">
            <w:pPr>
              <w:numPr>
                <w:ilvl w:val="0"/>
                <w:numId w:val="85"/>
              </w:numPr>
              <w:adjustRightInd w:val="0"/>
              <w:snapToGrid w:val="0"/>
              <w:spacing w:line="240" w:lineRule="auto"/>
              <w:jc w:val="center"/>
              <w:textAlignment w:val="baseline"/>
              <w:rPr>
                <w:rFonts w:hint="eastAsia" w:ascii="宋体" w:hAnsi="宋体" w:eastAsia="宋体" w:cs="宋体"/>
                <w:color w:val="auto"/>
                <w:sz w:val="21"/>
                <w:szCs w:val="21"/>
                <w:highlight w:val="none"/>
              </w:rPr>
            </w:pPr>
          </w:p>
        </w:tc>
        <w:tc>
          <w:tcPr>
            <w:tcW w:w="2958" w:type="pct"/>
            <w:gridSpan w:val="2"/>
            <w:tcBorders>
              <w:top w:val="single" w:color="auto" w:sz="6" w:space="0"/>
              <w:left w:val="single" w:color="auto" w:sz="6" w:space="0"/>
              <w:bottom w:val="single" w:color="auto" w:sz="6" w:space="0"/>
              <w:right w:val="single" w:color="auto" w:sz="6" w:space="0"/>
            </w:tcBorders>
            <w:vAlign w:val="center"/>
          </w:tcPr>
          <w:p w14:paraId="618259B2">
            <w:pPr>
              <w:snapToGrid w:val="0"/>
              <w:spacing w:line="240" w:lineRule="auto"/>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按有关法律、法规、规章不属于参选无效的。</w:t>
            </w:r>
          </w:p>
        </w:tc>
        <w:tc>
          <w:tcPr>
            <w:tcW w:w="1384" w:type="pct"/>
            <w:gridSpan w:val="2"/>
            <w:tcBorders>
              <w:top w:val="single" w:color="auto" w:sz="6" w:space="0"/>
              <w:left w:val="single" w:color="auto" w:sz="6" w:space="0"/>
              <w:bottom w:val="single" w:color="auto" w:sz="6" w:space="0"/>
              <w:right w:val="single" w:color="auto" w:sz="12" w:space="0"/>
            </w:tcBorders>
            <w:vAlign w:val="center"/>
          </w:tcPr>
          <w:p w14:paraId="75445724">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w:t>
            </w:r>
          </w:p>
          <w:p w14:paraId="09997BE7">
            <w:pPr>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□不通过</w:t>
            </w:r>
          </w:p>
        </w:tc>
      </w:tr>
    </w:tbl>
    <w:p w14:paraId="20761723">
      <w:pPr>
        <w:pStyle w:val="3"/>
        <w:spacing w:line="360" w:lineRule="auto"/>
        <w:jc w:val="center"/>
        <w:rPr>
          <w:rFonts w:hint="eastAsia" w:ascii="宋体" w:hAnsi="宋体" w:eastAsia="宋体"/>
          <w:color w:val="auto"/>
          <w:highlight w:val="none"/>
          <w:lang w:eastAsia="zh-CN"/>
        </w:rPr>
      </w:pPr>
      <w:r>
        <w:rPr>
          <w:rFonts w:hint="eastAsia" w:ascii="宋体" w:hAnsi="宋体" w:eastAsia="宋体"/>
          <w:color w:val="auto"/>
          <w:highlight w:val="none"/>
        </w:rPr>
        <w:t>技术、商务遴选目录</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适用于包组三</w:t>
      </w:r>
      <w:r>
        <w:rPr>
          <w:rFonts w:hint="eastAsia" w:ascii="宋体" w:hAnsi="宋体" w:eastAsia="宋体"/>
          <w:color w:val="auto"/>
          <w:highlight w:val="none"/>
          <w:lang w:eastAsia="zh-CN"/>
        </w:rPr>
        <w:t>）</w:t>
      </w:r>
    </w:p>
    <w:tbl>
      <w:tblPr>
        <w:tblStyle w:val="35"/>
        <w:tblW w:w="547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65"/>
        <w:gridCol w:w="3240"/>
        <w:gridCol w:w="2625"/>
        <w:gridCol w:w="2790"/>
      </w:tblGrid>
      <w:tr w14:paraId="5C141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357" w:type="pct"/>
            <w:vAlign w:val="center"/>
          </w:tcPr>
          <w:p w14:paraId="7073E39B">
            <w:pPr>
              <w:snapToGrid w:val="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1738" w:type="pct"/>
            <w:vAlign w:val="center"/>
          </w:tcPr>
          <w:p w14:paraId="2F9DDD43">
            <w:pPr>
              <w:snapToGrid w:val="0"/>
              <w:jc w:val="center"/>
              <w:rPr>
                <w:rFonts w:hint="eastAsia" w:ascii="宋体" w:hAnsi="宋体"/>
                <w:b/>
                <w:color w:val="auto"/>
                <w:szCs w:val="21"/>
                <w:highlight w:val="none"/>
              </w:rPr>
            </w:pPr>
            <w:r>
              <w:rPr>
                <w:rFonts w:hint="eastAsia" w:ascii="宋体" w:hAnsi="宋体" w:cs="宋体"/>
                <w:b/>
                <w:color w:val="auto"/>
                <w:szCs w:val="21"/>
                <w:highlight w:val="none"/>
              </w:rPr>
              <w:t>遴选因素</w:t>
            </w:r>
          </w:p>
        </w:tc>
        <w:tc>
          <w:tcPr>
            <w:tcW w:w="1408" w:type="pct"/>
            <w:vAlign w:val="center"/>
          </w:tcPr>
          <w:p w14:paraId="52167AC9">
            <w:pPr>
              <w:snapToGrid w:val="0"/>
              <w:jc w:val="center"/>
              <w:rPr>
                <w:rFonts w:hint="eastAsia" w:ascii="宋体" w:hAnsi="宋体"/>
                <w:b/>
                <w:color w:val="auto"/>
                <w:szCs w:val="21"/>
                <w:highlight w:val="none"/>
              </w:rPr>
            </w:pPr>
            <w:r>
              <w:rPr>
                <w:rFonts w:hint="eastAsia" w:ascii="宋体" w:hAnsi="宋体"/>
                <w:b/>
                <w:color w:val="auto"/>
                <w:szCs w:val="21"/>
                <w:highlight w:val="none"/>
              </w:rPr>
              <w:t>提交内容</w:t>
            </w:r>
          </w:p>
        </w:tc>
        <w:tc>
          <w:tcPr>
            <w:tcW w:w="1496" w:type="pct"/>
            <w:vAlign w:val="center"/>
          </w:tcPr>
          <w:p w14:paraId="4C33F572">
            <w:pPr>
              <w:snapToGrid w:val="0"/>
              <w:jc w:val="center"/>
              <w:rPr>
                <w:rFonts w:hint="eastAsia" w:ascii="宋体" w:hAnsi="宋体"/>
                <w:b/>
                <w:color w:val="auto"/>
                <w:szCs w:val="21"/>
                <w:highlight w:val="none"/>
              </w:rPr>
            </w:pPr>
            <w:r>
              <w:rPr>
                <w:rFonts w:hint="eastAsia" w:ascii="宋体" w:hAnsi="宋体"/>
                <w:b/>
                <w:color w:val="auto"/>
                <w:szCs w:val="21"/>
                <w:highlight w:val="none"/>
              </w:rPr>
              <w:t>证明文件</w:t>
            </w:r>
          </w:p>
        </w:tc>
      </w:tr>
      <w:tr w14:paraId="011DB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5000" w:type="pct"/>
            <w:gridSpan w:val="4"/>
            <w:vAlign w:val="center"/>
          </w:tcPr>
          <w:p w14:paraId="1634CFB6">
            <w:pPr>
              <w:snapToGrid w:val="0"/>
              <w:jc w:val="center"/>
              <w:rPr>
                <w:rFonts w:hint="eastAsia" w:ascii="宋体" w:hAnsi="宋体"/>
                <w:b/>
                <w:bCs/>
                <w:color w:val="auto"/>
                <w:szCs w:val="21"/>
                <w:highlight w:val="none"/>
              </w:rPr>
            </w:pPr>
            <w:r>
              <w:rPr>
                <w:rFonts w:hint="eastAsia" w:ascii="宋体" w:hAnsi="宋体"/>
                <w:b/>
                <w:bCs/>
                <w:color w:val="auto"/>
                <w:szCs w:val="21"/>
                <w:highlight w:val="none"/>
              </w:rPr>
              <w:t>技术评分</w:t>
            </w:r>
          </w:p>
        </w:tc>
      </w:tr>
      <w:tr w14:paraId="3691A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357" w:type="pct"/>
            <w:vAlign w:val="center"/>
          </w:tcPr>
          <w:p w14:paraId="45893135">
            <w:pPr>
              <w:numPr>
                <w:ilvl w:val="0"/>
                <w:numId w:val="86"/>
              </w:numPr>
              <w:adjustRightInd w:val="0"/>
              <w:snapToGrid w:val="0"/>
              <w:ind w:left="0" w:firstLine="0"/>
              <w:jc w:val="center"/>
              <w:textAlignment w:val="baseline"/>
              <w:rPr>
                <w:rFonts w:hint="eastAsia" w:ascii="宋体" w:hAnsi="宋体"/>
                <w:color w:val="auto"/>
                <w:szCs w:val="21"/>
                <w:highlight w:val="none"/>
              </w:rPr>
            </w:pPr>
          </w:p>
        </w:tc>
        <w:tc>
          <w:tcPr>
            <w:tcW w:w="1738" w:type="pct"/>
            <w:vAlign w:val="center"/>
          </w:tcPr>
          <w:p w14:paraId="06FAE900">
            <w:pPr>
              <w:snapToGrid w:val="0"/>
              <w:jc w:val="center"/>
              <w:rPr>
                <w:rFonts w:hint="eastAsia" w:ascii="宋体" w:hAnsi="宋体"/>
                <w:bCs/>
                <w:color w:val="auto"/>
                <w:szCs w:val="21"/>
                <w:highlight w:val="none"/>
              </w:rPr>
            </w:pPr>
            <w:r>
              <w:rPr>
                <w:rFonts w:hint="eastAsia" w:asciiTheme="minorEastAsia" w:hAnsiTheme="minorEastAsia" w:eastAsiaTheme="minorEastAsia" w:cstheme="minorEastAsia"/>
                <w:color w:val="auto"/>
                <w:highlight w:val="none"/>
                <w:lang w:eastAsia="zh-CN"/>
              </w:rPr>
              <w:t>用户需求书</w:t>
            </w:r>
            <w:r>
              <w:rPr>
                <w:rFonts w:hint="eastAsia" w:asciiTheme="minorEastAsia" w:hAnsiTheme="minorEastAsia" w:eastAsiaTheme="minorEastAsia" w:cstheme="minorEastAsia"/>
                <w:color w:val="auto"/>
                <w:highlight w:val="none"/>
              </w:rPr>
              <w:t>中的</w:t>
            </w:r>
            <w:r>
              <w:rPr>
                <w:rFonts w:hint="eastAsia" w:asciiTheme="minorEastAsia" w:hAnsiTheme="minorEastAsia" w:eastAsiaTheme="minorEastAsia" w:cstheme="minorEastAsia"/>
                <w:color w:val="auto"/>
                <w:highlight w:val="none"/>
                <w:lang w:eastAsia="zh-CN"/>
              </w:rPr>
              <w:t>技术条款</w:t>
            </w:r>
            <w:r>
              <w:rPr>
                <w:rFonts w:hint="eastAsia" w:asciiTheme="minorEastAsia" w:hAnsiTheme="minorEastAsia" w:eastAsiaTheme="minorEastAsia" w:cstheme="minorEastAsia"/>
                <w:color w:val="auto"/>
                <w:highlight w:val="none"/>
              </w:rPr>
              <w:t>响应情况</w:t>
            </w:r>
          </w:p>
        </w:tc>
        <w:tc>
          <w:tcPr>
            <w:tcW w:w="1408" w:type="pct"/>
            <w:vAlign w:val="center"/>
          </w:tcPr>
          <w:p w14:paraId="7E49D065">
            <w:pPr>
              <w:snapToGrid w:val="0"/>
              <w:jc w:val="center"/>
              <w:rPr>
                <w:rFonts w:hint="eastAsia" w:ascii="宋体" w:hAnsi="宋体"/>
                <w:color w:val="auto"/>
                <w:szCs w:val="21"/>
                <w:highlight w:val="none"/>
              </w:rPr>
            </w:pPr>
            <w:r>
              <w:rPr>
                <w:rFonts w:ascii="宋体" w:hAnsi="宋体"/>
                <w:color w:val="auto"/>
                <w:szCs w:val="21"/>
                <w:highlight w:val="none"/>
              </w:rPr>
              <w:t>详见</w:t>
            </w:r>
            <w:r>
              <w:rPr>
                <w:rFonts w:hint="eastAsia" w:ascii="宋体" w:hAnsi="宋体"/>
                <w:color w:val="auto"/>
                <w:szCs w:val="21"/>
                <w:highlight w:val="none"/>
              </w:rPr>
              <w:t>“遴选细则”</w:t>
            </w:r>
          </w:p>
        </w:tc>
        <w:tc>
          <w:tcPr>
            <w:tcW w:w="1496" w:type="pct"/>
            <w:vAlign w:val="center"/>
          </w:tcPr>
          <w:p w14:paraId="182A0765">
            <w:pPr>
              <w:snapToGrid w:val="0"/>
              <w:jc w:val="center"/>
              <w:rPr>
                <w:rFonts w:hint="eastAsia" w:ascii="宋体" w:hAnsi="宋体"/>
                <w:color w:val="auto"/>
                <w:szCs w:val="21"/>
                <w:highlight w:val="none"/>
              </w:rPr>
            </w:pPr>
            <w:r>
              <w:rPr>
                <w:rFonts w:hint="eastAsia" w:ascii="宋体" w:hAnsi="宋体"/>
                <w:color w:val="auto"/>
                <w:szCs w:val="21"/>
                <w:highlight w:val="none"/>
              </w:rPr>
              <w:t>第（ ）页-（ ）页</w:t>
            </w:r>
          </w:p>
        </w:tc>
      </w:tr>
      <w:tr w14:paraId="2AA88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357" w:type="pct"/>
            <w:vAlign w:val="center"/>
          </w:tcPr>
          <w:p w14:paraId="1BCF1DC4">
            <w:pPr>
              <w:numPr>
                <w:ilvl w:val="0"/>
                <w:numId w:val="86"/>
              </w:numPr>
              <w:adjustRightInd w:val="0"/>
              <w:snapToGrid w:val="0"/>
              <w:ind w:left="0" w:firstLine="0"/>
              <w:jc w:val="center"/>
              <w:textAlignment w:val="baseline"/>
              <w:rPr>
                <w:rFonts w:hint="eastAsia" w:ascii="宋体" w:hAnsi="宋体"/>
                <w:color w:val="auto"/>
                <w:szCs w:val="21"/>
                <w:highlight w:val="none"/>
              </w:rPr>
            </w:pPr>
          </w:p>
        </w:tc>
        <w:tc>
          <w:tcPr>
            <w:tcW w:w="1738" w:type="pct"/>
            <w:vAlign w:val="center"/>
          </w:tcPr>
          <w:p w14:paraId="1964423A">
            <w:pPr>
              <w:snapToGrid w:val="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项目重点难点分析、应对措施及相关的合理化建议</w:t>
            </w: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p>
        </w:tc>
        <w:tc>
          <w:tcPr>
            <w:tcW w:w="1408" w:type="pct"/>
            <w:shd w:val="clear" w:color="auto" w:fill="auto"/>
            <w:vAlign w:val="center"/>
          </w:tcPr>
          <w:p w14:paraId="5137763E">
            <w:pPr>
              <w:snapToGrid w:val="0"/>
              <w:jc w:val="center"/>
              <w:rPr>
                <w:rFonts w:hint="eastAsia" w:ascii="宋体" w:hAnsi="宋体" w:eastAsia="宋体" w:cs="黑体"/>
                <w:color w:val="auto"/>
                <w:kern w:val="2"/>
                <w:sz w:val="21"/>
                <w:szCs w:val="21"/>
                <w:highlight w:val="none"/>
                <w:lang w:val="en-US" w:eastAsia="zh-CN" w:bidi="ar-SA"/>
              </w:rPr>
            </w:pPr>
            <w:r>
              <w:rPr>
                <w:rFonts w:ascii="宋体" w:hAnsi="宋体"/>
                <w:color w:val="auto"/>
                <w:szCs w:val="21"/>
                <w:highlight w:val="none"/>
              </w:rPr>
              <w:t>详见</w:t>
            </w:r>
            <w:r>
              <w:rPr>
                <w:rFonts w:hint="eastAsia" w:ascii="宋体" w:hAnsi="宋体"/>
                <w:color w:val="auto"/>
                <w:szCs w:val="21"/>
                <w:highlight w:val="none"/>
              </w:rPr>
              <w:t>“遴选细则”</w:t>
            </w:r>
          </w:p>
        </w:tc>
        <w:tc>
          <w:tcPr>
            <w:tcW w:w="1496" w:type="pct"/>
            <w:shd w:val="clear" w:color="auto" w:fill="auto"/>
            <w:vAlign w:val="center"/>
          </w:tcPr>
          <w:p w14:paraId="75447E24">
            <w:pPr>
              <w:snapToGrid w:val="0"/>
              <w:jc w:val="center"/>
              <w:rPr>
                <w:rFonts w:hint="eastAsia" w:ascii="宋体" w:hAnsi="宋体" w:eastAsia="宋体" w:cs="黑体"/>
                <w:color w:val="auto"/>
                <w:kern w:val="2"/>
                <w:sz w:val="21"/>
                <w:szCs w:val="21"/>
                <w:highlight w:val="none"/>
                <w:lang w:val="en-US" w:eastAsia="zh-CN" w:bidi="ar-SA"/>
              </w:rPr>
            </w:pPr>
            <w:r>
              <w:rPr>
                <w:rFonts w:hint="eastAsia" w:ascii="宋体" w:hAnsi="宋体"/>
                <w:color w:val="auto"/>
                <w:szCs w:val="21"/>
                <w:highlight w:val="none"/>
              </w:rPr>
              <w:t>第（ ）页-（ ）页</w:t>
            </w:r>
          </w:p>
        </w:tc>
      </w:tr>
      <w:tr w14:paraId="2138C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357" w:type="pct"/>
            <w:vAlign w:val="center"/>
          </w:tcPr>
          <w:p w14:paraId="2575BD37">
            <w:pPr>
              <w:numPr>
                <w:ilvl w:val="0"/>
                <w:numId w:val="86"/>
              </w:numPr>
              <w:adjustRightInd w:val="0"/>
              <w:snapToGrid w:val="0"/>
              <w:ind w:left="0" w:firstLine="0"/>
              <w:jc w:val="center"/>
              <w:textAlignment w:val="baseline"/>
              <w:rPr>
                <w:rFonts w:hint="eastAsia" w:ascii="宋体" w:hAnsi="宋体"/>
                <w:color w:val="auto"/>
                <w:szCs w:val="21"/>
                <w:highlight w:val="none"/>
              </w:rPr>
            </w:pPr>
          </w:p>
        </w:tc>
        <w:tc>
          <w:tcPr>
            <w:tcW w:w="1738" w:type="pct"/>
            <w:vAlign w:val="center"/>
          </w:tcPr>
          <w:p w14:paraId="226095F1">
            <w:pPr>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项目重点难点分析、应对措施及相关的合理化建议</w:t>
            </w: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p>
        </w:tc>
        <w:tc>
          <w:tcPr>
            <w:tcW w:w="1408" w:type="pct"/>
            <w:shd w:val="clear" w:color="auto" w:fill="auto"/>
            <w:vAlign w:val="center"/>
          </w:tcPr>
          <w:p w14:paraId="1C93E7B1">
            <w:pPr>
              <w:snapToGrid w:val="0"/>
              <w:jc w:val="center"/>
              <w:rPr>
                <w:rFonts w:hint="eastAsia" w:ascii="宋体" w:hAnsi="宋体" w:eastAsia="宋体" w:cs="黑体"/>
                <w:color w:val="auto"/>
                <w:kern w:val="2"/>
                <w:sz w:val="21"/>
                <w:szCs w:val="21"/>
                <w:highlight w:val="none"/>
                <w:lang w:val="en-US" w:eastAsia="zh-CN" w:bidi="ar-SA"/>
              </w:rPr>
            </w:pPr>
            <w:r>
              <w:rPr>
                <w:rFonts w:ascii="宋体" w:hAnsi="宋体"/>
                <w:color w:val="auto"/>
                <w:szCs w:val="21"/>
                <w:highlight w:val="none"/>
              </w:rPr>
              <w:t>详见</w:t>
            </w:r>
            <w:r>
              <w:rPr>
                <w:rFonts w:hint="eastAsia" w:ascii="宋体" w:hAnsi="宋体"/>
                <w:color w:val="auto"/>
                <w:szCs w:val="21"/>
                <w:highlight w:val="none"/>
              </w:rPr>
              <w:t>“遴选细则”</w:t>
            </w:r>
          </w:p>
        </w:tc>
        <w:tc>
          <w:tcPr>
            <w:tcW w:w="1496" w:type="pct"/>
            <w:shd w:val="clear" w:color="auto" w:fill="auto"/>
            <w:vAlign w:val="center"/>
          </w:tcPr>
          <w:p w14:paraId="71201DAB">
            <w:pPr>
              <w:snapToGrid w:val="0"/>
              <w:jc w:val="center"/>
              <w:rPr>
                <w:rFonts w:hint="eastAsia" w:ascii="宋体" w:hAnsi="宋体" w:eastAsia="宋体" w:cs="黑体"/>
                <w:color w:val="auto"/>
                <w:kern w:val="2"/>
                <w:sz w:val="21"/>
                <w:szCs w:val="21"/>
                <w:highlight w:val="none"/>
                <w:lang w:val="en-US" w:eastAsia="zh-CN" w:bidi="ar-SA"/>
              </w:rPr>
            </w:pPr>
            <w:r>
              <w:rPr>
                <w:rFonts w:hint="eastAsia" w:ascii="宋体" w:hAnsi="宋体"/>
                <w:color w:val="auto"/>
                <w:szCs w:val="21"/>
                <w:highlight w:val="none"/>
              </w:rPr>
              <w:t>第（ ）页-（ ）页</w:t>
            </w:r>
          </w:p>
        </w:tc>
      </w:tr>
      <w:tr w14:paraId="451A1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357" w:type="pct"/>
            <w:vAlign w:val="center"/>
          </w:tcPr>
          <w:p w14:paraId="60B056D5">
            <w:pPr>
              <w:numPr>
                <w:ilvl w:val="0"/>
                <w:numId w:val="86"/>
              </w:numPr>
              <w:adjustRightInd w:val="0"/>
              <w:snapToGrid w:val="0"/>
              <w:ind w:left="0" w:firstLine="0"/>
              <w:jc w:val="center"/>
              <w:textAlignment w:val="baseline"/>
              <w:rPr>
                <w:rFonts w:hint="eastAsia" w:ascii="宋体" w:hAnsi="宋体"/>
                <w:color w:val="auto"/>
                <w:szCs w:val="21"/>
                <w:highlight w:val="none"/>
              </w:rPr>
            </w:pPr>
          </w:p>
        </w:tc>
        <w:tc>
          <w:tcPr>
            <w:tcW w:w="1738" w:type="pct"/>
            <w:vAlign w:val="center"/>
          </w:tcPr>
          <w:p w14:paraId="19AE3B73">
            <w:pPr>
              <w:snapToGrid w:val="0"/>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Cs/>
                <w:color w:val="auto"/>
                <w:sz w:val="21"/>
                <w:szCs w:val="21"/>
                <w:highlight w:val="none"/>
              </w:rPr>
              <w:t>实施方案</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一</w:t>
            </w:r>
            <w:r>
              <w:rPr>
                <w:rFonts w:hint="eastAsia" w:asciiTheme="minorEastAsia" w:hAnsiTheme="minorEastAsia" w:eastAsiaTheme="minorEastAsia" w:cstheme="minorEastAsia"/>
                <w:bCs/>
                <w:color w:val="auto"/>
                <w:sz w:val="21"/>
                <w:szCs w:val="21"/>
                <w:highlight w:val="none"/>
                <w:lang w:eastAsia="zh-CN"/>
              </w:rPr>
              <w:t>）</w:t>
            </w:r>
          </w:p>
        </w:tc>
        <w:tc>
          <w:tcPr>
            <w:tcW w:w="1408" w:type="pct"/>
            <w:shd w:val="clear" w:color="auto" w:fill="auto"/>
            <w:vAlign w:val="center"/>
          </w:tcPr>
          <w:p w14:paraId="5E762213">
            <w:pPr>
              <w:snapToGrid w:val="0"/>
              <w:jc w:val="center"/>
              <w:rPr>
                <w:rFonts w:hint="eastAsia" w:ascii="宋体" w:hAnsi="宋体" w:eastAsia="宋体" w:cs="黑体"/>
                <w:color w:val="auto"/>
                <w:kern w:val="2"/>
                <w:sz w:val="21"/>
                <w:szCs w:val="21"/>
                <w:highlight w:val="none"/>
                <w:lang w:val="en-US" w:eastAsia="zh-CN" w:bidi="ar-SA"/>
              </w:rPr>
            </w:pPr>
            <w:r>
              <w:rPr>
                <w:rFonts w:ascii="宋体" w:hAnsi="宋体"/>
                <w:color w:val="auto"/>
                <w:szCs w:val="21"/>
                <w:highlight w:val="none"/>
              </w:rPr>
              <w:t>详见</w:t>
            </w:r>
            <w:r>
              <w:rPr>
                <w:rFonts w:hint="eastAsia" w:ascii="宋体" w:hAnsi="宋体"/>
                <w:color w:val="auto"/>
                <w:szCs w:val="21"/>
                <w:highlight w:val="none"/>
              </w:rPr>
              <w:t>“遴选细则”</w:t>
            </w:r>
          </w:p>
        </w:tc>
        <w:tc>
          <w:tcPr>
            <w:tcW w:w="1496" w:type="pct"/>
            <w:shd w:val="clear" w:color="auto" w:fill="auto"/>
            <w:vAlign w:val="center"/>
          </w:tcPr>
          <w:p w14:paraId="748A7118">
            <w:pPr>
              <w:snapToGrid w:val="0"/>
              <w:jc w:val="center"/>
              <w:rPr>
                <w:rFonts w:hint="eastAsia" w:ascii="宋体" w:hAnsi="宋体" w:eastAsia="宋体" w:cs="黑体"/>
                <w:color w:val="auto"/>
                <w:kern w:val="2"/>
                <w:sz w:val="21"/>
                <w:szCs w:val="21"/>
                <w:highlight w:val="none"/>
                <w:lang w:val="en-US" w:eastAsia="zh-CN" w:bidi="ar-SA"/>
              </w:rPr>
            </w:pPr>
            <w:r>
              <w:rPr>
                <w:rFonts w:hint="eastAsia" w:ascii="宋体" w:hAnsi="宋体"/>
                <w:color w:val="auto"/>
                <w:szCs w:val="21"/>
                <w:highlight w:val="none"/>
              </w:rPr>
              <w:t>第（ ）页-（ ）页</w:t>
            </w:r>
          </w:p>
        </w:tc>
      </w:tr>
      <w:tr w14:paraId="2AEE1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357" w:type="pct"/>
            <w:vAlign w:val="center"/>
          </w:tcPr>
          <w:p w14:paraId="019CA0D1">
            <w:pPr>
              <w:numPr>
                <w:ilvl w:val="0"/>
                <w:numId w:val="86"/>
              </w:numPr>
              <w:adjustRightInd w:val="0"/>
              <w:snapToGrid w:val="0"/>
              <w:ind w:left="0" w:firstLine="0"/>
              <w:jc w:val="center"/>
              <w:textAlignment w:val="baseline"/>
              <w:rPr>
                <w:rFonts w:hint="eastAsia" w:ascii="宋体" w:hAnsi="宋体"/>
                <w:color w:val="auto"/>
                <w:szCs w:val="21"/>
                <w:highlight w:val="none"/>
              </w:rPr>
            </w:pPr>
          </w:p>
        </w:tc>
        <w:tc>
          <w:tcPr>
            <w:tcW w:w="1738" w:type="pct"/>
            <w:vAlign w:val="center"/>
          </w:tcPr>
          <w:p w14:paraId="4BDC4BB3">
            <w:pPr>
              <w:snapToGrid w:val="0"/>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实施方案</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二</w:t>
            </w:r>
            <w:r>
              <w:rPr>
                <w:rFonts w:hint="eastAsia" w:asciiTheme="minorEastAsia" w:hAnsiTheme="minorEastAsia" w:eastAsiaTheme="minorEastAsia" w:cstheme="minorEastAsia"/>
                <w:bCs/>
                <w:color w:val="auto"/>
                <w:sz w:val="21"/>
                <w:szCs w:val="21"/>
                <w:highlight w:val="none"/>
                <w:lang w:eastAsia="zh-CN"/>
              </w:rPr>
              <w:t>）</w:t>
            </w:r>
          </w:p>
        </w:tc>
        <w:tc>
          <w:tcPr>
            <w:tcW w:w="1408" w:type="pct"/>
            <w:shd w:val="clear" w:color="auto" w:fill="auto"/>
            <w:vAlign w:val="center"/>
          </w:tcPr>
          <w:p w14:paraId="37F13B5E">
            <w:pPr>
              <w:snapToGrid w:val="0"/>
              <w:jc w:val="center"/>
              <w:rPr>
                <w:rFonts w:hint="eastAsia" w:ascii="宋体" w:hAnsi="宋体" w:eastAsia="宋体" w:cs="黑体"/>
                <w:color w:val="auto"/>
                <w:kern w:val="2"/>
                <w:sz w:val="21"/>
                <w:szCs w:val="21"/>
                <w:highlight w:val="none"/>
                <w:lang w:val="en-US" w:eastAsia="zh-CN" w:bidi="ar-SA"/>
              </w:rPr>
            </w:pPr>
            <w:r>
              <w:rPr>
                <w:rFonts w:ascii="宋体" w:hAnsi="宋体"/>
                <w:color w:val="auto"/>
                <w:szCs w:val="21"/>
                <w:highlight w:val="none"/>
              </w:rPr>
              <w:t>详见</w:t>
            </w:r>
            <w:r>
              <w:rPr>
                <w:rFonts w:hint="eastAsia" w:ascii="宋体" w:hAnsi="宋体"/>
                <w:color w:val="auto"/>
                <w:szCs w:val="21"/>
                <w:highlight w:val="none"/>
              </w:rPr>
              <w:t>“遴选细则”</w:t>
            </w:r>
          </w:p>
        </w:tc>
        <w:tc>
          <w:tcPr>
            <w:tcW w:w="1496" w:type="pct"/>
            <w:shd w:val="clear" w:color="auto" w:fill="auto"/>
            <w:vAlign w:val="center"/>
          </w:tcPr>
          <w:p w14:paraId="55B685EA">
            <w:pPr>
              <w:snapToGrid w:val="0"/>
              <w:jc w:val="center"/>
              <w:rPr>
                <w:rFonts w:hint="eastAsia" w:ascii="宋体" w:hAnsi="宋体" w:eastAsia="宋体" w:cs="黑体"/>
                <w:color w:val="auto"/>
                <w:kern w:val="2"/>
                <w:sz w:val="21"/>
                <w:szCs w:val="21"/>
                <w:highlight w:val="none"/>
                <w:lang w:val="en-US" w:eastAsia="zh-CN" w:bidi="ar-SA"/>
              </w:rPr>
            </w:pPr>
            <w:r>
              <w:rPr>
                <w:rFonts w:hint="eastAsia" w:ascii="宋体" w:hAnsi="宋体"/>
                <w:color w:val="auto"/>
                <w:szCs w:val="21"/>
                <w:highlight w:val="none"/>
              </w:rPr>
              <w:t>第（ ）页-（ ）页</w:t>
            </w:r>
          </w:p>
        </w:tc>
      </w:tr>
      <w:tr w14:paraId="46B1E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357" w:type="pct"/>
            <w:vAlign w:val="center"/>
          </w:tcPr>
          <w:p w14:paraId="51116637">
            <w:pPr>
              <w:numPr>
                <w:ilvl w:val="0"/>
                <w:numId w:val="86"/>
              </w:numPr>
              <w:adjustRightInd w:val="0"/>
              <w:snapToGrid w:val="0"/>
              <w:ind w:left="0" w:firstLine="0"/>
              <w:jc w:val="center"/>
              <w:textAlignment w:val="baseline"/>
              <w:rPr>
                <w:rFonts w:hint="eastAsia" w:ascii="宋体" w:hAnsi="宋体"/>
                <w:color w:val="auto"/>
                <w:szCs w:val="21"/>
                <w:highlight w:val="none"/>
              </w:rPr>
            </w:pPr>
          </w:p>
        </w:tc>
        <w:tc>
          <w:tcPr>
            <w:tcW w:w="1738" w:type="pct"/>
            <w:vAlign w:val="center"/>
          </w:tcPr>
          <w:p w14:paraId="5BE7CC25">
            <w:pPr>
              <w:snapToGrid w:val="0"/>
              <w:jc w:val="center"/>
              <w:rPr>
                <w:rFonts w:hint="eastAsia" w:ascii="宋体" w:hAnsi="宋体"/>
                <w:bCs/>
                <w:color w:val="auto"/>
                <w:szCs w:val="21"/>
                <w:highlight w:val="none"/>
              </w:rPr>
            </w:pPr>
            <w:r>
              <w:rPr>
                <w:rFonts w:hint="eastAsia" w:asciiTheme="minorEastAsia" w:hAnsiTheme="minorEastAsia" w:eastAsiaTheme="minorEastAsia" w:cstheme="minorEastAsia"/>
                <w:color w:val="auto"/>
                <w:sz w:val="21"/>
                <w:szCs w:val="21"/>
                <w:highlight w:val="none"/>
              </w:rPr>
              <w:t>售后服务方案</w:t>
            </w:r>
          </w:p>
        </w:tc>
        <w:tc>
          <w:tcPr>
            <w:tcW w:w="1408" w:type="pct"/>
            <w:vAlign w:val="center"/>
          </w:tcPr>
          <w:p w14:paraId="14DF27E2">
            <w:pPr>
              <w:snapToGrid w:val="0"/>
              <w:jc w:val="center"/>
              <w:rPr>
                <w:rFonts w:hint="eastAsia" w:ascii="宋体" w:hAnsi="宋体"/>
                <w:color w:val="auto"/>
                <w:szCs w:val="21"/>
                <w:highlight w:val="none"/>
              </w:rPr>
            </w:pPr>
            <w:r>
              <w:rPr>
                <w:rFonts w:ascii="宋体" w:hAnsi="宋体"/>
                <w:color w:val="auto"/>
                <w:szCs w:val="21"/>
                <w:highlight w:val="none"/>
              </w:rPr>
              <w:t>详见</w:t>
            </w:r>
            <w:r>
              <w:rPr>
                <w:rFonts w:hint="eastAsia" w:ascii="宋体" w:hAnsi="宋体"/>
                <w:color w:val="auto"/>
                <w:szCs w:val="21"/>
                <w:highlight w:val="none"/>
              </w:rPr>
              <w:t>“遴选细则”</w:t>
            </w:r>
          </w:p>
        </w:tc>
        <w:tc>
          <w:tcPr>
            <w:tcW w:w="1496" w:type="pct"/>
            <w:vAlign w:val="center"/>
          </w:tcPr>
          <w:p w14:paraId="44820808">
            <w:pPr>
              <w:snapToGrid w:val="0"/>
              <w:jc w:val="center"/>
              <w:rPr>
                <w:rFonts w:hint="eastAsia" w:ascii="宋体" w:hAnsi="宋体"/>
                <w:color w:val="auto"/>
                <w:szCs w:val="21"/>
                <w:highlight w:val="none"/>
              </w:rPr>
            </w:pPr>
            <w:r>
              <w:rPr>
                <w:rFonts w:hint="eastAsia" w:ascii="宋体" w:hAnsi="宋体"/>
                <w:color w:val="auto"/>
                <w:szCs w:val="21"/>
                <w:highlight w:val="none"/>
              </w:rPr>
              <w:t>第（ ）页-（ ）页</w:t>
            </w:r>
          </w:p>
        </w:tc>
      </w:tr>
      <w:tr w14:paraId="2EEA2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5000" w:type="pct"/>
            <w:gridSpan w:val="4"/>
            <w:vAlign w:val="center"/>
          </w:tcPr>
          <w:p w14:paraId="0E8DB8DB">
            <w:pPr>
              <w:snapToGrid w:val="0"/>
              <w:jc w:val="center"/>
              <w:rPr>
                <w:rFonts w:hint="eastAsia" w:ascii="宋体" w:hAnsi="宋体"/>
                <w:color w:val="auto"/>
                <w:szCs w:val="21"/>
                <w:highlight w:val="none"/>
              </w:rPr>
            </w:pPr>
            <w:r>
              <w:rPr>
                <w:rFonts w:hint="eastAsia" w:ascii="宋体" w:hAnsi="宋体" w:cs="Times New Roman"/>
                <w:b/>
                <w:color w:val="auto"/>
                <w:szCs w:val="21"/>
                <w:highlight w:val="none"/>
              </w:rPr>
              <w:t>商务评分</w:t>
            </w:r>
          </w:p>
        </w:tc>
      </w:tr>
      <w:tr w14:paraId="111AF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jc w:val="center"/>
        </w:trPr>
        <w:tc>
          <w:tcPr>
            <w:tcW w:w="357" w:type="pct"/>
            <w:vAlign w:val="center"/>
          </w:tcPr>
          <w:p w14:paraId="00A8E1F9">
            <w:pPr>
              <w:numPr>
                <w:ilvl w:val="0"/>
                <w:numId w:val="87"/>
              </w:numPr>
              <w:adjustRightInd w:val="0"/>
              <w:snapToGrid w:val="0"/>
              <w:ind w:left="0" w:firstLine="0"/>
              <w:jc w:val="center"/>
              <w:textAlignment w:val="baseline"/>
              <w:rPr>
                <w:rFonts w:hint="eastAsia" w:ascii="宋体" w:hAnsi="宋体"/>
                <w:color w:val="auto"/>
                <w:szCs w:val="21"/>
                <w:highlight w:val="none"/>
              </w:rPr>
            </w:pPr>
          </w:p>
        </w:tc>
        <w:tc>
          <w:tcPr>
            <w:tcW w:w="1738" w:type="pct"/>
            <w:vAlign w:val="center"/>
          </w:tcPr>
          <w:p w14:paraId="6E102F26">
            <w:pPr>
              <w:snapToGrid w:val="0"/>
              <w:jc w:val="center"/>
              <w:rPr>
                <w:rFonts w:hint="eastAsia" w:ascii="宋体" w:hAnsi="宋体"/>
                <w:bCs/>
                <w:color w:val="auto"/>
                <w:szCs w:val="21"/>
                <w:highlight w:val="none"/>
              </w:rPr>
            </w:pPr>
            <w:r>
              <w:rPr>
                <w:rFonts w:hint="eastAsia" w:asciiTheme="minorEastAsia" w:hAnsiTheme="minorEastAsia" w:eastAsiaTheme="minorEastAsia" w:cstheme="minorEastAsia"/>
                <w:color w:val="auto"/>
                <w:sz w:val="21"/>
                <w:szCs w:val="21"/>
                <w:highlight w:val="none"/>
              </w:rPr>
              <w:t>同类项目业绩</w:t>
            </w:r>
          </w:p>
        </w:tc>
        <w:tc>
          <w:tcPr>
            <w:tcW w:w="1408" w:type="pct"/>
            <w:vAlign w:val="center"/>
          </w:tcPr>
          <w:p w14:paraId="2483C56D">
            <w:pPr>
              <w:snapToGrid w:val="0"/>
              <w:jc w:val="center"/>
              <w:rPr>
                <w:rFonts w:hint="eastAsia" w:ascii="宋体" w:hAnsi="宋体"/>
                <w:color w:val="auto"/>
                <w:szCs w:val="21"/>
                <w:highlight w:val="none"/>
              </w:rPr>
            </w:pPr>
            <w:r>
              <w:rPr>
                <w:rFonts w:ascii="宋体" w:hAnsi="宋体"/>
                <w:color w:val="auto"/>
                <w:szCs w:val="21"/>
                <w:highlight w:val="none"/>
              </w:rPr>
              <w:t>详见</w:t>
            </w:r>
            <w:r>
              <w:rPr>
                <w:rFonts w:hint="eastAsia" w:ascii="宋体" w:hAnsi="宋体"/>
                <w:color w:val="auto"/>
                <w:szCs w:val="21"/>
                <w:highlight w:val="none"/>
              </w:rPr>
              <w:t>“遴选细则”</w:t>
            </w:r>
          </w:p>
        </w:tc>
        <w:tc>
          <w:tcPr>
            <w:tcW w:w="1496" w:type="pct"/>
            <w:vAlign w:val="center"/>
          </w:tcPr>
          <w:p w14:paraId="009289CB">
            <w:pPr>
              <w:snapToGrid w:val="0"/>
              <w:jc w:val="center"/>
              <w:rPr>
                <w:rFonts w:hint="eastAsia" w:ascii="宋体" w:hAnsi="宋体"/>
                <w:color w:val="auto"/>
                <w:szCs w:val="21"/>
                <w:highlight w:val="none"/>
              </w:rPr>
            </w:pPr>
            <w:r>
              <w:rPr>
                <w:rFonts w:hint="eastAsia" w:ascii="宋体" w:hAnsi="宋体"/>
                <w:color w:val="auto"/>
                <w:szCs w:val="21"/>
                <w:highlight w:val="none"/>
              </w:rPr>
              <w:t>第（ ）页-（ ）页</w:t>
            </w:r>
          </w:p>
        </w:tc>
      </w:tr>
      <w:tr w14:paraId="61AAA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357" w:type="pct"/>
            <w:vAlign w:val="center"/>
          </w:tcPr>
          <w:p w14:paraId="563C2CCB">
            <w:pPr>
              <w:numPr>
                <w:ilvl w:val="0"/>
                <w:numId w:val="87"/>
              </w:numPr>
              <w:adjustRightInd w:val="0"/>
              <w:snapToGrid w:val="0"/>
              <w:ind w:left="0" w:firstLine="0"/>
              <w:jc w:val="center"/>
              <w:textAlignment w:val="baseline"/>
              <w:rPr>
                <w:rFonts w:hint="eastAsia" w:ascii="宋体" w:hAnsi="宋体"/>
                <w:color w:val="auto"/>
                <w:szCs w:val="21"/>
                <w:highlight w:val="none"/>
              </w:rPr>
            </w:pPr>
          </w:p>
        </w:tc>
        <w:tc>
          <w:tcPr>
            <w:tcW w:w="1738" w:type="pct"/>
            <w:vAlign w:val="center"/>
          </w:tcPr>
          <w:p w14:paraId="07AC4508">
            <w:pPr>
              <w:snapToGrid w:val="0"/>
              <w:jc w:val="center"/>
              <w:rPr>
                <w:rFonts w:hint="eastAsia" w:ascii="宋体" w:hAnsi="宋体" w:cs="宋体"/>
                <w:color w:val="auto"/>
                <w:szCs w:val="21"/>
                <w:highlight w:val="none"/>
              </w:rPr>
            </w:pPr>
            <w:r>
              <w:rPr>
                <w:rFonts w:hint="eastAsia" w:asciiTheme="minorEastAsia" w:hAnsiTheme="minorEastAsia" w:eastAsiaTheme="minorEastAsia" w:cstheme="minorEastAsia"/>
                <w:color w:val="auto"/>
                <w:kern w:val="0"/>
                <w:sz w:val="21"/>
                <w:szCs w:val="21"/>
                <w:highlight w:val="none"/>
              </w:rPr>
              <w:t>拟派项目经理资质要求</w:t>
            </w:r>
          </w:p>
        </w:tc>
        <w:tc>
          <w:tcPr>
            <w:tcW w:w="1408" w:type="pct"/>
            <w:vAlign w:val="center"/>
          </w:tcPr>
          <w:p w14:paraId="3B314B82">
            <w:pPr>
              <w:jc w:val="center"/>
              <w:rPr>
                <w:color w:val="auto"/>
                <w:highlight w:val="none"/>
              </w:rPr>
            </w:pPr>
            <w:r>
              <w:rPr>
                <w:rFonts w:ascii="宋体" w:hAnsi="宋体"/>
                <w:color w:val="auto"/>
                <w:szCs w:val="21"/>
                <w:highlight w:val="none"/>
              </w:rPr>
              <w:t>详见</w:t>
            </w:r>
            <w:r>
              <w:rPr>
                <w:rFonts w:hint="eastAsia" w:ascii="宋体" w:hAnsi="宋体"/>
                <w:color w:val="auto"/>
                <w:szCs w:val="21"/>
                <w:highlight w:val="none"/>
              </w:rPr>
              <w:t>“遴选细则”</w:t>
            </w:r>
          </w:p>
        </w:tc>
        <w:tc>
          <w:tcPr>
            <w:tcW w:w="1496" w:type="pct"/>
            <w:vAlign w:val="center"/>
          </w:tcPr>
          <w:p w14:paraId="793DC44F">
            <w:pPr>
              <w:snapToGrid w:val="0"/>
              <w:jc w:val="center"/>
              <w:rPr>
                <w:rFonts w:hint="eastAsia" w:ascii="宋体" w:hAnsi="宋体"/>
                <w:color w:val="auto"/>
                <w:szCs w:val="21"/>
                <w:highlight w:val="none"/>
              </w:rPr>
            </w:pPr>
            <w:r>
              <w:rPr>
                <w:rFonts w:hint="eastAsia" w:ascii="宋体" w:hAnsi="宋体"/>
                <w:color w:val="auto"/>
                <w:szCs w:val="21"/>
                <w:highlight w:val="none"/>
              </w:rPr>
              <w:t>第（ ）页-（ ）页</w:t>
            </w:r>
          </w:p>
        </w:tc>
      </w:tr>
      <w:tr w14:paraId="71EDC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357" w:type="pct"/>
            <w:vAlign w:val="center"/>
          </w:tcPr>
          <w:p w14:paraId="2598AF66">
            <w:pPr>
              <w:numPr>
                <w:ilvl w:val="0"/>
                <w:numId w:val="87"/>
              </w:numPr>
              <w:adjustRightInd w:val="0"/>
              <w:snapToGrid w:val="0"/>
              <w:ind w:left="0" w:firstLine="0"/>
              <w:jc w:val="center"/>
              <w:textAlignment w:val="baseline"/>
              <w:rPr>
                <w:rFonts w:hint="eastAsia" w:ascii="宋体" w:hAnsi="宋体"/>
                <w:color w:val="auto"/>
                <w:szCs w:val="21"/>
                <w:highlight w:val="none"/>
              </w:rPr>
            </w:pPr>
          </w:p>
        </w:tc>
        <w:tc>
          <w:tcPr>
            <w:tcW w:w="1738" w:type="pct"/>
            <w:vAlign w:val="center"/>
          </w:tcPr>
          <w:p w14:paraId="0B716F81">
            <w:pPr>
              <w:snapToGrid w:val="0"/>
              <w:jc w:val="center"/>
              <w:rPr>
                <w:rFonts w:hint="eastAsia" w:ascii="宋体" w:hAnsi="宋体" w:cs="宋体"/>
                <w:color w:val="auto"/>
                <w:szCs w:val="21"/>
                <w:highlight w:val="none"/>
              </w:rPr>
            </w:pPr>
            <w:r>
              <w:rPr>
                <w:rFonts w:hint="eastAsia" w:asciiTheme="minorEastAsia" w:hAnsiTheme="minorEastAsia" w:eastAsiaTheme="minorEastAsia" w:cstheme="minorEastAsia"/>
                <w:color w:val="auto"/>
                <w:sz w:val="21"/>
                <w:szCs w:val="21"/>
                <w:highlight w:val="none"/>
              </w:rPr>
              <w:t>拟</w:t>
            </w:r>
            <w:r>
              <w:rPr>
                <w:rFonts w:hint="eastAsia" w:asciiTheme="minorEastAsia" w:hAnsiTheme="minorEastAsia" w:eastAsiaTheme="minorEastAsia" w:cstheme="minorEastAsia"/>
                <w:color w:val="auto"/>
                <w:sz w:val="21"/>
                <w:szCs w:val="21"/>
                <w:highlight w:val="none"/>
                <w:lang w:val="en-US" w:eastAsia="zh-CN"/>
              </w:rPr>
              <w:t>派</w:t>
            </w:r>
            <w:r>
              <w:rPr>
                <w:rFonts w:hint="eastAsia" w:asciiTheme="minorEastAsia" w:hAnsiTheme="minorEastAsia" w:eastAsiaTheme="minorEastAsia" w:cstheme="minorEastAsia"/>
                <w:color w:val="auto"/>
                <w:kern w:val="0"/>
                <w:sz w:val="21"/>
                <w:szCs w:val="21"/>
                <w:highlight w:val="none"/>
              </w:rPr>
              <w:t>技术成员</w:t>
            </w:r>
            <w:r>
              <w:rPr>
                <w:rFonts w:hint="eastAsia" w:asciiTheme="minorEastAsia" w:hAnsiTheme="minorEastAsia" w:eastAsiaTheme="minorEastAsia" w:cstheme="minorEastAsia"/>
                <w:color w:val="auto"/>
                <w:sz w:val="21"/>
                <w:szCs w:val="21"/>
                <w:highlight w:val="none"/>
              </w:rPr>
              <w:t>情况（项目经理除外）</w:t>
            </w:r>
          </w:p>
        </w:tc>
        <w:tc>
          <w:tcPr>
            <w:tcW w:w="1408" w:type="pct"/>
            <w:vAlign w:val="center"/>
          </w:tcPr>
          <w:p w14:paraId="5512118E">
            <w:pPr>
              <w:jc w:val="center"/>
              <w:rPr>
                <w:rFonts w:ascii="宋体" w:hAnsi="宋体"/>
                <w:color w:val="auto"/>
                <w:szCs w:val="21"/>
                <w:highlight w:val="none"/>
              </w:rPr>
            </w:pPr>
            <w:r>
              <w:rPr>
                <w:rFonts w:ascii="宋体" w:hAnsi="宋体"/>
                <w:color w:val="auto"/>
                <w:szCs w:val="21"/>
                <w:highlight w:val="none"/>
              </w:rPr>
              <w:t>详见</w:t>
            </w:r>
            <w:r>
              <w:rPr>
                <w:rFonts w:hint="eastAsia" w:ascii="宋体" w:hAnsi="宋体"/>
                <w:color w:val="auto"/>
                <w:szCs w:val="21"/>
                <w:highlight w:val="none"/>
              </w:rPr>
              <w:t>“遴选细则”</w:t>
            </w:r>
          </w:p>
        </w:tc>
        <w:tc>
          <w:tcPr>
            <w:tcW w:w="1496" w:type="pct"/>
            <w:vAlign w:val="center"/>
          </w:tcPr>
          <w:p w14:paraId="6E33D03A">
            <w:pPr>
              <w:snapToGrid w:val="0"/>
              <w:jc w:val="center"/>
              <w:rPr>
                <w:rFonts w:hint="eastAsia" w:ascii="宋体" w:hAnsi="宋体"/>
                <w:color w:val="auto"/>
                <w:szCs w:val="21"/>
                <w:highlight w:val="none"/>
              </w:rPr>
            </w:pPr>
            <w:r>
              <w:rPr>
                <w:rFonts w:hint="eastAsia" w:ascii="宋体" w:hAnsi="宋体"/>
                <w:color w:val="auto"/>
                <w:szCs w:val="21"/>
                <w:highlight w:val="none"/>
              </w:rPr>
              <w:t>第（ ）页-（ ）页</w:t>
            </w:r>
          </w:p>
        </w:tc>
      </w:tr>
      <w:tr w14:paraId="7FF52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357" w:type="pct"/>
            <w:vAlign w:val="center"/>
          </w:tcPr>
          <w:p w14:paraId="5E551D28">
            <w:pPr>
              <w:numPr>
                <w:ilvl w:val="0"/>
                <w:numId w:val="87"/>
              </w:numPr>
              <w:adjustRightInd w:val="0"/>
              <w:snapToGrid w:val="0"/>
              <w:ind w:left="0" w:firstLine="0"/>
              <w:jc w:val="center"/>
              <w:textAlignment w:val="baseline"/>
              <w:rPr>
                <w:rFonts w:hint="eastAsia" w:ascii="宋体" w:hAnsi="宋体"/>
                <w:color w:val="auto"/>
                <w:szCs w:val="21"/>
                <w:highlight w:val="none"/>
              </w:rPr>
            </w:pPr>
          </w:p>
        </w:tc>
        <w:tc>
          <w:tcPr>
            <w:tcW w:w="1738" w:type="pct"/>
            <w:vAlign w:val="center"/>
          </w:tcPr>
          <w:p w14:paraId="33840BC3">
            <w:pPr>
              <w:spacing w:line="240" w:lineRule="auto"/>
              <w:jc w:val="center"/>
              <w:rPr>
                <w:rFonts w:hint="eastAsia" w:ascii="宋体" w:hAnsi="宋体" w:eastAsia="宋体"/>
                <w:bCs/>
                <w:color w:val="auto"/>
                <w:szCs w:val="21"/>
                <w:highlight w:val="none"/>
                <w:lang w:val="en-US" w:eastAsia="zh-CN"/>
              </w:rPr>
            </w:pPr>
            <w:r>
              <w:rPr>
                <w:rFonts w:hint="eastAsia" w:asciiTheme="minorEastAsia" w:hAnsiTheme="minorEastAsia" w:eastAsiaTheme="minorEastAsia" w:cstheme="minorEastAsia"/>
                <w:color w:val="auto"/>
                <w:sz w:val="21"/>
                <w:szCs w:val="21"/>
                <w:highlight w:val="none"/>
              </w:rPr>
              <w:t>参选人相关证书</w:t>
            </w:r>
          </w:p>
        </w:tc>
        <w:tc>
          <w:tcPr>
            <w:tcW w:w="1408" w:type="pct"/>
            <w:vAlign w:val="center"/>
          </w:tcPr>
          <w:p w14:paraId="1B18ED0F">
            <w:pPr>
              <w:jc w:val="center"/>
              <w:rPr>
                <w:color w:val="auto"/>
                <w:highlight w:val="none"/>
              </w:rPr>
            </w:pPr>
            <w:r>
              <w:rPr>
                <w:rFonts w:ascii="宋体" w:hAnsi="宋体"/>
                <w:color w:val="auto"/>
                <w:szCs w:val="21"/>
                <w:highlight w:val="none"/>
              </w:rPr>
              <w:t>详见</w:t>
            </w:r>
            <w:r>
              <w:rPr>
                <w:rFonts w:hint="eastAsia" w:ascii="宋体" w:hAnsi="宋体"/>
                <w:color w:val="auto"/>
                <w:szCs w:val="21"/>
                <w:highlight w:val="none"/>
              </w:rPr>
              <w:t>“遴选细则”</w:t>
            </w:r>
          </w:p>
        </w:tc>
        <w:tc>
          <w:tcPr>
            <w:tcW w:w="1496" w:type="pct"/>
            <w:vAlign w:val="center"/>
          </w:tcPr>
          <w:p w14:paraId="49DD5D45">
            <w:pPr>
              <w:snapToGrid w:val="0"/>
              <w:jc w:val="center"/>
              <w:rPr>
                <w:rFonts w:hint="eastAsia" w:ascii="宋体" w:hAnsi="宋体"/>
                <w:color w:val="auto"/>
                <w:szCs w:val="21"/>
                <w:highlight w:val="none"/>
              </w:rPr>
            </w:pPr>
            <w:r>
              <w:rPr>
                <w:rFonts w:hint="eastAsia" w:ascii="宋体" w:hAnsi="宋体"/>
                <w:color w:val="auto"/>
                <w:szCs w:val="21"/>
                <w:highlight w:val="none"/>
              </w:rPr>
              <w:t>第（ ）页-（ ）页</w:t>
            </w:r>
          </w:p>
        </w:tc>
      </w:tr>
      <w:tr w14:paraId="6CF18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3" w:hRule="atLeast"/>
          <w:jc w:val="center"/>
        </w:trPr>
        <w:tc>
          <w:tcPr>
            <w:tcW w:w="357" w:type="pct"/>
            <w:vAlign w:val="center"/>
          </w:tcPr>
          <w:p w14:paraId="3F662626">
            <w:pPr>
              <w:numPr>
                <w:ilvl w:val="0"/>
                <w:numId w:val="87"/>
              </w:numPr>
              <w:adjustRightInd w:val="0"/>
              <w:snapToGrid w:val="0"/>
              <w:ind w:left="0" w:firstLine="0"/>
              <w:jc w:val="center"/>
              <w:textAlignment w:val="baseline"/>
              <w:rPr>
                <w:rFonts w:hint="eastAsia" w:ascii="宋体" w:hAnsi="宋体"/>
                <w:color w:val="auto"/>
                <w:szCs w:val="21"/>
                <w:highlight w:val="none"/>
              </w:rPr>
            </w:pPr>
          </w:p>
        </w:tc>
        <w:tc>
          <w:tcPr>
            <w:tcW w:w="1738" w:type="pct"/>
            <w:vAlign w:val="center"/>
          </w:tcPr>
          <w:p w14:paraId="11D28FBC">
            <w:pPr>
              <w:snapToGrid w:val="0"/>
              <w:jc w:val="center"/>
              <w:rPr>
                <w:rFonts w:hint="eastAsia" w:ascii="宋体" w:hAnsi="宋体" w:cs="宋体"/>
                <w:color w:val="auto"/>
                <w:szCs w:val="21"/>
                <w:highlight w:val="none"/>
              </w:rPr>
            </w:pPr>
            <w:r>
              <w:rPr>
                <w:rFonts w:hint="eastAsia" w:ascii="宋体" w:hAnsi="宋体" w:cs="宋体"/>
                <w:bCs/>
                <w:color w:val="auto"/>
                <w:szCs w:val="21"/>
                <w:highlight w:val="none"/>
              </w:rPr>
              <w:t>参选人认为需要提供的资料</w:t>
            </w:r>
          </w:p>
        </w:tc>
        <w:tc>
          <w:tcPr>
            <w:tcW w:w="1408" w:type="pct"/>
            <w:vAlign w:val="center"/>
          </w:tcPr>
          <w:p w14:paraId="7EFDD287">
            <w:pPr>
              <w:jc w:val="center"/>
              <w:rPr>
                <w:rFonts w:hint="eastAsia" w:ascii="宋体" w:hAnsi="宋体"/>
                <w:color w:val="auto"/>
                <w:szCs w:val="21"/>
                <w:highlight w:val="none"/>
              </w:rPr>
            </w:pPr>
            <w:r>
              <w:rPr>
                <w:rFonts w:hint="eastAsia" w:ascii="宋体" w:hAnsi="宋体"/>
                <w:color w:val="auto"/>
                <w:szCs w:val="21"/>
                <w:highlight w:val="none"/>
              </w:rPr>
              <w:t>/</w:t>
            </w:r>
          </w:p>
        </w:tc>
        <w:tc>
          <w:tcPr>
            <w:tcW w:w="1496" w:type="pct"/>
            <w:vAlign w:val="center"/>
          </w:tcPr>
          <w:p w14:paraId="5DA20E02">
            <w:pPr>
              <w:snapToGrid w:val="0"/>
              <w:jc w:val="center"/>
              <w:rPr>
                <w:rFonts w:hint="eastAsia" w:ascii="宋体" w:hAnsi="宋体"/>
                <w:color w:val="auto"/>
                <w:szCs w:val="21"/>
                <w:highlight w:val="none"/>
              </w:rPr>
            </w:pPr>
            <w:r>
              <w:rPr>
                <w:rFonts w:hint="eastAsia" w:ascii="宋体" w:hAnsi="宋体"/>
                <w:color w:val="auto"/>
                <w:szCs w:val="21"/>
                <w:highlight w:val="none"/>
              </w:rPr>
              <w:t>第（ ）页-（ ）页</w:t>
            </w:r>
          </w:p>
        </w:tc>
      </w:tr>
    </w:tbl>
    <w:p w14:paraId="0A3C2815">
      <w:pPr>
        <w:pStyle w:val="13"/>
        <w:rPr>
          <w:rFonts w:hint="eastAsia" w:ascii="宋体" w:hAnsi="宋体"/>
          <w:color w:val="auto"/>
          <w:highlight w:val="none"/>
          <w:lang w:val="zh-CN"/>
        </w:rPr>
      </w:pPr>
      <w:r>
        <w:rPr>
          <w:rFonts w:hint="eastAsia" w:ascii="宋体" w:hAnsi="宋体"/>
          <w:color w:val="auto"/>
          <w:highlight w:val="none"/>
          <w:lang w:val="zh-CN"/>
        </w:rPr>
        <w:t>以上内容与用户需求的综合评分表内容不一致的，以用户需求内容为准。</w:t>
      </w:r>
    </w:p>
    <w:p w14:paraId="196CE4B6">
      <w:pPr>
        <w:wordWrap w:val="0"/>
        <w:spacing w:line="360" w:lineRule="auto"/>
        <w:jc w:val="right"/>
        <w:rPr>
          <w:rFonts w:hint="eastAsia" w:ascii="宋体" w:hAnsi="宋体" w:eastAsia="宋体"/>
          <w:color w:val="auto"/>
          <w:highlight w:val="none"/>
        </w:rPr>
      </w:pPr>
      <w:r>
        <w:rPr>
          <w:rFonts w:ascii="宋体" w:hAnsi="宋体" w:eastAsia="宋体"/>
          <w:color w:val="auto"/>
          <w:highlight w:val="none"/>
        </w:rPr>
        <w:br w:type="page"/>
      </w:r>
    </w:p>
    <w:p w14:paraId="0E7DF161">
      <w:pPr>
        <w:pStyle w:val="3"/>
        <w:spacing w:line="360" w:lineRule="auto"/>
        <w:jc w:val="center"/>
        <w:rPr>
          <w:rFonts w:hint="eastAsia" w:ascii="宋体" w:hAnsi="宋体" w:eastAsia="黑体"/>
          <w:color w:val="auto"/>
          <w:highlight w:val="none"/>
          <w:lang w:eastAsia="zh-CN"/>
        </w:rPr>
      </w:pPr>
      <w:r>
        <w:rPr>
          <w:rFonts w:hint="eastAsia" w:ascii="宋体" w:hAnsi="宋体" w:eastAsia="宋体"/>
          <w:color w:val="auto"/>
          <w:highlight w:val="none"/>
        </w:rPr>
        <w:t>报价表</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适用于包组三</w:t>
      </w:r>
      <w:r>
        <w:rPr>
          <w:rFonts w:hint="eastAsia" w:ascii="宋体" w:hAnsi="宋体" w:eastAsia="宋体" w:cs="Times New Roman"/>
          <w:color w:val="auto"/>
          <w:highlight w:val="none"/>
          <w:lang w:eastAsia="zh-CN"/>
        </w:rPr>
        <w:t>）</w:t>
      </w:r>
    </w:p>
    <w:tbl>
      <w:tblPr>
        <w:tblStyle w:val="35"/>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3366"/>
        <w:gridCol w:w="830"/>
        <w:gridCol w:w="1998"/>
        <w:gridCol w:w="758"/>
      </w:tblGrid>
      <w:tr w14:paraId="3643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25" w:type="dxa"/>
            <w:vAlign w:val="center"/>
          </w:tcPr>
          <w:p w14:paraId="1206C5C1">
            <w:pPr>
              <w:jc w:val="center"/>
              <w:rPr>
                <w:rFonts w:hint="eastAsia" w:ascii="宋体" w:hAnsi="宋体"/>
                <w:b/>
                <w:color w:val="auto"/>
                <w:szCs w:val="21"/>
                <w:highlight w:val="none"/>
              </w:rPr>
            </w:pPr>
            <w:r>
              <w:rPr>
                <w:rFonts w:hint="eastAsia" w:ascii="宋体" w:hAnsi="宋体"/>
                <w:b/>
                <w:color w:val="auto"/>
                <w:szCs w:val="21"/>
                <w:highlight w:val="none"/>
                <w:lang w:val="en-US" w:eastAsia="zh-CN"/>
              </w:rPr>
              <w:t>包组号</w:t>
            </w:r>
          </w:p>
        </w:tc>
        <w:tc>
          <w:tcPr>
            <w:tcW w:w="3366" w:type="dxa"/>
            <w:vAlign w:val="center"/>
          </w:tcPr>
          <w:p w14:paraId="05F5EA6C">
            <w:pPr>
              <w:jc w:val="center"/>
              <w:rPr>
                <w:rFonts w:hint="eastAsia" w:ascii="宋体" w:hAnsi="宋体"/>
                <w:b/>
                <w:color w:val="auto"/>
                <w:szCs w:val="21"/>
                <w:highlight w:val="none"/>
              </w:rPr>
            </w:pPr>
            <w:r>
              <w:rPr>
                <w:rFonts w:hint="eastAsia" w:ascii="宋体" w:hAnsi="宋体"/>
                <w:b/>
                <w:color w:val="auto"/>
                <w:szCs w:val="21"/>
                <w:highlight w:val="none"/>
              </w:rPr>
              <w:t>遴选内容</w:t>
            </w:r>
          </w:p>
        </w:tc>
        <w:tc>
          <w:tcPr>
            <w:tcW w:w="830" w:type="dxa"/>
            <w:vAlign w:val="center"/>
          </w:tcPr>
          <w:p w14:paraId="65BA2127">
            <w:pPr>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1998" w:type="dxa"/>
            <w:vAlign w:val="center"/>
          </w:tcPr>
          <w:p w14:paraId="114FD35F">
            <w:pPr>
              <w:jc w:val="center"/>
              <w:rPr>
                <w:rFonts w:hint="eastAsia" w:ascii="宋体" w:hAnsi="宋体"/>
                <w:b/>
                <w:color w:val="auto"/>
                <w:szCs w:val="21"/>
                <w:highlight w:val="none"/>
              </w:rPr>
            </w:pPr>
            <w:r>
              <w:rPr>
                <w:rFonts w:hint="eastAsia" w:ascii="宋体" w:hAnsi="宋体"/>
                <w:b/>
                <w:color w:val="auto"/>
                <w:szCs w:val="21"/>
                <w:highlight w:val="none"/>
                <w:lang w:val="en-US" w:eastAsia="zh-CN"/>
              </w:rPr>
              <w:t>总</w:t>
            </w:r>
            <w:r>
              <w:rPr>
                <w:rFonts w:ascii="宋体" w:hAnsi="宋体"/>
                <w:b/>
                <w:color w:val="auto"/>
                <w:szCs w:val="21"/>
                <w:highlight w:val="none"/>
              </w:rPr>
              <w:t>报价</w:t>
            </w:r>
          </w:p>
        </w:tc>
        <w:tc>
          <w:tcPr>
            <w:tcW w:w="758" w:type="dxa"/>
            <w:vAlign w:val="center"/>
          </w:tcPr>
          <w:p w14:paraId="394A830C">
            <w:pPr>
              <w:jc w:val="center"/>
              <w:rPr>
                <w:rFonts w:hint="eastAsia" w:ascii="宋体" w:hAnsi="宋体"/>
                <w:b/>
                <w:color w:val="auto"/>
                <w:szCs w:val="21"/>
                <w:highlight w:val="none"/>
              </w:rPr>
            </w:pPr>
            <w:r>
              <w:rPr>
                <w:rFonts w:ascii="宋体" w:hAnsi="宋体"/>
                <w:b/>
                <w:color w:val="auto"/>
                <w:szCs w:val="21"/>
                <w:highlight w:val="none"/>
              </w:rPr>
              <w:t>备注</w:t>
            </w:r>
          </w:p>
        </w:tc>
      </w:tr>
      <w:tr w14:paraId="5729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225" w:type="dxa"/>
            <w:vAlign w:val="center"/>
          </w:tcPr>
          <w:p w14:paraId="77EED05F">
            <w:pPr>
              <w:jc w:val="center"/>
              <w:rPr>
                <w:rFonts w:hint="default" w:ascii="宋体" w:hAnsi="宋体" w:eastAsia="宋体" w:cs="宋体"/>
                <w:color w:val="auto"/>
                <w:highlight w:val="none"/>
                <w:lang w:val="en-US"/>
              </w:rPr>
            </w:pPr>
            <w:r>
              <w:rPr>
                <w:rFonts w:hint="eastAsia" w:ascii="宋体" w:hAnsi="宋体" w:cs="宋体"/>
                <w:color w:val="auto"/>
                <w:highlight w:val="none"/>
                <w:lang w:val="en-US" w:eastAsia="zh-CN"/>
              </w:rPr>
              <w:t>包组三</w:t>
            </w:r>
          </w:p>
        </w:tc>
        <w:tc>
          <w:tcPr>
            <w:tcW w:w="3366" w:type="dxa"/>
            <w:vAlign w:val="center"/>
          </w:tcPr>
          <w:p w14:paraId="63118317">
            <w:pPr>
              <w:jc w:val="center"/>
              <w:rPr>
                <w:rFonts w:hint="eastAsia" w:ascii="宋体" w:hAnsi="宋体" w:eastAsia="宋体"/>
                <w:color w:val="auto"/>
                <w:szCs w:val="21"/>
                <w:highlight w:val="none"/>
                <w:lang w:eastAsia="zh-CN"/>
              </w:rPr>
            </w:pPr>
            <w:r>
              <w:rPr>
                <w:rFonts w:hint="eastAsia" w:ascii="宋体" w:hAnsi="宋体" w:eastAsia="宋体" w:cs="宋体"/>
                <w:color w:val="auto"/>
                <w:highlight w:val="none"/>
              </w:rPr>
              <w:t>智慧校园资源管理平台（NVERP系统）模块更新完善</w:t>
            </w:r>
          </w:p>
        </w:tc>
        <w:tc>
          <w:tcPr>
            <w:tcW w:w="830" w:type="dxa"/>
            <w:vAlign w:val="center"/>
          </w:tcPr>
          <w:p w14:paraId="4DDE63E8">
            <w:pPr>
              <w:jc w:val="center"/>
              <w:rPr>
                <w:rFonts w:hint="eastAsia" w:ascii="宋体" w:hAnsi="宋体"/>
                <w:color w:val="auto"/>
                <w:szCs w:val="21"/>
                <w:highlight w:val="none"/>
              </w:rPr>
            </w:pPr>
            <w:r>
              <w:rPr>
                <w:rFonts w:hint="eastAsia" w:ascii="宋体" w:hAnsi="宋体"/>
                <w:color w:val="auto"/>
                <w:szCs w:val="21"/>
                <w:highlight w:val="none"/>
              </w:rPr>
              <w:t>1项</w:t>
            </w:r>
          </w:p>
        </w:tc>
        <w:tc>
          <w:tcPr>
            <w:tcW w:w="1998" w:type="dxa"/>
            <w:shd w:val="clear" w:color="auto" w:fill="auto"/>
            <w:vAlign w:val="center"/>
          </w:tcPr>
          <w:p w14:paraId="792889E3">
            <w:pPr>
              <w:pStyle w:val="47"/>
              <w:spacing w:before="0" w:after="0" w:line="240" w:lineRule="auto"/>
              <w:rPr>
                <w:rFonts w:hint="eastAsia" w:ascii="宋体" w:hAnsi="宋体"/>
                <w:color w:val="auto"/>
                <w:spacing w:val="0"/>
                <w:kern w:val="2"/>
                <w:sz w:val="21"/>
                <w:szCs w:val="21"/>
                <w:highlight w:val="none"/>
              </w:rPr>
            </w:pPr>
            <w:r>
              <w:rPr>
                <w:rFonts w:hint="eastAsia" w:ascii="宋体" w:hAnsi="宋体"/>
                <w:color w:val="auto"/>
                <w:spacing w:val="0"/>
                <w:kern w:val="2"/>
                <w:sz w:val="21"/>
                <w:szCs w:val="21"/>
                <w:highlight w:val="none"/>
                <w:lang w:val="en-US" w:eastAsia="zh-CN"/>
              </w:rPr>
              <w:t>人民币</w:t>
            </w:r>
            <w:r>
              <w:rPr>
                <w:rFonts w:hint="eastAsia" w:ascii="宋体" w:hAnsi="宋体"/>
                <w:color w:val="auto"/>
                <w:spacing w:val="0"/>
                <w:kern w:val="2"/>
                <w:sz w:val="21"/>
                <w:szCs w:val="21"/>
                <w:highlight w:val="none"/>
                <w:u w:val="single"/>
              </w:rPr>
              <w:t xml:space="preserve">     </w:t>
            </w:r>
            <w:r>
              <w:rPr>
                <w:rFonts w:hint="eastAsia" w:ascii="宋体" w:hAnsi="宋体"/>
                <w:color w:val="auto"/>
                <w:spacing w:val="0"/>
                <w:kern w:val="2"/>
                <w:sz w:val="21"/>
                <w:szCs w:val="21"/>
                <w:highlight w:val="none"/>
              </w:rPr>
              <w:t>元</w:t>
            </w:r>
          </w:p>
        </w:tc>
        <w:tc>
          <w:tcPr>
            <w:tcW w:w="758" w:type="dxa"/>
            <w:vAlign w:val="center"/>
          </w:tcPr>
          <w:p w14:paraId="54989992">
            <w:pPr>
              <w:jc w:val="center"/>
              <w:rPr>
                <w:rFonts w:hint="eastAsia" w:ascii="宋体" w:hAnsi="宋体"/>
                <w:color w:val="auto"/>
                <w:szCs w:val="21"/>
                <w:highlight w:val="none"/>
              </w:rPr>
            </w:pPr>
          </w:p>
        </w:tc>
      </w:tr>
    </w:tbl>
    <w:p w14:paraId="71684A74">
      <w:pPr>
        <w:spacing w:line="360" w:lineRule="auto"/>
        <w:ind w:left="312" w:hanging="312"/>
        <w:rPr>
          <w:rFonts w:hint="eastAsia" w:ascii="宋体" w:hAnsi="宋体"/>
          <w:b/>
          <w:color w:val="auto"/>
          <w:spacing w:val="4"/>
          <w:szCs w:val="21"/>
          <w:highlight w:val="none"/>
        </w:rPr>
      </w:pPr>
      <w:r>
        <w:rPr>
          <w:rFonts w:hint="eastAsia" w:ascii="宋体" w:hAnsi="宋体"/>
          <w:b/>
          <w:color w:val="auto"/>
          <w:spacing w:val="4"/>
          <w:szCs w:val="21"/>
          <w:highlight w:val="none"/>
        </w:rPr>
        <w:t>注：</w:t>
      </w:r>
    </w:p>
    <w:p w14:paraId="43916717">
      <w:pPr>
        <w:pStyle w:val="28"/>
        <w:numPr>
          <w:ilvl w:val="0"/>
          <w:numId w:val="88"/>
        </w:numPr>
        <w:shd w:val="clear" w:color="auto" w:fill="FFFFFF"/>
        <w:spacing w:before="0" w:beforeAutospacing="0" w:after="0" w:afterAutospacing="0" w:line="360" w:lineRule="auto"/>
        <w:ind w:left="312" w:hanging="312"/>
        <w:rPr>
          <w:rFonts w:hint="eastAsia"/>
          <w:b/>
          <w:color w:val="auto"/>
          <w:sz w:val="21"/>
          <w:szCs w:val="21"/>
          <w:highlight w:val="none"/>
        </w:rPr>
      </w:pPr>
      <w:r>
        <w:rPr>
          <w:rFonts w:hint="eastAsia"/>
          <w:b/>
          <w:color w:val="auto"/>
          <w:sz w:val="21"/>
          <w:szCs w:val="21"/>
          <w:highlight w:val="none"/>
        </w:rPr>
        <w:t>参选人必须按报价表的格式填写，不得增加或删除表格内容。除金额或项目要求填写的内容外，不得擅自改动报价表内容，否则将有可能影响候选结果，不推荐为候选人；</w:t>
      </w:r>
    </w:p>
    <w:p w14:paraId="6F588110">
      <w:pPr>
        <w:pStyle w:val="28"/>
        <w:numPr>
          <w:ilvl w:val="0"/>
          <w:numId w:val="88"/>
        </w:numPr>
        <w:shd w:val="clear" w:color="auto" w:fill="FFFFFF"/>
        <w:spacing w:before="0" w:beforeAutospacing="0" w:after="0" w:afterAutospacing="0" w:line="360" w:lineRule="auto"/>
        <w:ind w:left="312" w:hanging="312"/>
        <w:rPr>
          <w:rFonts w:hint="eastAsia"/>
          <w:b/>
          <w:color w:val="auto"/>
          <w:sz w:val="21"/>
          <w:szCs w:val="21"/>
          <w:highlight w:val="none"/>
        </w:rPr>
      </w:pPr>
      <w:r>
        <w:rPr>
          <w:rFonts w:hint="eastAsia"/>
          <w:b/>
          <w:color w:val="auto"/>
          <w:sz w:val="21"/>
          <w:szCs w:val="21"/>
          <w:highlight w:val="none"/>
        </w:rPr>
        <w:t>所有价格均系用人民币表示，单位为元，均为含税价；</w:t>
      </w:r>
    </w:p>
    <w:p w14:paraId="0410FB5B">
      <w:pPr>
        <w:pStyle w:val="28"/>
        <w:numPr>
          <w:ilvl w:val="0"/>
          <w:numId w:val="88"/>
        </w:numPr>
        <w:shd w:val="clear" w:color="auto" w:fill="FFFFFF"/>
        <w:spacing w:before="0" w:beforeAutospacing="0" w:after="0" w:afterAutospacing="0" w:line="360" w:lineRule="auto"/>
        <w:ind w:left="312" w:hanging="312"/>
        <w:rPr>
          <w:rFonts w:hint="eastAsia"/>
          <w:b/>
          <w:color w:val="auto"/>
          <w:sz w:val="21"/>
          <w:szCs w:val="21"/>
          <w:highlight w:val="none"/>
        </w:rPr>
      </w:pPr>
      <w:r>
        <w:rPr>
          <w:rFonts w:hint="eastAsia"/>
          <w:b/>
          <w:color w:val="auto"/>
          <w:sz w:val="21"/>
          <w:szCs w:val="21"/>
          <w:highlight w:val="none"/>
        </w:rPr>
        <w:t>平台上报价与报价表</w:t>
      </w:r>
      <w:r>
        <w:rPr>
          <w:rFonts w:hint="eastAsia"/>
          <w:b/>
          <w:color w:val="auto"/>
          <w:sz w:val="21"/>
          <w:szCs w:val="21"/>
          <w:highlight w:val="none"/>
          <w:lang w:val="en-US" w:eastAsia="zh-CN"/>
        </w:rPr>
        <w:t>总</w:t>
      </w:r>
      <w:r>
        <w:rPr>
          <w:rFonts w:hint="eastAsia"/>
          <w:b/>
          <w:color w:val="auto"/>
          <w:sz w:val="21"/>
          <w:szCs w:val="21"/>
          <w:highlight w:val="none"/>
        </w:rPr>
        <w:t>报价不一致的，以报价表</w:t>
      </w:r>
      <w:r>
        <w:rPr>
          <w:rFonts w:hint="eastAsia"/>
          <w:b/>
          <w:color w:val="auto"/>
          <w:sz w:val="21"/>
          <w:szCs w:val="21"/>
          <w:highlight w:val="none"/>
          <w:lang w:val="en-US" w:eastAsia="zh-CN"/>
        </w:rPr>
        <w:t>总</w:t>
      </w:r>
      <w:r>
        <w:rPr>
          <w:rFonts w:hint="eastAsia"/>
          <w:b/>
          <w:color w:val="auto"/>
          <w:sz w:val="21"/>
          <w:szCs w:val="21"/>
          <w:highlight w:val="none"/>
        </w:rPr>
        <w:t>报价（经价格核准后的价格）为准。</w:t>
      </w:r>
    </w:p>
    <w:p w14:paraId="4AE41416">
      <w:pPr>
        <w:wordWrap w:val="0"/>
        <w:spacing w:line="360" w:lineRule="auto"/>
        <w:jc w:val="right"/>
        <w:rPr>
          <w:rFonts w:hint="eastAsia" w:ascii="宋体" w:hAnsi="宋体"/>
          <w:color w:val="auto"/>
          <w:spacing w:val="4"/>
          <w:szCs w:val="21"/>
          <w:highlight w:val="none"/>
        </w:rPr>
      </w:pPr>
    </w:p>
    <w:p w14:paraId="7B6954C4">
      <w:pPr>
        <w:wordWrap w:val="0"/>
        <w:spacing w:line="360" w:lineRule="auto"/>
        <w:jc w:val="right"/>
        <w:rPr>
          <w:rFonts w:hint="eastAsia" w:ascii="宋体" w:hAnsi="宋体"/>
          <w:color w:val="auto"/>
          <w:szCs w:val="21"/>
          <w:highlight w:val="none"/>
          <w:u w:val="single"/>
        </w:rPr>
      </w:pPr>
      <w:r>
        <w:rPr>
          <w:rFonts w:hint="eastAsia" w:ascii="宋体" w:hAnsi="宋体"/>
          <w:color w:val="auto"/>
          <w:spacing w:val="4"/>
          <w:szCs w:val="21"/>
          <w:highlight w:val="none"/>
        </w:rPr>
        <w:t>参选人名称（</w:t>
      </w:r>
      <w:r>
        <w:rPr>
          <w:rFonts w:hint="eastAsia" w:ascii="宋体" w:hAnsi="宋体"/>
          <w:color w:val="auto"/>
          <w:szCs w:val="21"/>
          <w:highlight w:val="none"/>
        </w:rPr>
        <w:t>单位盖</w:t>
      </w:r>
      <w:r>
        <w:rPr>
          <w:rFonts w:hint="eastAsia" w:ascii="宋体" w:hAnsi="宋体"/>
          <w:color w:val="auto"/>
          <w:spacing w:val="4"/>
          <w:szCs w:val="21"/>
          <w:highlight w:val="none"/>
        </w:rPr>
        <w:t>公章）：</w:t>
      </w:r>
      <w:r>
        <w:rPr>
          <w:rFonts w:hint="eastAsia" w:ascii="宋体" w:hAnsi="宋体"/>
          <w:color w:val="auto"/>
          <w:spacing w:val="4"/>
          <w:szCs w:val="21"/>
          <w:highlight w:val="none"/>
          <w:u w:val="single"/>
        </w:rPr>
        <w:t xml:space="preserve">          </w:t>
      </w:r>
    </w:p>
    <w:p w14:paraId="133FA921">
      <w:pPr>
        <w:spacing w:line="360" w:lineRule="auto"/>
        <w:jc w:val="right"/>
        <w:rPr>
          <w:rFonts w:hint="eastAsia" w:ascii="宋体" w:hAnsi="宋体"/>
          <w:color w:val="auto"/>
          <w:szCs w:val="21"/>
          <w:highlight w:val="none"/>
          <w:u w:val="single"/>
        </w:rPr>
      </w:pPr>
    </w:p>
    <w:p w14:paraId="2403BA95">
      <w:pPr>
        <w:wordWrap w:val="0"/>
        <w:spacing w:line="360" w:lineRule="auto"/>
        <w:jc w:val="right"/>
        <w:rPr>
          <w:rFonts w:hint="eastAsia" w:ascii="宋体" w:hAnsi="宋体"/>
          <w:color w:val="auto"/>
          <w:spacing w:val="4"/>
          <w:szCs w:val="21"/>
          <w:highlight w:val="none"/>
          <w:u w:val="single"/>
        </w:rPr>
      </w:pPr>
      <w:r>
        <w:rPr>
          <w:rFonts w:hint="eastAsia" w:ascii="宋体" w:hAnsi="宋体"/>
          <w:color w:val="auto"/>
          <w:spacing w:val="4"/>
          <w:szCs w:val="21"/>
          <w:highlight w:val="none"/>
        </w:rPr>
        <w:t>日期：</w:t>
      </w:r>
      <w:r>
        <w:rPr>
          <w:rFonts w:hint="eastAsia" w:ascii="宋体" w:hAnsi="宋体"/>
          <w:color w:val="auto"/>
          <w:spacing w:val="4"/>
          <w:szCs w:val="21"/>
          <w:highlight w:val="none"/>
          <w:u w:val="single"/>
        </w:rPr>
        <w:t xml:space="preserve">          </w:t>
      </w:r>
    </w:p>
    <w:p w14:paraId="1FE024FB">
      <w:pPr>
        <w:rPr>
          <w:rFonts w:hint="eastAsia" w:ascii="宋体" w:hAnsi="宋体" w:eastAsia="宋体"/>
          <w:color w:val="auto"/>
          <w:highlight w:val="none"/>
        </w:rPr>
      </w:pPr>
      <w:r>
        <w:rPr>
          <w:rFonts w:hint="eastAsia" w:ascii="宋体" w:hAnsi="宋体" w:eastAsia="宋体"/>
          <w:color w:val="auto"/>
          <w:highlight w:val="none"/>
        </w:rPr>
        <w:br w:type="page"/>
      </w:r>
    </w:p>
    <w:p w14:paraId="125E71C9">
      <w:pPr>
        <w:pStyle w:val="3"/>
        <w:spacing w:before="0" w:after="0" w:line="360" w:lineRule="auto"/>
        <w:jc w:val="center"/>
        <w:rPr>
          <w:rFonts w:hint="eastAsia" w:ascii="宋体" w:hAnsi="宋体" w:eastAsia="宋体"/>
          <w:color w:val="auto"/>
          <w:highlight w:val="none"/>
        </w:rPr>
      </w:pPr>
      <w:r>
        <w:rPr>
          <w:rFonts w:hint="eastAsia" w:ascii="宋体" w:hAnsi="宋体" w:eastAsia="宋体"/>
          <w:color w:val="auto"/>
          <w:highlight w:val="none"/>
        </w:rPr>
        <w:t>法定代表人授权委托书</w:t>
      </w:r>
    </w:p>
    <w:p w14:paraId="76B89841">
      <w:pPr>
        <w:pStyle w:val="17"/>
        <w:spacing w:line="360" w:lineRule="auto"/>
        <w:rPr>
          <w:color w:val="auto"/>
          <w:sz w:val="21"/>
          <w:highlight w:val="none"/>
        </w:rPr>
      </w:pPr>
      <w:r>
        <w:rPr>
          <w:rFonts w:hint="eastAsia"/>
          <w:color w:val="auto"/>
          <w:sz w:val="21"/>
          <w:highlight w:val="none"/>
        </w:rPr>
        <w:t>本授权委托书声明：注册于</w:t>
      </w:r>
      <w:r>
        <w:rPr>
          <w:rFonts w:hint="eastAsia"/>
          <w:color w:val="auto"/>
          <w:sz w:val="21"/>
          <w:highlight w:val="none"/>
          <w:u w:val="single"/>
        </w:rPr>
        <w:t xml:space="preserve"> （参选人地址）  </w:t>
      </w:r>
      <w:r>
        <w:rPr>
          <w:rFonts w:hint="eastAsia"/>
          <w:color w:val="auto"/>
          <w:sz w:val="21"/>
          <w:highlight w:val="none"/>
        </w:rPr>
        <w:t>的</w:t>
      </w:r>
      <w:r>
        <w:rPr>
          <w:rFonts w:hint="eastAsia"/>
          <w:color w:val="auto"/>
          <w:sz w:val="21"/>
          <w:highlight w:val="none"/>
          <w:u w:val="single"/>
        </w:rPr>
        <w:t xml:space="preserve">  （参选人名称）    </w:t>
      </w:r>
      <w:r>
        <w:rPr>
          <w:rFonts w:hint="eastAsia"/>
          <w:color w:val="auto"/>
          <w:sz w:val="21"/>
          <w:highlight w:val="none"/>
        </w:rPr>
        <w:t>在下面签名的</w:t>
      </w:r>
      <w:r>
        <w:rPr>
          <w:rFonts w:hint="eastAsia"/>
          <w:color w:val="auto"/>
          <w:sz w:val="21"/>
          <w:highlight w:val="none"/>
          <w:u w:val="single"/>
        </w:rPr>
        <w:t>（法定代表人姓名、职务）</w:t>
      </w:r>
      <w:r>
        <w:rPr>
          <w:rFonts w:hint="eastAsia"/>
          <w:color w:val="auto"/>
          <w:sz w:val="21"/>
          <w:highlight w:val="none"/>
        </w:rPr>
        <w:t>在此授权本公司</w:t>
      </w:r>
      <w:r>
        <w:rPr>
          <w:rFonts w:hint="eastAsia"/>
          <w:color w:val="auto"/>
          <w:sz w:val="21"/>
          <w:highlight w:val="none"/>
          <w:u w:val="single"/>
        </w:rPr>
        <w:t>（被授权人姓名、职务）</w:t>
      </w:r>
      <w:r>
        <w:rPr>
          <w:rFonts w:hint="eastAsia"/>
          <w:color w:val="auto"/>
          <w:sz w:val="21"/>
          <w:highlight w:val="none"/>
        </w:rPr>
        <w:t>作为我公司的合法代理人，就</w:t>
      </w:r>
      <w:r>
        <w:rPr>
          <w:rFonts w:hint="eastAsia"/>
          <w:b/>
          <w:bCs/>
          <w:color w:val="auto"/>
          <w:sz w:val="21"/>
          <w:highlight w:val="none"/>
          <w:u w:val="single"/>
          <w:lang w:eastAsia="zh-CN"/>
        </w:rPr>
        <w:t>广州市机电技师学院2025年智慧校园管理平台优化服务项目遴选（第二次）</w:t>
      </w:r>
      <w:r>
        <w:rPr>
          <w:rFonts w:hint="eastAsia"/>
          <w:color w:val="auto"/>
          <w:sz w:val="21"/>
          <w:highlight w:val="none"/>
        </w:rPr>
        <w:t>的遴选活动，采购合同的签订、执行、完成和售后服务，作为参选人代表以我方的名义处理一切与之有关的事务。</w:t>
      </w:r>
    </w:p>
    <w:p w14:paraId="379F7CFF">
      <w:pPr>
        <w:pStyle w:val="17"/>
        <w:spacing w:line="360" w:lineRule="auto"/>
        <w:rPr>
          <w:color w:val="auto"/>
          <w:sz w:val="21"/>
          <w:highlight w:val="none"/>
        </w:rPr>
      </w:pPr>
      <w:r>
        <w:rPr>
          <w:rFonts w:hint="eastAsia"/>
          <w:color w:val="auto"/>
          <w:sz w:val="21"/>
          <w:highlight w:val="none"/>
        </w:rPr>
        <w:t>被授权人（参选人授权代表）无转委托权限。</w:t>
      </w:r>
    </w:p>
    <w:p w14:paraId="6AEBE72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本授权书自法定代表人签字之日起生效，特此声明。</w:t>
      </w:r>
    </w:p>
    <w:p w14:paraId="1C71315D">
      <w:pPr>
        <w:spacing w:line="360" w:lineRule="auto"/>
        <w:rPr>
          <w:rFonts w:hint="eastAsia" w:ascii="宋体" w:hAnsi="宋体"/>
          <w:b/>
          <w:color w:val="auto"/>
          <w:szCs w:val="21"/>
          <w:highlight w:val="none"/>
        </w:rPr>
      </w:pPr>
      <w:r>
        <w:rPr>
          <w:rFonts w:hint="eastAsia" w:ascii="宋体" w:hAnsi="宋体"/>
          <w:b/>
          <w:color w:val="auto"/>
          <w:szCs w:val="21"/>
          <w:highlight w:val="none"/>
        </w:rPr>
        <w:t>随附1、《法定代表人证明书》；</w:t>
      </w:r>
    </w:p>
    <w:p w14:paraId="66466F4F">
      <w:pPr>
        <w:spacing w:line="360" w:lineRule="auto"/>
        <w:rPr>
          <w:rFonts w:hint="eastAsia" w:ascii="宋体" w:hAnsi="宋体"/>
          <w:color w:val="auto"/>
          <w:szCs w:val="21"/>
          <w:highlight w:val="none"/>
        </w:rPr>
      </w:pPr>
    </w:p>
    <w:p w14:paraId="23B7707F">
      <w:pPr>
        <w:spacing w:line="360" w:lineRule="auto"/>
        <w:rPr>
          <w:rFonts w:hint="eastAsia" w:ascii="宋体" w:hAnsi="宋体"/>
          <w:color w:val="auto"/>
          <w:szCs w:val="21"/>
          <w:highlight w:val="none"/>
        </w:rPr>
      </w:pPr>
      <w:r>
        <w:rPr>
          <w:rFonts w:hint="eastAsia" w:ascii="宋体" w:hAnsi="宋体"/>
          <w:color w:val="auto"/>
          <w:szCs w:val="21"/>
          <w:highlight w:val="none"/>
        </w:rPr>
        <w:t>参选人名称（盖公章）：</w:t>
      </w:r>
    </w:p>
    <w:p w14:paraId="379BC9F6">
      <w:pPr>
        <w:spacing w:line="360" w:lineRule="auto"/>
        <w:rPr>
          <w:rFonts w:hint="eastAsia" w:ascii="宋体" w:hAnsi="宋体"/>
          <w:color w:val="auto"/>
          <w:szCs w:val="21"/>
          <w:highlight w:val="none"/>
        </w:rPr>
      </w:pPr>
      <w:r>
        <w:rPr>
          <w:rFonts w:hint="eastAsia" w:ascii="宋体" w:hAnsi="宋体"/>
          <w:color w:val="auto"/>
          <w:szCs w:val="21"/>
          <w:highlight w:val="none"/>
        </w:rPr>
        <w:t>地      址：</w:t>
      </w:r>
    </w:p>
    <w:p w14:paraId="246A631F">
      <w:pPr>
        <w:tabs>
          <w:tab w:val="left" w:pos="3780"/>
        </w:tabs>
        <w:spacing w:line="360" w:lineRule="auto"/>
        <w:rPr>
          <w:rFonts w:hint="eastAsia" w:ascii="宋体" w:hAnsi="宋体"/>
          <w:color w:val="auto"/>
          <w:szCs w:val="21"/>
          <w:highlight w:val="none"/>
        </w:rPr>
      </w:pPr>
      <w:r>
        <w:rPr>
          <w:rFonts w:hint="eastAsia" w:ascii="宋体" w:hAnsi="宋体"/>
          <w:color w:val="auto"/>
          <w:szCs w:val="21"/>
          <w:highlight w:val="none"/>
        </w:rPr>
        <w:t>法定代表人（签字或盖章）：                         签字日期：年月日</w:t>
      </w:r>
    </w:p>
    <w:p w14:paraId="60D245FC">
      <w:pPr>
        <w:spacing w:line="360" w:lineRule="auto"/>
        <w:rPr>
          <w:rFonts w:hint="eastAsia" w:ascii="宋体" w:hAnsi="宋体"/>
          <w:color w:val="auto"/>
          <w:szCs w:val="21"/>
          <w:highlight w:val="none"/>
        </w:rPr>
      </w:pPr>
      <w:r>
        <w:rPr>
          <w:rFonts w:ascii="宋体" w:hAnsi="宋体"/>
          <w:color w:val="auto"/>
          <w:szCs w:val="21"/>
          <w:highlight w:val="none"/>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152400</wp:posOffset>
                </wp:positionV>
                <wp:extent cx="5651500" cy="1593215"/>
                <wp:effectExtent l="0" t="0" r="25400" b="26035"/>
                <wp:wrapNone/>
                <wp:docPr id="3" name="组合 6"/>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1" name="矩形 1"/>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D9F652">
                              <w:pPr>
                                <w:jc w:val="center"/>
                              </w:pPr>
                              <w:r>
                                <w:rPr>
                                  <w:rFonts w:hint="eastAsia"/>
                                </w:rPr>
                                <w:t>身份证（正面）</w:t>
                              </w:r>
                            </w:p>
                          </w:txbxContent>
                        </wps:txbx>
                        <wps:bodyPr upright="1"/>
                      </wps:wsp>
                      <wps:wsp>
                        <wps:cNvPr id="2" name="矩形 2"/>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786FA52">
                              <w:pPr>
                                <w:jc w:val="center"/>
                              </w:pPr>
                              <w:r>
                                <w:rPr>
                                  <w:rFonts w:hint="eastAsia"/>
                                </w:rPr>
                                <w:t>身份证（反面）</w:t>
                              </w:r>
                            </w:p>
                            <w:p w14:paraId="56C5B8B2"/>
                          </w:txbxContent>
                        </wps:txbx>
                        <wps:bodyPr upright="1"/>
                      </wps:wsp>
                    </wpg:wgp>
                  </a:graphicData>
                </a:graphic>
              </wp:anchor>
            </w:drawing>
          </mc:Choice>
          <mc:Fallback>
            <w:pict>
              <v:group id="组合 6" o:spid="_x0000_s1026" o:spt="203" style="position:absolute;left:0pt;margin-left:0pt;margin-top:12pt;height:125.45pt;width:445pt;z-index:251659264;mso-width-relative:page;mso-height-relative:page;" coordorigin="1080,8670" coordsize="8900,2509"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zDx3Z1wAAAAcBAAAPAAAAAAAAAAEAIAAAACIAAABkcnMvZG93bnJldi54bWxQSwECFAAU&#10;AAAACACHTuJAlT7a1J0CAADRBwAADgAAAAAAAAABACAAAAAmAQAAZHJzL2Uyb0RvYy54bWxQSwUG&#10;AAAAAAYABgBZAQAANQYAAAAA&#10;">
                <o:lock v:ext="edit" aspectratio="f"/>
                <v:rect id="_x0000_s1026" o:spid="_x0000_s1026" o:spt="1" style="position:absolute;left:1080;top:8670;height:2509;width:4218;"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1BD9F652">
                        <w:pPr>
                          <w:jc w:val="center"/>
                        </w:pPr>
                        <w:r>
                          <w:rPr>
                            <w:rFonts w:hint="eastAsia"/>
                          </w:rPr>
                          <w:t>身份证（正面）</w:t>
                        </w:r>
                      </w:p>
                    </w:txbxContent>
                  </v:textbox>
                </v:rect>
                <v:rect id="_x0000_s1026" o:spid="_x0000_s1026" o:spt="1" style="position:absolute;left:5761;top:8670;height:2509;width:4219;"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786FA52">
                        <w:pPr>
                          <w:jc w:val="center"/>
                        </w:pPr>
                        <w:r>
                          <w:rPr>
                            <w:rFonts w:hint="eastAsia"/>
                          </w:rPr>
                          <w:t>身份证（反面）</w:t>
                        </w:r>
                      </w:p>
                      <w:p w14:paraId="56C5B8B2"/>
                    </w:txbxContent>
                  </v:textbox>
                </v:rect>
              </v:group>
            </w:pict>
          </mc:Fallback>
        </mc:AlternateContent>
      </w:r>
    </w:p>
    <w:p w14:paraId="24CC9D78">
      <w:pPr>
        <w:spacing w:line="360" w:lineRule="auto"/>
        <w:rPr>
          <w:rFonts w:hint="eastAsia" w:ascii="宋体" w:hAnsi="宋体"/>
          <w:color w:val="auto"/>
          <w:szCs w:val="21"/>
          <w:highlight w:val="none"/>
        </w:rPr>
      </w:pPr>
    </w:p>
    <w:p w14:paraId="3DF3FDF4">
      <w:pPr>
        <w:spacing w:line="360" w:lineRule="auto"/>
        <w:rPr>
          <w:rFonts w:hint="eastAsia" w:ascii="宋体" w:hAnsi="宋体"/>
          <w:color w:val="auto"/>
          <w:szCs w:val="21"/>
          <w:highlight w:val="none"/>
        </w:rPr>
      </w:pPr>
    </w:p>
    <w:p w14:paraId="5B4472C1">
      <w:pPr>
        <w:spacing w:line="360" w:lineRule="auto"/>
        <w:rPr>
          <w:rFonts w:hint="eastAsia" w:ascii="宋体" w:hAnsi="宋体"/>
          <w:color w:val="auto"/>
          <w:szCs w:val="21"/>
          <w:highlight w:val="none"/>
        </w:rPr>
      </w:pPr>
    </w:p>
    <w:p w14:paraId="77FA2BA7">
      <w:pPr>
        <w:spacing w:line="360" w:lineRule="auto"/>
        <w:rPr>
          <w:rFonts w:hint="eastAsia" w:ascii="宋体" w:hAnsi="宋体"/>
          <w:color w:val="auto"/>
          <w:szCs w:val="21"/>
          <w:highlight w:val="none"/>
        </w:rPr>
      </w:pPr>
    </w:p>
    <w:p w14:paraId="187253E6">
      <w:pPr>
        <w:spacing w:line="360" w:lineRule="auto"/>
        <w:rPr>
          <w:rFonts w:hint="eastAsia" w:ascii="宋体" w:hAnsi="宋体"/>
          <w:color w:val="auto"/>
          <w:szCs w:val="21"/>
          <w:highlight w:val="none"/>
        </w:rPr>
      </w:pPr>
    </w:p>
    <w:p w14:paraId="6E09D0A6">
      <w:pPr>
        <w:spacing w:line="360" w:lineRule="auto"/>
        <w:rPr>
          <w:rFonts w:hint="eastAsia" w:ascii="宋体" w:hAnsi="宋体"/>
          <w:color w:val="auto"/>
          <w:szCs w:val="21"/>
          <w:highlight w:val="none"/>
        </w:rPr>
      </w:pPr>
    </w:p>
    <w:p w14:paraId="286A52BA">
      <w:pPr>
        <w:spacing w:line="360" w:lineRule="auto"/>
        <w:rPr>
          <w:rFonts w:hint="eastAsia" w:ascii="宋体" w:hAnsi="宋体"/>
          <w:color w:val="auto"/>
          <w:highlight w:val="none"/>
        </w:rPr>
      </w:pPr>
      <w:r>
        <w:rPr>
          <w:rFonts w:ascii="宋体" w:hAnsi="宋体"/>
          <w:color w:val="auto"/>
          <w:szCs w:val="21"/>
          <w:highlight w:val="none"/>
        </w:rPr>
        <w:br w:type="page"/>
      </w:r>
    </w:p>
    <w:p w14:paraId="2F6024D0">
      <w:pPr>
        <w:pStyle w:val="3"/>
        <w:spacing w:before="0" w:after="0" w:line="360" w:lineRule="auto"/>
        <w:jc w:val="center"/>
        <w:rPr>
          <w:rFonts w:hint="eastAsia" w:ascii="宋体" w:hAnsi="宋体" w:eastAsia="宋体"/>
          <w:color w:val="auto"/>
          <w:highlight w:val="none"/>
        </w:rPr>
      </w:pPr>
      <w:r>
        <w:rPr>
          <w:rFonts w:hint="eastAsia" w:ascii="宋体" w:hAnsi="宋体" w:eastAsia="宋体"/>
          <w:color w:val="auto"/>
          <w:highlight w:val="none"/>
        </w:rPr>
        <w:t>法定代表人证明书</w:t>
      </w:r>
    </w:p>
    <w:p w14:paraId="64C5BEEA">
      <w:pPr>
        <w:tabs>
          <w:tab w:val="left" w:pos="900"/>
        </w:tabs>
        <w:spacing w:line="480" w:lineRule="auto"/>
        <w:ind w:firstLine="945" w:firstLineChars="450"/>
        <w:rPr>
          <w:rFonts w:hint="eastAsia" w:ascii="宋体" w:hAnsi="宋体"/>
          <w:color w:val="auto"/>
          <w:szCs w:val="21"/>
          <w:highlight w:val="none"/>
        </w:rPr>
      </w:pPr>
      <w:r>
        <w:rPr>
          <w:rFonts w:hint="eastAsia" w:ascii="宋体" w:hAnsi="宋体"/>
          <w:color w:val="auto"/>
          <w:szCs w:val="21"/>
          <w:highlight w:val="none"/>
        </w:rPr>
        <w:t>___同志，现任我单位___职务，为法定代表人，特此证明。</w:t>
      </w:r>
    </w:p>
    <w:p w14:paraId="072629B8">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本证明书自签发之日起生效，有效期与本公司参与遴选的文件中标注的有效期相同。</w:t>
      </w:r>
    </w:p>
    <w:p w14:paraId="286DA204">
      <w:p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w:t>
      </w:r>
    </w:p>
    <w:p w14:paraId="00EA60AA">
      <w:pPr>
        <w:spacing w:line="480" w:lineRule="auto"/>
        <w:ind w:firstLine="840" w:firstLineChars="400"/>
        <w:rPr>
          <w:rFonts w:hint="eastAsia" w:ascii="宋体" w:hAnsi="宋体"/>
          <w:color w:val="auto"/>
          <w:szCs w:val="21"/>
          <w:highlight w:val="none"/>
        </w:rPr>
      </w:pPr>
      <w:r>
        <w:rPr>
          <w:rFonts w:hint="eastAsia" w:ascii="宋体" w:hAnsi="宋体"/>
          <w:color w:val="auto"/>
          <w:szCs w:val="21"/>
          <w:highlight w:val="none"/>
        </w:rPr>
        <w:t xml:space="preserve">营业执照（注册号）：                       </w:t>
      </w:r>
    </w:p>
    <w:p w14:paraId="10F46746">
      <w:pPr>
        <w:spacing w:line="480" w:lineRule="auto"/>
        <w:ind w:firstLine="840" w:firstLineChars="400"/>
        <w:rPr>
          <w:rFonts w:hint="eastAsia" w:ascii="宋体" w:hAnsi="宋体"/>
          <w:color w:val="auto"/>
          <w:szCs w:val="21"/>
          <w:highlight w:val="none"/>
        </w:rPr>
      </w:pPr>
      <w:r>
        <w:rPr>
          <w:rFonts w:hint="eastAsia" w:ascii="宋体" w:hAnsi="宋体"/>
          <w:color w:val="auto"/>
          <w:szCs w:val="21"/>
          <w:highlight w:val="none"/>
        </w:rPr>
        <w:t>经济性质：</w:t>
      </w:r>
    </w:p>
    <w:p w14:paraId="472B3813">
      <w:pPr>
        <w:spacing w:line="480" w:lineRule="auto"/>
        <w:ind w:firstLine="840" w:firstLineChars="400"/>
        <w:rPr>
          <w:rFonts w:hint="eastAsia" w:ascii="宋体" w:hAnsi="宋体"/>
          <w:color w:val="auto"/>
          <w:szCs w:val="21"/>
          <w:highlight w:val="none"/>
        </w:rPr>
      </w:pPr>
      <w:r>
        <w:rPr>
          <w:rFonts w:hint="eastAsia" w:ascii="宋体" w:hAnsi="宋体"/>
          <w:color w:val="auto"/>
          <w:szCs w:val="21"/>
          <w:highlight w:val="none"/>
        </w:rPr>
        <w:t>主营（产）：</w:t>
      </w:r>
    </w:p>
    <w:p w14:paraId="652CB895">
      <w:pPr>
        <w:spacing w:line="480" w:lineRule="auto"/>
        <w:ind w:firstLine="840" w:firstLineChars="400"/>
        <w:rPr>
          <w:rFonts w:hint="eastAsia" w:ascii="宋体" w:hAnsi="宋体"/>
          <w:color w:val="auto"/>
          <w:szCs w:val="21"/>
          <w:highlight w:val="none"/>
        </w:rPr>
      </w:pPr>
      <w:r>
        <w:rPr>
          <w:rFonts w:hint="eastAsia" w:ascii="宋体" w:hAnsi="宋体"/>
          <w:color w:val="auto"/>
          <w:szCs w:val="21"/>
          <w:highlight w:val="none"/>
        </w:rPr>
        <w:t>兼营（产）：</w:t>
      </w:r>
    </w:p>
    <w:p w14:paraId="08B8E637">
      <w:pPr>
        <w:spacing w:line="480" w:lineRule="auto"/>
        <w:ind w:firstLine="840" w:firstLineChars="400"/>
        <w:rPr>
          <w:rFonts w:hint="eastAsia" w:ascii="宋体" w:hAnsi="宋体"/>
          <w:color w:val="auto"/>
          <w:szCs w:val="21"/>
          <w:highlight w:val="none"/>
        </w:rPr>
      </w:pPr>
      <w:r>
        <w:rPr>
          <w:rFonts w:ascii="宋体" w:hAnsi="宋体"/>
          <w:color w:val="auto"/>
          <w:szCs w:val="21"/>
          <w:highlight w:val="none"/>
        </w:rPr>
        <mc:AlternateContent>
          <mc:Choice Requires="wpg">
            <w:drawing>
              <wp:anchor distT="0" distB="0" distL="114300" distR="114300" simplePos="0" relativeHeight="251660288" behindDoc="0" locked="0" layoutInCell="1" allowOverlap="1">
                <wp:simplePos x="0" y="0"/>
                <wp:positionH relativeFrom="column">
                  <wp:posOffset>41910</wp:posOffset>
                </wp:positionH>
                <wp:positionV relativeFrom="paragraph">
                  <wp:posOffset>243840</wp:posOffset>
                </wp:positionV>
                <wp:extent cx="5535295" cy="1656715"/>
                <wp:effectExtent l="0" t="0" r="27305" b="19685"/>
                <wp:wrapNone/>
                <wp:docPr id="6" name="组合 3"/>
                <wp:cNvGraphicFramePr/>
                <a:graphic xmlns:a="http://schemas.openxmlformats.org/drawingml/2006/main">
                  <a:graphicData uri="http://schemas.microsoft.com/office/word/2010/wordprocessingGroup">
                    <wpg:wgp>
                      <wpg:cNvGrpSpPr/>
                      <wpg:grpSpPr>
                        <a:xfrm>
                          <a:off x="0" y="0"/>
                          <a:ext cx="5535295" cy="1656715"/>
                          <a:chOff x="1146" y="7566"/>
                          <a:chExt cx="8717" cy="2609"/>
                        </a:xfrm>
                        <a:effectLst/>
                      </wpg:grpSpPr>
                      <wps:wsp>
                        <wps:cNvPr id="4" name="矩形 4"/>
                        <wps:cNvSpPr/>
                        <wps:spPr>
                          <a:xfrm>
                            <a:off x="1146" y="7566"/>
                            <a:ext cx="4166"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AED06D">
                              <w:pPr>
                                <w:jc w:val="center"/>
                              </w:pPr>
                              <w:r>
                                <w:rPr>
                                  <w:rFonts w:hint="eastAsia"/>
                                </w:rPr>
                                <w:t>身份证（正面）</w:t>
                              </w:r>
                            </w:p>
                            <w:p w14:paraId="2C4635C1">
                              <w:pPr>
                                <w:ind w:firstLine="1050" w:firstLineChars="500"/>
                              </w:pPr>
                            </w:p>
                          </w:txbxContent>
                        </wps:txbx>
                        <wps:bodyPr upright="1"/>
                      </wps:wsp>
                      <wps:wsp>
                        <wps:cNvPr id="5" name="矩形 5"/>
                        <wps:cNvSpPr/>
                        <wps:spPr>
                          <a:xfrm>
                            <a:off x="5719" y="7566"/>
                            <a:ext cx="4144" cy="2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7C142A">
                              <w:pPr>
                                <w:jc w:val="center"/>
                              </w:pPr>
                              <w:r>
                                <w:rPr>
                                  <w:rFonts w:hint="eastAsia"/>
                                </w:rPr>
                                <w:t>身份证（反面）</w:t>
                              </w:r>
                            </w:p>
                            <w:p w14:paraId="74139874">
                              <w:pPr>
                                <w:ind w:firstLine="1050" w:firstLineChars="500"/>
                              </w:pPr>
                            </w:p>
                          </w:txbxContent>
                        </wps:txbx>
                        <wps:bodyPr upright="1"/>
                      </wps:wsp>
                    </wpg:wgp>
                  </a:graphicData>
                </a:graphic>
              </wp:anchor>
            </w:drawing>
          </mc:Choice>
          <mc:Fallback>
            <w:pict>
              <v:group id="组合 3" o:spid="_x0000_s1026" o:spt="203" style="position:absolute;left:0pt;margin-left:3.3pt;margin-top:19.2pt;height:130.45pt;width:435.85pt;z-index:251660288;mso-width-relative:page;mso-height-relative:page;" coordorigin="1146,7566" coordsize="8717,2609"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YSSmk2QAAAAgBAAAPAAAAAAAAAAEAIAAAACIAAABkcnMvZG93bnJldi54bWxQSwEC&#10;FAAUAAAACACHTuJA4utax54CAADRBwAADgAAAAAAAAABACAAAAAoAQAAZHJzL2Uyb0RvYy54bWxQ&#10;SwUGAAAAAAYABgBZAQAAOAYAAAAA&#10;">
                <o:lock v:ext="edit" aspectratio="f"/>
                <v:rect id="_x0000_s1026" o:spid="_x0000_s1026" o:spt="1" style="position:absolute;left:1146;top:7566;height:2609;width:4166;"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FAED06D">
                        <w:pPr>
                          <w:jc w:val="center"/>
                        </w:pPr>
                        <w:r>
                          <w:rPr>
                            <w:rFonts w:hint="eastAsia"/>
                          </w:rPr>
                          <w:t>身份证（正面）</w:t>
                        </w:r>
                      </w:p>
                      <w:p w14:paraId="2C4635C1">
                        <w:pPr>
                          <w:ind w:firstLine="1050" w:firstLineChars="500"/>
                        </w:pPr>
                      </w:p>
                    </w:txbxContent>
                  </v:textbox>
                </v:rect>
                <v:rect id="_x0000_s1026" o:spid="_x0000_s1026" o:spt="1" style="position:absolute;left:5719;top:7566;height:2609;width:4144;"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F7C142A">
                        <w:pPr>
                          <w:jc w:val="center"/>
                        </w:pPr>
                        <w:r>
                          <w:rPr>
                            <w:rFonts w:hint="eastAsia"/>
                          </w:rPr>
                          <w:t>身份证（反面）</w:t>
                        </w:r>
                      </w:p>
                      <w:p w14:paraId="74139874">
                        <w:pPr>
                          <w:ind w:firstLine="1050" w:firstLineChars="500"/>
                        </w:pPr>
                      </w:p>
                    </w:txbxContent>
                  </v:textbox>
                </v:rect>
              </v:group>
            </w:pict>
          </mc:Fallback>
        </mc:AlternateContent>
      </w:r>
    </w:p>
    <w:p w14:paraId="3DD461D0">
      <w:pPr>
        <w:spacing w:line="500" w:lineRule="exact"/>
        <w:rPr>
          <w:rFonts w:hint="eastAsia" w:ascii="宋体" w:hAnsi="宋体"/>
          <w:b/>
          <w:bCs/>
          <w:color w:val="auto"/>
          <w:szCs w:val="21"/>
          <w:highlight w:val="none"/>
        </w:rPr>
      </w:pPr>
    </w:p>
    <w:p w14:paraId="3E31AAE0">
      <w:pPr>
        <w:spacing w:line="500" w:lineRule="exact"/>
        <w:rPr>
          <w:rFonts w:hint="eastAsia" w:ascii="宋体" w:hAnsi="宋体"/>
          <w:b/>
          <w:bCs/>
          <w:color w:val="auto"/>
          <w:szCs w:val="21"/>
          <w:highlight w:val="none"/>
        </w:rPr>
      </w:pPr>
    </w:p>
    <w:p w14:paraId="13B2D1CE">
      <w:pPr>
        <w:spacing w:line="500" w:lineRule="exact"/>
        <w:rPr>
          <w:rFonts w:hint="eastAsia" w:ascii="宋体" w:hAnsi="宋体"/>
          <w:b/>
          <w:bCs/>
          <w:color w:val="auto"/>
          <w:highlight w:val="none"/>
        </w:rPr>
      </w:pPr>
    </w:p>
    <w:p w14:paraId="6E1A49BB">
      <w:pPr>
        <w:spacing w:line="500" w:lineRule="exact"/>
        <w:rPr>
          <w:rFonts w:hint="eastAsia" w:ascii="宋体" w:hAnsi="宋体"/>
          <w:b/>
          <w:bCs/>
          <w:color w:val="auto"/>
          <w:highlight w:val="none"/>
        </w:rPr>
      </w:pPr>
    </w:p>
    <w:p w14:paraId="62C9D58A">
      <w:pPr>
        <w:spacing w:line="500" w:lineRule="exact"/>
        <w:rPr>
          <w:rFonts w:hint="eastAsia" w:ascii="宋体" w:hAnsi="宋体"/>
          <w:b/>
          <w:bCs/>
          <w:color w:val="auto"/>
          <w:highlight w:val="none"/>
        </w:rPr>
      </w:pPr>
    </w:p>
    <w:p w14:paraId="7F1831EB">
      <w:pPr>
        <w:spacing w:line="500" w:lineRule="exact"/>
        <w:rPr>
          <w:rFonts w:hint="eastAsia" w:ascii="宋体" w:hAnsi="宋体"/>
          <w:b/>
          <w:bCs/>
          <w:color w:val="auto"/>
          <w:highlight w:val="none"/>
        </w:rPr>
      </w:pPr>
    </w:p>
    <w:p w14:paraId="123D356C">
      <w:pPr>
        <w:spacing w:line="500" w:lineRule="exact"/>
        <w:rPr>
          <w:rFonts w:hint="eastAsia" w:ascii="宋体" w:hAnsi="宋体"/>
          <w:b/>
          <w:bCs/>
          <w:color w:val="auto"/>
          <w:highlight w:val="none"/>
        </w:rPr>
      </w:pPr>
    </w:p>
    <w:p w14:paraId="580E6D42">
      <w:pPr>
        <w:spacing w:line="500" w:lineRule="exact"/>
        <w:rPr>
          <w:rFonts w:hint="eastAsia" w:ascii="宋体" w:hAnsi="宋体"/>
          <w:color w:val="auto"/>
          <w:szCs w:val="21"/>
          <w:highlight w:val="none"/>
        </w:rPr>
      </w:pPr>
      <w:r>
        <w:rPr>
          <w:rFonts w:hint="eastAsia" w:ascii="宋体" w:hAnsi="宋体"/>
          <w:color w:val="auto"/>
          <w:szCs w:val="21"/>
          <w:highlight w:val="none"/>
        </w:rPr>
        <w:t>参选人名称：（盖公章）：</w:t>
      </w:r>
    </w:p>
    <w:p w14:paraId="53EE21AC">
      <w:pPr>
        <w:spacing w:line="500" w:lineRule="exact"/>
        <w:rPr>
          <w:rFonts w:hint="eastAsia" w:ascii="宋体" w:hAnsi="宋体"/>
          <w:color w:val="auto"/>
          <w:szCs w:val="21"/>
          <w:highlight w:val="none"/>
        </w:rPr>
      </w:pPr>
      <w:r>
        <w:rPr>
          <w:rFonts w:hint="eastAsia" w:ascii="宋体" w:hAnsi="宋体"/>
          <w:color w:val="auto"/>
          <w:szCs w:val="21"/>
          <w:highlight w:val="none"/>
        </w:rPr>
        <w:t>地址：</w:t>
      </w:r>
    </w:p>
    <w:p w14:paraId="0035A5BB">
      <w:pPr>
        <w:spacing w:line="500" w:lineRule="exact"/>
        <w:rPr>
          <w:rFonts w:hint="eastAsia" w:ascii="宋体" w:hAnsi="宋体"/>
          <w:b/>
          <w:bCs/>
          <w:color w:val="auto"/>
          <w:szCs w:val="21"/>
          <w:highlight w:val="none"/>
        </w:rPr>
      </w:pPr>
      <w:r>
        <w:rPr>
          <w:rFonts w:hint="eastAsia" w:ascii="宋体" w:hAnsi="宋体"/>
          <w:color w:val="auto"/>
          <w:szCs w:val="21"/>
          <w:highlight w:val="none"/>
        </w:rPr>
        <w:t xml:space="preserve"> 日期：</w:t>
      </w:r>
    </w:p>
    <w:p w14:paraId="036CEEB5">
      <w:pPr>
        <w:widowControl/>
        <w:jc w:val="left"/>
        <w:rPr>
          <w:rFonts w:hint="eastAsia" w:ascii="宋体" w:hAnsi="宋体"/>
          <w:color w:val="auto"/>
          <w:highlight w:val="none"/>
        </w:rPr>
      </w:pPr>
      <w:r>
        <w:rPr>
          <w:rFonts w:hint="eastAsia" w:ascii="宋体" w:hAnsi="宋体"/>
          <w:color w:val="auto"/>
          <w:highlight w:val="none"/>
        </w:rPr>
        <w:br w:type="page"/>
      </w:r>
    </w:p>
    <w:p w14:paraId="0A6D9AC0">
      <w:pPr>
        <w:pStyle w:val="3"/>
        <w:spacing w:before="0" w:after="0" w:line="360" w:lineRule="auto"/>
        <w:jc w:val="center"/>
        <w:rPr>
          <w:rFonts w:hint="eastAsia" w:ascii="宋体" w:hAnsi="宋体" w:eastAsia="宋体"/>
          <w:color w:val="auto"/>
          <w:highlight w:val="none"/>
        </w:rPr>
      </w:pPr>
      <w:r>
        <w:rPr>
          <w:rFonts w:hint="eastAsia" w:ascii="宋体" w:hAnsi="宋体" w:eastAsia="宋体"/>
          <w:color w:val="auto"/>
          <w:highlight w:val="none"/>
        </w:rPr>
        <w:t>参选函</w:t>
      </w:r>
    </w:p>
    <w:p w14:paraId="3F51D27D">
      <w:pPr>
        <w:spacing w:line="360" w:lineRule="auto"/>
        <w:rPr>
          <w:rFonts w:hint="eastAsia" w:ascii="宋体" w:hAnsi="宋体"/>
          <w:b/>
          <w:bCs/>
          <w:color w:val="auto"/>
          <w:szCs w:val="21"/>
          <w:highlight w:val="none"/>
        </w:rPr>
      </w:pPr>
      <w:r>
        <w:rPr>
          <w:rFonts w:hint="eastAsia" w:ascii="宋体" w:hAnsi="宋体"/>
          <w:b/>
          <w:bCs/>
          <w:color w:val="auto"/>
          <w:szCs w:val="21"/>
          <w:highlight w:val="none"/>
        </w:rPr>
        <w:t>云采链（广州）信息科技有限公司：</w:t>
      </w:r>
    </w:p>
    <w:p w14:paraId="4CC846BE">
      <w:pPr>
        <w:spacing w:line="360" w:lineRule="auto"/>
        <w:ind w:left="105" w:leftChars="50" w:firstLine="373" w:firstLineChars="178"/>
        <w:rPr>
          <w:rFonts w:hint="eastAsia" w:ascii="宋体" w:hAnsi="宋体"/>
          <w:color w:val="auto"/>
          <w:szCs w:val="21"/>
          <w:highlight w:val="none"/>
        </w:rPr>
      </w:pPr>
      <w:r>
        <w:rPr>
          <w:rFonts w:hint="eastAsia" w:ascii="宋体" w:hAnsi="宋体"/>
          <w:color w:val="auto"/>
          <w:szCs w:val="21"/>
          <w:highlight w:val="none"/>
        </w:rPr>
        <w:t>我方确认收到贵方</w:t>
      </w:r>
      <w:r>
        <w:rPr>
          <w:rFonts w:hint="eastAsia" w:ascii="宋体" w:hAnsi="宋体"/>
          <w:b/>
          <w:bCs/>
          <w:color w:val="auto"/>
          <w:kern w:val="28"/>
          <w:szCs w:val="21"/>
          <w:highlight w:val="none"/>
          <w:u w:val="single"/>
          <w:lang w:eastAsia="zh-CN"/>
        </w:rPr>
        <w:t>广州市机电技师学院2025年智慧校园管理平台优化服务项目遴选（第二次）</w:t>
      </w:r>
      <w:r>
        <w:rPr>
          <w:rFonts w:hint="eastAsia" w:ascii="宋体" w:hAnsi="宋体"/>
          <w:color w:val="auto"/>
          <w:szCs w:val="21"/>
          <w:highlight w:val="none"/>
        </w:rPr>
        <w:t>的遴选文件（项目编号：</w:t>
      </w:r>
      <w:r>
        <w:rPr>
          <w:rFonts w:hint="eastAsia" w:ascii="宋体" w:hAnsi="宋体"/>
          <w:color w:val="auto"/>
          <w:szCs w:val="21"/>
          <w:highlight w:val="none"/>
          <w:u w:val="single"/>
        </w:rPr>
        <w:t xml:space="preserve"> CD-1758553657198A </w:t>
      </w:r>
      <w:r>
        <w:rPr>
          <w:rFonts w:hint="eastAsia" w:ascii="宋体" w:hAnsi="宋体"/>
          <w:color w:val="auto"/>
          <w:szCs w:val="21"/>
          <w:highlight w:val="none"/>
        </w:rPr>
        <w:t>），</w:t>
      </w:r>
      <w:r>
        <w:rPr>
          <w:rFonts w:hint="eastAsia" w:ascii="宋体" w:hAnsi="宋体"/>
          <w:color w:val="auto"/>
          <w:szCs w:val="21"/>
          <w:highlight w:val="none"/>
          <w:u w:val="single"/>
        </w:rPr>
        <w:t xml:space="preserve"> (参选人名称、地址)。</w:t>
      </w:r>
      <w:r>
        <w:rPr>
          <w:rFonts w:hint="eastAsia" w:ascii="宋体" w:hAnsi="宋体"/>
          <w:color w:val="auto"/>
          <w:szCs w:val="21"/>
          <w:highlight w:val="none"/>
        </w:rPr>
        <w:t>作为参选人已正式授权《法定代表人授权委托书》中的授权代表或法定代表人为我方签名代表，签名代表在此声明并同意：</w:t>
      </w:r>
    </w:p>
    <w:p w14:paraId="2931F07F">
      <w:pPr>
        <w:numPr>
          <w:ilvl w:val="0"/>
          <w:numId w:val="89"/>
        </w:numPr>
        <w:tabs>
          <w:tab w:val="clear" w:pos="780"/>
        </w:tabs>
        <w:adjustRightInd w:val="0"/>
        <w:snapToGrid w:val="0"/>
        <w:spacing w:line="360" w:lineRule="auto"/>
        <w:ind w:left="426"/>
        <w:textAlignment w:val="baseline"/>
        <w:rPr>
          <w:rFonts w:hint="eastAsia" w:ascii="宋体" w:hAnsi="宋体"/>
          <w:color w:val="auto"/>
          <w:szCs w:val="21"/>
          <w:highlight w:val="none"/>
        </w:rPr>
      </w:pPr>
      <w:r>
        <w:rPr>
          <w:rFonts w:hint="eastAsia" w:ascii="宋体" w:hAnsi="宋体"/>
          <w:color w:val="auto"/>
          <w:szCs w:val="21"/>
          <w:highlight w:val="none"/>
        </w:rPr>
        <w:t>我们愿意遵守平台遴选文件的各项规定，自愿参加遴选，并已清楚遴选文件的要求及有关文件规定，并严格按照遴选文件的规定履行全部责任和义务。</w:t>
      </w:r>
    </w:p>
    <w:p w14:paraId="3AF52C6C">
      <w:pPr>
        <w:numPr>
          <w:ilvl w:val="0"/>
          <w:numId w:val="89"/>
        </w:numPr>
        <w:tabs>
          <w:tab w:val="clear" w:pos="780"/>
        </w:tabs>
        <w:adjustRightInd w:val="0"/>
        <w:snapToGrid w:val="0"/>
        <w:spacing w:line="360" w:lineRule="auto"/>
        <w:ind w:left="426"/>
        <w:textAlignment w:val="baseline"/>
        <w:rPr>
          <w:rFonts w:hint="eastAsia" w:ascii="宋体" w:hAnsi="宋体"/>
          <w:color w:val="auto"/>
          <w:szCs w:val="21"/>
          <w:highlight w:val="none"/>
        </w:rPr>
      </w:pPr>
      <w:r>
        <w:rPr>
          <w:rFonts w:hint="eastAsia" w:ascii="宋体" w:hAnsi="宋体"/>
          <w:color w:val="auto"/>
          <w:szCs w:val="21"/>
          <w:highlight w:val="none"/>
        </w:rPr>
        <w:t>我们同意本报价文件的参选有效期从提交参选文件的截止之日起</w:t>
      </w:r>
      <w:r>
        <w:rPr>
          <w:rFonts w:ascii="宋体" w:hAnsi="宋体"/>
          <w:color w:val="auto"/>
          <w:szCs w:val="21"/>
          <w:highlight w:val="none"/>
          <w:u w:val="single"/>
        </w:rPr>
        <w:t>90</w:t>
      </w:r>
      <w:r>
        <w:rPr>
          <w:rFonts w:ascii="宋体" w:hAnsi="宋体"/>
          <w:color w:val="auto"/>
          <w:szCs w:val="21"/>
          <w:highlight w:val="none"/>
        </w:rPr>
        <w:t>日历日内有效，并承诺不予撤销已递交的</w:t>
      </w:r>
      <w:r>
        <w:rPr>
          <w:rFonts w:hint="eastAsia" w:ascii="宋体" w:hAnsi="宋体"/>
          <w:color w:val="auto"/>
          <w:szCs w:val="21"/>
          <w:highlight w:val="none"/>
        </w:rPr>
        <w:t>参选</w:t>
      </w:r>
      <w:r>
        <w:rPr>
          <w:rFonts w:ascii="宋体" w:hAnsi="宋体"/>
          <w:color w:val="auto"/>
          <w:szCs w:val="21"/>
          <w:highlight w:val="none"/>
        </w:rPr>
        <w:t>文件。</w:t>
      </w:r>
    </w:p>
    <w:p w14:paraId="12D65DC2">
      <w:pPr>
        <w:numPr>
          <w:ilvl w:val="0"/>
          <w:numId w:val="89"/>
        </w:numPr>
        <w:tabs>
          <w:tab w:val="clear" w:pos="780"/>
        </w:tabs>
        <w:adjustRightInd w:val="0"/>
        <w:snapToGrid w:val="0"/>
        <w:spacing w:line="360" w:lineRule="auto"/>
        <w:ind w:left="426"/>
        <w:textAlignment w:val="baseline"/>
        <w:rPr>
          <w:rFonts w:hint="eastAsia" w:ascii="宋体" w:hAnsi="宋体"/>
          <w:color w:val="auto"/>
          <w:szCs w:val="21"/>
          <w:highlight w:val="none"/>
        </w:rPr>
      </w:pPr>
      <w:r>
        <w:rPr>
          <w:rFonts w:hint="eastAsia" w:ascii="宋体" w:hAnsi="宋体"/>
          <w:color w:val="auto"/>
          <w:szCs w:val="21"/>
          <w:highlight w:val="none"/>
        </w:rPr>
        <w:t>我们已经详细地阅读并完全明白了全部遴选文件及附件，包括澄清（如有）及参考文件，我们完全理解本遴选文件的要求，我们同意放弃对遴选文件提出不明或误解的一切权力。</w:t>
      </w:r>
    </w:p>
    <w:p w14:paraId="4796EA05">
      <w:pPr>
        <w:numPr>
          <w:ilvl w:val="0"/>
          <w:numId w:val="89"/>
        </w:numPr>
        <w:tabs>
          <w:tab w:val="clear" w:pos="780"/>
        </w:tabs>
        <w:adjustRightInd w:val="0"/>
        <w:snapToGrid w:val="0"/>
        <w:spacing w:line="360" w:lineRule="auto"/>
        <w:ind w:left="426"/>
        <w:textAlignment w:val="baseline"/>
        <w:rPr>
          <w:rFonts w:hint="eastAsia" w:ascii="宋体" w:hAnsi="宋体"/>
          <w:color w:val="auto"/>
          <w:szCs w:val="21"/>
          <w:highlight w:val="none"/>
        </w:rPr>
      </w:pPr>
      <w:r>
        <w:rPr>
          <w:rFonts w:hint="eastAsia" w:ascii="宋体" w:hAnsi="宋体"/>
          <w:color w:val="auto"/>
          <w:szCs w:val="21"/>
          <w:highlight w:val="none"/>
        </w:rPr>
        <w:t>我们同意提供</w:t>
      </w:r>
      <w:r>
        <w:rPr>
          <w:rFonts w:hint="eastAsia" w:ascii="宋体" w:hAnsi="宋体" w:cs="宋体"/>
          <w:color w:val="auto"/>
          <w:szCs w:val="21"/>
          <w:highlight w:val="none"/>
        </w:rPr>
        <w:t>遴选人或者平台</w:t>
      </w:r>
      <w:r>
        <w:rPr>
          <w:rFonts w:hint="eastAsia" w:ascii="宋体" w:hAnsi="宋体"/>
          <w:color w:val="auto"/>
          <w:szCs w:val="21"/>
          <w:highlight w:val="none"/>
        </w:rPr>
        <w:t>与遴选专家小组要求的有关报价的一切数据或资料。</w:t>
      </w:r>
    </w:p>
    <w:p w14:paraId="43FFDAF0">
      <w:pPr>
        <w:numPr>
          <w:ilvl w:val="0"/>
          <w:numId w:val="89"/>
        </w:numPr>
        <w:tabs>
          <w:tab w:val="clear" w:pos="780"/>
        </w:tabs>
        <w:adjustRightInd w:val="0"/>
        <w:snapToGrid w:val="0"/>
        <w:spacing w:line="360" w:lineRule="auto"/>
        <w:ind w:left="426"/>
        <w:textAlignment w:val="baseline"/>
        <w:rPr>
          <w:rFonts w:hint="eastAsia" w:ascii="宋体" w:hAnsi="宋体"/>
          <w:color w:val="auto"/>
          <w:szCs w:val="21"/>
          <w:highlight w:val="none"/>
        </w:rPr>
      </w:pPr>
      <w:r>
        <w:rPr>
          <w:rFonts w:hint="eastAsia" w:ascii="宋体" w:hAnsi="宋体"/>
          <w:color w:val="auto"/>
          <w:szCs w:val="21"/>
          <w:highlight w:val="none"/>
        </w:rPr>
        <w:t>我们理解</w:t>
      </w:r>
      <w:r>
        <w:rPr>
          <w:rFonts w:hint="eastAsia" w:ascii="宋体" w:hAnsi="宋体" w:cs="宋体"/>
          <w:color w:val="auto"/>
          <w:szCs w:val="21"/>
          <w:highlight w:val="none"/>
        </w:rPr>
        <w:t>遴选人或者平台服务方</w:t>
      </w:r>
      <w:r>
        <w:rPr>
          <w:rFonts w:hint="eastAsia" w:ascii="宋体" w:hAnsi="宋体"/>
          <w:color w:val="auto"/>
          <w:szCs w:val="21"/>
          <w:highlight w:val="none"/>
        </w:rPr>
        <w:t>与遴选专家小组并无义务必须接受最低报价的参选或其它任何参选，完全理解平台服务方拒绝迟到的任何参选和最低响应参选不是被授予候选资格的唯一条件。</w:t>
      </w:r>
    </w:p>
    <w:p w14:paraId="511454AE">
      <w:pPr>
        <w:numPr>
          <w:ilvl w:val="0"/>
          <w:numId w:val="89"/>
        </w:numPr>
        <w:tabs>
          <w:tab w:val="clear" w:pos="780"/>
        </w:tabs>
        <w:adjustRightInd w:val="0"/>
        <w:snapToGrid w:val="0"/>
        <w:spacing w:line="360" w:lineRule="auto"/>
        <w:ind w:left="426"/>
        <w:textAlignment w:val="baseline"/>
        <w:rPr>
          <w:rFonts w:hint="eastAsia" w:ascii="宋体" w:hAnsi="宋体"/>
          <w:color w:val="auto"/>
          <w:szCs w:val="21"/>
          <w:highlight w:val="none"/>
        </w:rPr>
      </w:pPr>
      <w:r>
        <w:rPr>
          <w:rFonts w:hint="eastAsia" w:ascii="宋体" w:hAnsi="宋体"/>
          <w:color w:val="auto"/>
          <w:szCs w:val="21"/>
          <w:highlight w:val="none"/>
        </w:rPr>
        <w:t xml:space="preserve">如果我们未对遴选文件全部要求作出实质性响应，则完全同意并接受按无效参选处理。 </w:t>
      </w:r>
    </w:p>
    <w:p w14:paraId="7A0EC9EC">
      <w:pPr>
        <w:numPr>
          <w:ilvl w:val="0"/>
          <w:numId w:val="89"/>
        </w:numPr>
        <w:tabs>
          <w:tab w:val="clear" w:pos="780"/>
        </w:tabs>
        <w:adjustRightInd w:val="0"/>
        <w:snapToGrid w:val="0"/>
        <w:spacing w:line="360" w:lineRule="auto"/>
        <w:ind w:left="426"/>
        <w:textAlignment w:val="baseline"/>
        <w:rPr>
          <w:rFonts w:hint="eastAsia" w:ascii="宋体" w:hAnsi="宋体"/>
          <w:color w:val="auto"/>
          <w:szCs w:val="21"/>
          <w:highlight w:val="none"/>
        </w:rPr>
      </w:pPr>
      <w:r>
        <w:rPr>
          <w:rFonts w:hint="eastAsia" w:ascii="宋体" w:hAnsi="宋体"/>
          <w:color w:val="auto"/>
          <w:szCs w:val="21"/>
          <w:highlight w:val="none"/>
        </w:rPr>
        <w:t>我们证明提交的一切文件，无论是原件还是复印件均为准确、真实、有效、完整的，绝无任何虚假、伪造或者夸大。我们在此郑重承诺：在本次遴选活动中，如有违法、违规、弄虚作假行为，所造成的损失、不良后果及法律责任，一律由我公司（企业）承担。</w:t>
      </w:r>
    </w:p>
    <w:p w14:paraId="697017CB">
      <w:pPr>
        <w:numPr>
          <w:ilvl w:val="0"/>
          <w:numId w:val="89"/>
        </w:numPr>
        <w:tabs>
          <w:tab w:val="clear" w:pos="780"/>
        </w:tabs>
        <w:adjustRightInd w:val="0"/>
        <w:snapToGrid w:val="0"/>
        <w:spacing w:line="360" w:lineRule="auto"/>
        <w:ind w:left="426"/>
        <w:textAlignment w:val="baseline"/>
        <w:rPr>
          <w:rFonts w:hint="eastAsia" w:ascii="宋体" w:hAnsi="宋体"/>
          <w:color w:val="auto"/>
          <w:szCs w:val="21"/>
          <w:highlight w:val="none"/>
        </w:rPr>
      </w:pPr>
      <w:r>
        <w:rPr>
          <w:rFonts w:hint="eastAsia" w:ascii="宋体" w:hAnsi="宋体"/>
          <w:color w:val="auto"/>
          <w:szCs w:val="21"/>
          <w:highlight w:val="none"/>
        </w:rPr>
        <w:t>如果我们提供的声明或承诺不真实，则完全同意认定为我司提供虚假材料，并同意作相应处理。</w:t>
      </w:r>
    </w:p>
    <w:p w14:paraId="5ADFB1BA">
      <w:pPr>
        <w:numPr>
          <w:ilvl w:val="0"/>
          <w:numId w:val="89"/>
        </w:numPr>
        <w:tabs>
          <w:tab w:val="clear" w:pos="780"/>
        </w:tabs>
        <w:adjustRightInd w:val="0"/>
        <w:snapToGrid w:val="0"/>
        <w:spacing w:line="360" w:lineRule="auto"/>
        <w:ind w:left="426"/>
        <w:textAlignment w:val="baseline"/>
        <w:rPr>
          <w:rFonts w:hint="eastAsia" w:ascii="宋体" w:hAnsi="宋体"/>
          <w:color w:val="auto"/>
          <w:szCs w:val="21"/>
          <w:highlight w:val="none"/>
        </w:rPr>
      </w:pPr>
      <w:r>
        <w:rPr>
          <w:rFonts w:hint="eastAsia" w:ascii="宋体" w:hAnsi="宋体"/>
          <w:color w:val="auto"/>
          <w:szCs w:val="21"/>
          <w:highlight w:val="none"/>
        </w:rPr>
        <w:t>我们是依法注册的法人，在法律、财务及运作上完全独立于本项目遴选人、用户单位（如有）和平台服务方。</w:t>
      </w:r>
    </w:p>
    <w:p w14:paraId="7D2F56B9">
      <w:pPr>
        <w:numPr>
          <w:ilvl w:val="0"/>
          <w:numId w:val="89"/>
        </w:numPr>
        <w:tabs>
          <w:tab w:val="clear" w:pos="780"/>
        </w:tabs>
        <w:adjustRightInd w:val="0"/>
        <w:snapToGrid w:val="0"/>
        <w:spacing w:line="360" w:lineRule="auto"/>
        <w:ind w:left="426"/>
        <w:textAlignment w:val="baseline"/>
        <w:rPr>
          <w:rFonts w:hint="eastAsia" w:ascii="宋体" w:hAnsi="宋体"/>
          <w:color w:val="auto"/>
          <w:szCs w:val="21"/>
          <w:highlight w:val="none"/>
        </w:rPr>
      </w:pPr>
      <w:r>
        <w:rPr>
          <w:rFonts w:hint="eastAsia" w:ascii="宋体" w:hAnsi="宋体"/>
          <w:color w:val="auto"/>
          <w:szCs w:val="21"/>
          <w:highlight w:val="none"/>
        </w:rPr>
        <w:t>与本项目有关的一切正式信函请发送：</w:t>
      </w:r>
      <w:r>
        <w:rPr>
          <w:rFonts w:ascii="宋体" w:hAnsi="宋体"/>
          <w:color w:val="auto"/>
          <w:szCs w:val="21"/>
          <w:highlight w:val="none"/>
          <w:u w:val="single"/>
        </w:rPr>
        <w:t>service@choicelink.cn</w:t>
      </w:r>
    </w:p>
    <w:p w14:paraId="66B2B3EE">
      <w:pPr>
        <w:spacing w:line="360" w:lineRule="auto"/>
        <w:ind w:left="420"/>
        <w:rPr>
          <w:rFonts w:hint="eastAsia" w:ascii="宋体" w:hAnsi="宋体"/>
          <w:color w:val="auto"/>
          <w:spacing w:val="4"/>
          <w:szCs w:val="21"/>
          <w:highlight w:val="none"/>
          <w:u w:val="single"/>
        </w:rPr>
      </w:pPr>
      <w:r>
        <w:rPr>
          <w:rFonts w:hint="eastAsia" w:ascii="宋体" w:hAnsi="宋体"/>
          <w:color w:val="auto"/>
          <w:spacing w:val="4"/>
          <w:szCs w:val="21"/>
          <w:highlight w:val="none"/>
        </w:rPr>
        <w:t>参选人名称（单位盖公章）：</w:t>
      </w:r>
    </w:p>
    <w:p w14:paraId="77B84F10">
      <w:pPr>
        <w:spacing w:line="360" w:lineRule="auto"/>
        <w:ind w:left="420"/>
        <w:rPr>
          <w:rFonts w:hint="eastAsia" w:ascii="宋体" w:hAnsi="宋体"/>
          <w:color w:val="auto"/>
          <w:spacing w:val="4"/>
          <w:szCs w:val="21"/>
          <w:highlight w:val="none"/>
        </w:rPr>
      </w:pPr>
      <w:r>
        <w:rPr>
          <w:rFonts w:hint="eastAsia" w:ascii="宋体" w:hAnsi="宋体"/>
          <w:color w:val="auto"/>
          <w:szCs w:val="21"/>
          <w:highlight w:val="none"/>
        </w:rPr>
        <w:t>法定代表人或参选人授权代表（签名或盖个人名章）：</w:t>
      </w:r>
    </w:p>
    <w:p w14:paraId="7457F578">
      <w:pPr>
        <w:spacing w:line="360" w:lineRule="auto"/>
        <w:ind w:left="420"/>
        <w:rPr>
          <w:rFonts w:hint="eastAsia" w:ascii="宋体" w:hAnsi="宋体"/>
          <w:color w:val="auto"/>
          <w:spacing w:val="4"/>
          <w:szCs w:val="21"/>
          <w:highlight w:val="none"/>
        </w:rPr>
      </w:pPr>
      <w:r>
        <w:rPr>
          <w:rFonts w:hint="eastAsia" w:ascii="宋体" w:hAnsi="宋体"/>
          <w:color w:val="auto"/>
          <w:spacing w:val="4"/>
          <w:szCs w:val="21"/>
          <w:highlight w:val="none"/>
        </w:rPr>
        <w:t>日期：</w:t>
      </w:r>
    </w:p>
    <w:p w14:paraId="3CC6D1C4">
      <w:pPr>
        <w:spacing w:line="360" w:lineRule="auto"/>
        <w:ind w:left="420"/>
        <w:rPr>
          <w:rFonts w:hint="eastAsia" w:ascii="宋体" w:hAnsi="宋体"/>
          <w:b/>
          <w:bCs/>
          <w:color w:val="auto"/>
          <w:sz w:val="32"/>
          <w:szCs w:val="32"/>
          <w:highlight w:val="none"/>
        </w:rPr>
      </w:pPr>
      <w:r>
        <w:rPr>
          <w:rFonts w:hint="eastAsia" w:ascii="宋体" w:hAnsi="宋体"/>
          <w:color w:val="auto"/>
          <w:szCs w:val="21"/>
          <w:highlight w:val="none"/>
        </w:rPr>
        <w:t>备注：参选函中承诺的参选有效期应当不少于遴选文件中载明的参选有效期，其他内容不得擅自删改，否则视为无效参选。</w:t>
      </w:r>
    </w:p>
    <w:p w14:paraId="3E0FE3BD">
      <w:pPr>
        <w:pStyle w:val="3"/>
        <w:spacing w:line="360" w:lineRule="auto"/>
        <w:jc w:val="center"/>
        <w:rPr>
          <w:rFonts w:hint="eastAsia" w:ascii="宋体" w:hAnsi="宋体" w:eastAsia="宋体"/>
          <w:color w:val="auto"/>
          <w:highlight w:val="none"/>
        </w:rPr>
      </w:pPr>
      <w:bookmarkStart w:id="55" w:name="_Toc435514855"/>
      <w:bookmarkStart w:id="56" w:name="_Toc435515295"/>
      <w:bookmarkStart w:id="57" w:name="_Toc275865606"/>
      <w:r>
        <w:rPr>
          <w:rFonts w:hint="eastAsia" w:ascii="宋体" w:hAnsi="宋体" w:eastAsia="宋体"/>
          <w:color w:val="auto"/>
          <w:highlight w:val="none"/>
        </w:rPr>
        <w:t>参选人资格声明函</w:t>
      </w:r>
      <w:bookmarkEnd w:id="55"/>
      <w:bookmarkEnd w:id="56"/>
      <w:bookmarkEnd w:id="57"/>
    </w:p>
    <w:p w14:paraId="744B8785">
      <w:pPr>
        <w:snapToGrid w:val="0"/>
        <w:spacing w:line="360" w:lineRule="auto"/>
        <w:rPr>
          <w:b/>
          <w:color w:val="auto"/>
          <w:szCs w:val="21"/>
          <w:highlight w:val="none"/>
        </w:rPr>
      </w:pPr>
      <w:r>
        <w:rPr>
          <w:rFonts w:hint="eastAsia"/>
          <w:b/>
          <w:color w:val="auto"/>
          <w:szCs w:val="21"/>
          <w:highlight w:val="none"/>
        </w:rPr>
        <w:t>致：广州市机电技师学院、云采链（广州）信息科技有限公司：</w:t>
      </w:r>
    </w:p>
    <w:p w14:paraId="3E14FC53">
      <w:pPr>
        <w:snapToGrid w:val="0"/>
        <w:spacing w:line="360" w:lineRule="auto"/>
        <w:ind w:firstLine="424" w:firstLineChars="202"/>
        <w:rPr>
          <w:rFonts w:hint="eastAsia" w:ascii="宋体" w:hAnsi="宋体"/>
          <w:color w:val="auto"/>
          <w:szCs w:val="21"/>
          <w:highlight w:val="none"/>
        </w:rPr>
      </w:pPr>
    </w:p>
    <w:p w14:paraId="459D0DD6">
      <w:pPr>
        <w:snapToGrid w:val="0"/>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关于贵单位发布</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lang w:eastAsia="zh-CN"/>
        </w:rPr>
        <w:t>广州市机电技师学院2025年智慧校园管理平台优化服务项目遴选（第二次）</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CD-1758553657198A </w:t>
      </w:r>
      <w:r>
        <w:rPr>
          <w:rFonts w:hint="eastAsia" w:ascii="宋体" w:hAnsi="宋体"/>
          <w:color w:val="auto"/>
          <w:szCs w:val="21"/>
          <w:highlight w:val="none"/>
        </w:rPr>
        <w:t>）的遴选公告，本单位愿意参选，并声明：</w:t>
      </w:r>
    </w:p>
    <w:p w14:paraId="4544650D">
      <w:pPr>
        <w:spacing w:line="360" w:lineRule="auto"/>
        <w:ind w:firstLine="420" w:firstLineChars="200"/>
        <w:rPr>
          <w:rFonts w:hint="eastAsia" w:ascii="宋体" w:hAnsi="宋体"/>
          <w:color w:val="auto"/>
          <w:highlight w:val="none"/>
        </w:rPr>
      </w:pPr>
      <w:r>
        <w:rPr>
          <w:rFonts w:hint="eastAsia" w:ascii="宋体" w:hAnsi="宋体"/>
          <w:color w:val="auto"/>
          <w:highlight w:val="none"/>
        </w:rPr>
        <w:t>一、本单位具备以下条件：</w:t>
      </w:r>
    </w:p>
    <w:p w14:paraId="3490614E">
      <w:pPr>
        <w:spacing w:line="360" w:lineRule="auto"/>
        <w:ind w:firstLine="420" w:firstLineChars="200"/>
        <w:rPr>
          <w:rFonts w:hint="eastAsia" w:ascii="宋体" w:hAnsi="宋体"/>
          <w:bCs/>
          <w:color w:val="auto"/>
          <w:szCs w:val="21"/>
          <w:highlight w:val="none"/>
        </w:rPr>
      </w:pPr>
      <w:r>
        <w:rPr>
          <w:rFonts w:hint="eastAsia" w:ascii="宋体" w:hAnsi="宋体"/>
          <w:color w:val="auto"/>
          <w:highlight w:val="none"/>
        </w:rPr>
        <w:t>（一）具有良好的商业信誉和健全的财务会计制度；</w:t>
      </w:r>
    </w:p>
    <w:p w14:paraId="7FF8BCB6">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（二）具有依法缴纳税收和社会保障资金的良好记录；</w:t>
      </w:r>
    </w:p>
    <w:p w14:paraId="1F9BC1A1">
      <w:pPr>
        <w:spacing w:line="360" w:lineRule="auto"/>
        <w:ind w:firstLine="420" w:firstLineChars="200"/>
        <w:rPr>
          <w:rFonts w:hint="eastAsia" w:ascii="宋体" w:hAnsi="宋体"/>
          <w:color w:val="auto"/>
          <w:highlight w:val="none"/>
        </w:rPr>
      </w:pPr>
      <w:r>
        <w:rPr>
          <w:rFonts w:hint="eastAsia" w:ascii="宋体" w:hAnsi="宋体"/>
          <w:color w:val="auto"/>
          <w:highlight w:val="none"/>
        </w:rPr>
        <w:t>（三）具有履行合同所必需的设备和专业技术能力；</w:t>
      </w:r>
    </w:p>
    <w:p w14:paraId="29D1A0B5">
      <w:pPr>
        <w:spacing w:line="360" w:lineRule="auto"/>
        <w:ind w:firstLine="420" w:firstLineChars="200"/>
        <w:rPr>
          <w:rFonts w:hint="eastAsia" w:ascii="宋体" w:hAnsi="宋体"/>
          <w:color w:val="auto"/>
          <w:highlight w:val="none"/>
        </w:rPr>
      </w:pPr>
      <w:r>
        <w:rPr>
          <w:rFonts w:hint="eastAsia" w:ascii="宋体" w:hAnsi="宋体"/>
          <w:color w:val="auto"/>
          <w:highlight w:val="none"/>
        </w:rPr>
        <w:t>（四）本单位（如前三年内有名称变更的，含变更前名称）参加遴选活动前三年内，在经营活动中没有重大违法记录【重大违法记录，是指参选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BAB6C1F">
      <w:pPr>
        <w:spacing w:line="360" w:lineRule="auto"/>
        <w:ind w:firstLine="420" w:firstLineChars="200"/>
        <w:rPr>
          <w:rFonts w:hint="eastAsia" w:ascii="宋体" w:hAnsi="宋体"/>
          <w:color w:val="auto"/>
          <w:highlight w:val="none"/>
        </w:rPr>
      </w:pPr>
      <w:r>
        <w:rPr>
          <w:rFonts w:hint="eastAsia" w:ascii="宋体" w:hAnsi="宋体"/>
          <w:color w:val="auto"/>
          <w:highlight w:val="none"/>
        </w:rPr>
        <w:t>（五）法律、行政法规规定的其他条件。</w:t>
      </w:r>
    </w:p>
    <w:p w14:paraId="3C95FD7F">
      <w:pPr>
        <w:tabs>
          <w:tab w:val="left" w:pos="993"/>
        </w:tabs>
        <w:adjustRightInd w:val="0"/>
        <w:snapToGrid w:val="0"/>
        <w:spacing w:line="360" w:lineRule="auto"/>
        <w:ind w:firstLine="420" w:firstLineChars="200"/>
        <w:textAlignment w:val="baseline"/>
        <w:rPr>
          <w:rFonts w:hint="eastAsia" w:ascii="宋体" w:hAnsi="宋体"/>
          <w:bCs/>
          <w:color w:val="auto"/>
          <w:szCs w:val="21"/>
          <w:highlight w:val="none"/>
        </w:rPr>
      </w:pPr>
      <w:r>
        <w:rPr>
          <w:rFonts w:hint="eastAsia" w:ascii="宋体" w:hAnsi="宋体"/>
          <w:bCs/>
          <w:color w:val="auto"/>
          <w:szCs w:val="21"/>
          <w:highlight w:val="none"/>
        </w:rPr>
        <w:t>二、本单位没有为采购项目同一合同项下提供整体设计、规范编制或者项目管理、监理、检测等服务。</w:t>
      </w:r>
    </w:p>
    <w:p w14:paraId="05865BFF">
      <w:pPr>
        <w:tabs>
          <w:tab w:val="left" w:pos="993"/>
        </w:tabs>
        <w:adjustRightInd w:val="0"/>
        <w:snapToGrid w:val="0"/>
        <w:spacing w:line="360" w:lineRule="auto"/>
        <w:ind w:firstLine="420" w:firstLineChars="200"/>
        <w:textAlignment w:val="baseline"/>
        <w:rPr>
          <w:rFonts w:hint="eastAsia" w:ascii="宋体" w:hAnsi="宋体"/>
          <w:b/>
          <w:bCs/>
          <w:color w:val="auto"/>
          <w:szCs w:val="21"/>
          <w:highlight w:val="none"/>
        </w:rPr>
      </w:pPr>
      <w:r>
        <w:rPr>
          <w:rFonts w:hint="eastAsia" w:ascii="宋体" w:hAnsi="宋体"/>
          <w:bCs/>
          <w:color w:val="auto"/>
          <w:szCs w:val="21"/>
          <w:highlight w:val="none"/>
        </w:rPr>
        <w:t>三、我方承诺如与本项目同一合同项下其他参选人的单位负责人为同一人或者存在直接控股、管理关系的情形，同意按参选无效处理。</w:t>
      </w:r>
    </w:p>
    <w:p w14:paraId="1A450897">
      <w:pPr>
        <w:tabs>
          <w:tab w:val="left" w:pos="993"/>
        </w:tabs>
        <w:adjustRightInd w:val="0"/>
        <w:snapToGrid w:val="0"/>
        <w:spacing w:line="360" w:lineRule="auto"/>
        <w:ind w:firstLine="422" w:firstLineChars="200"/>
        <w:textAlignment w:val="baseline"/>
        <w:rPr>
          <w:rFonts w:hint="eastAsia" w:ascii="宋体" w:hAnsi="宋体"/>
          <w:b/>
          <w:color w:val="auto"/>
          <w:szCs w:val="21"/>
          <w:highlight w:val="none"/>
          <w:u w:val="single"/>
        </w:rPr>
      </w:pPr>
      <w:r>
        <w:rPr>
          <w:rFonts w:hint="eastAsia" w:ascii="宋体" w:hAnsi="宋体"/>
          <w:b/>
          <w:color w:val="auto"/>
          <w:szCs w:val="21"/>
          <w:highlight w:val="none"/>
          <w:u w:val="single"/>
        </w:rPr>
        <w:t>四、我方知悉本项目为遴选项目，并承诺本次报价将适用于遴选后在广东政府采购智慧云平台电子卖场定点采购交易。</w:t>
      </w:r>
    </w:p>
    <w:p w14:paraId="408987C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本单位承诺在本次采购活动中，如有违法、违规、弄虚作假行为，所造成的损失、不良后果及法律责任，一律由我单位承担。</w:t>
      </w:r>
    </w:p>
    <w:p w14:paraId="232E439A">
      <w:pPr>
        <w:snapToGrid w:val="0"/>
        <w:spacing w:line="360" w:lineRule="auto"/>
        <w:ind w:firstLine="420"/>
        <w:rPr>
          <w:color w:val="auto"/>
          <w:szCs w:val="21"/>
          <w:highlight w:val="none"/>
        </w:rPr>
      </w:pPr>
      <w:r>
        <w:rPr>
          <w:rFonts w:hint="eastAsia"/>
          <w:color w:val="auto"/>
          <w:szCs w:val="21"/>
          <w:highlight w:val="none"/>
        </w:rPr>
        <w:t>特此声明！</w:t>
      </w:r>
    </w:p>
    <w:p w14:paraId="2D7E81C4">
      <w:pPr>
        <w:autoSpaceDE w:val="0"/>
        <w:autoSpaceDN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说明：</w:t>
      </w:r>
    </w:p>
    <w:p w14:paraId="7E117066">
      <w:pPr>
        <w:pStyle w:val="169"/>
        <w:numPr>
          <w:ilvl w:val="0"/>
          <w:numId w:val="90"/>
        </w:numPr>
        <w:jc w:val="both"/>
        <w:rPr>
          <w:color w:val="auto"/>
          <w:highlight w:val="none"/>
        </w:rPr>
      </w:pPr>
      <w:r>
        <w:rPr>
          <w:rFonts w:hint="eastAsia"/>
          <w:color w:val="auto"/>
          <w:highlight w:val="none"/>
        </w:rPr>
        <w:t>本声明函必须提供且内容不得擅自删改，否则视为无效参选。</w:t>
      </w:r>
    </w:p>
    <w:p w14:paraId="4F37E467">
      <w:pPr>
        <w:pStyle w:val="169"/>
        <w:numPr>
          <w:ilvl w:val="0"/>
          <w:numId w:val="90"/>
        </w:numPr>
        <w:jc w:val="both"/>
        <w:rPr>
          <w:color w:val="auto"/>
          <w:highlight w:val="none"/>
        </w:rPr>
      </w:pPr>
      <w:r>
        <w:rPr>
          <w:rFonts w:hint="eastAsia"/>
          <w:color w:val="auto"/>
          <w:highlight w:val="none"/>
        </w:rPr>
        <w:t>本声明函如有虚假或与事实不符的，作无效参选处理。</w:t>
      </w:r>
    </w:p>
    <w:p w14:paraId="630222BC">
      <w:pPr>
        <w:tabs>
          <w:tab w:val="left" w:pos="426"/>
        </w:tabs>
        <w:snapToGrid w:val="0"/>
        <w:spacing w:line="360" w:lineRule="auto"/>
        <w:rPr>
          <w:rFonts w:hint="eastAsia" w:ascii="宋体" w:hAnsi="宋体"/>
          <w:bCs/>
          <w:color w:val="auto"/>
          <w:szCs w:val="21"/>
          <w:highlight w:val="none"/>
        </w:rPr>
      </w:pPr>
    </w:p>
    <w:p w14:paraId="0EB7C645">
      <w:pPr>
        <w:snapToGrid w:val="0"/>
        <w:spacing w:line="360" w:lineRule="auto"/>
        <w:ind w:firstLine="420"/>
        <w:jc w:val="right"/>
        <w:rPr>
          <w:color w:val="auto"/>
          <w:szCs w:val="21"/>
          <w:highlight w:val="none"/>
        </w:rPr>
      </w:pPr>
      <w:r>
        <w:rPr>
          <w:rFonts w:hint="eastAsia"/>
          <w:color w:val="auto"/>
          <w:szCs w:val="21"/>
          <w:highlight w:val="none"/>
        </w:rPr>
        <w:t>参选人名称（单位盖公章）：</w:t>
      </w:r>
    </w:p>
    <w:p w14:paraId="0787D5C2">
      <w:pPr>
        <w:snapToGrid w:val="0"/>
        <w:spacing w:line="360" w:lineRule="auto"/>
        <w:ind w:firstLine="420"/>
        <w:jc w:val="right"/>
        <w:rPr>
          <w:color w:val="auto"/>
          <w:szCs w:val="21"/>
          <w:highlight w:val="none"/>
        </w:rPr>
      </w:pPr>
      <w:r>
        <w:rPr>
          <w:rFonts w:hint="eastAsia"/>
          <w:color w:val="auto"/>
          <w:szCs w:val="21"/>
          <w:highlight w:val="none"/>
        </w:rPr>
        <w:t>单位地址：</w:t>
      </w:r>
    </w:p>
    <w:p w14:paraId="46E9534A">
      <w:pPr>
        <w:snapToGrid w:val="0"/>
        <w:spacing w:line="360" w:lineRule="auto"/>
        <w:ind w:firstLine="420"/>
        <w:jc w:val="right"/>
        <w:rPr>
          <w:color w:val="auto"/>
          <w:szCs w:val="21"/>
          <w:highlight w:val="none"/>
        </w:rPr>
      </w:pPr>
      <w:r>
        <w:rPr>
          <w:rFonts w:hint="eastAsia"/>
          <w:color w:val="auto"/>
          <w:szCs w:val="21"/>
          <w:highlight w:val="none"/>
        </w:rPr>
        <w:t>日期：</w:t>
      </w:r>
    </w:p>
    <w:p w14:paraId="009BDBAC">
      <w:pPr>
        <w:pStyle w:val="3"/>
        <w:spacing w:before="0" w:after="0"/>
        <w:jc w:val="center"/>
        <w:rPr>
          <w:rFonts w:hint="eastAsia" w:ascii="宋体" w:hAnsi="宋体" w:eastAsia="宋体"/>
          <w:color w:val="auto"/>
          <w:highlight w:val="none"/>
          <w:lang w:eastAsia="zh-CN"/>
        </w:rPr>
      </w:pPr>
      <w:r>
        <w:rPr>
          <w:rFonts w:hint="eastAsia" w:ascii="宋体" w:hAnsi="宋体" w:eastAsia="宋体"/>
          <w:color w:val="auto"/>
          <w:highlight w:val="none"/>
        </w:rPr>
        <w:t>中小企业声明函（</w:t>
      </w:r>
      <w:r>
        <w:rPr>
          <w:rFonts w:hint="eastAsia" w:ascii="宋体" w:hAnsi="宋体" w:eastAsia="宋体"/>
          <w:color w:val="auto"/>
          <w:highlight w:val="none"/>
          <w:lang w:val="en-US" w:eastAsia="zh-CN"/>
        </w:rPr>
        <w:t>服务</w:t>
      </w:r>
      <w:r>
        <w:rPr>
          <w:rFonts w:hint="eastAsia" w:ascii="宋体" w:hAnsi="宋体" w:eastAsia="宋体"/>
          <w:color w:val="auto"/>
          <w:highlight w:val="none"/>
        </w:rPr>
        <w:t>）</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适用于包组三</w:t>
      </w:r>
      <w:r>
        <w:rPr>
          <w:rFonts w:hint="eastAsia" w:ascii="宋体" w:hAnsi="宋体" w:eastAsia="宋体"/>
          <w:color w:val="auto"/>
          <w:highlight w:val="none"/>
          <w:lang w:eastAsia="zh-CN"/>
        </w:rPr>
        <w:t>）</w:t>
      </w:r>
    </w:p>
    <w:p w14:paraId="0A7583F1">
      <w:pPr>
        <w:adjustRightInd w:val="0"/>
        <w:snapToGrid w:val="0"/>
        <w:spacing w:line="360" w:lineRule="auto"/>
        <w:ind w:firstLine="371" w:firstLineChars="177"/>
        <w:textAlignment w:val="baseline"/>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本公司（联合体）郑重声明，根据《政府采购促进中小企业发展管理办法》（财库﹝2020﹞46 号）的规定，本公司（联合体）参加</w:t>
      </w:r>
      <w:r>
        <w:rPr>
          <w:rFonts w:hint="eastAsia" w:ascii="宋体" w:hAnsi="宋体" w:cs="Times New Roman"/>
          <w:b/>
          <w:bCs/>
          <w:color w:val="auto"/>
          <w:kern w:val="0"/>
          <w:sz w:val="21"/>
          <w:szCs w:val="21"/>
          <w:highlight w:val="none"/>
          <w:u w:val="single"/>
        </w:rPr>
        <w:t>（广州市机电技师学院）</w:t>
      </w:r>
      <w:r>
        <w:rPr>
          <w:rFonts w:hint="eastAsia" w:ascii="宋体" w:hAnsi="宋体" w:cs="Times New Roman"/>
          <w:color w:val="auto"/>
          <w:kern w:val="0"/>
          <w:sz w:val="21"/>
          <w:szCs w:val="21"/>
          <w:highlight w:val="none"/>
        </w:rPr>
        <w:t>的</w:t>
      </w:r>
      <w:r>
        <w:rPr>
          <w:rFonts w:hint="eastAsia" w:ascii="宋体" w:hAnsi="宋体" w:cs="Times New Roman"/>
          <w:b/>
          <w:bCs/>
          <w:color w:val="auto"/>
          <w:kern w:val="0"/>
          <w:sz w:val="21"/>
          <w:szCs w:val="21"/>
          <w:highlight w:val="none"/>
          <w:u w:val="single"/>
        </w:rPr>
        <w:t>（</w:t>
      </w:r>
      <w:r>
        <w:rPr>
          <w:rFonts w:hint="eastAsia" w:ascii="宋体" w:hAnsi="宋体" w:cs="Times New Roman"/>
          <w:b/>
          <w:bCs/>
          <w:color w:val="auto"/>
          <w:kern w:val="0"/>
          <w:sz w:val="21"/>
          <w:szCs w:val="21"/>
          <w:highlight w:val="none"/>
          <w:u w:val="single"/>
          <w:lang w:eastAsia="zh-CN"/>
        </w:rPr>
        <w:t>广州市机电技师学院2025年智慧校园管理平台优化服务项目遴选（第二次）</w:t>
      </w:r>
      <w:r>
        <w:rPr>
          <w:rFonts w:hint="eastAsia" w:ascii="宋体" w:hAnsi="宋体" w:cs="Times New Roman"/>
          <w:b/>
          <w:bCs/>
          <w:color w:val="auto"/>
          <w:kern w:val="0"/>
          <w:sz w:val="21"/>
          <w:szCs w:val="21"/>
          <w:highlight w:val="none"/>
          <w:u w:val="single"/>
        </w:rPr>
        <w:t>）</w:t>
      </w:r>
      <w:r>
        <w:rPr>
          <w:rFonts w:hint="eastAsia" w:ascii="宋体" w:hAnsi="宋体" w:cs="Times New Roman"/>
          <w:color w:val="auto"/>
          <w:kern w:val="0"/>
          <w:sz w:val="21"/>
          <w:szCs w:val="21"/>
          <w:highlight w:val="none"/>
        </w:rPr>
        <w:t>遴选活动，</w:t>
      </w:r>
      <w:r>
        <w:rPr>
          <w:rFonts w:hint="eastAsia" w:ascii="宋体" w:hAnsi="宋体" w:cs="Times New Roman"/>
          <w:color w:val="auto"/>
          <w:kern w:val="0"/>
          <w:sz w:val="21"/>
          <w:szCs w:val="21"/>
          <w:highlight w:val="none"/>
          <w:lang w:val="en-US" w:eastAsia="zh-CN"/>
        </w:rPr>
        <w:t>服务</w:t>
      </w:r>
      <w:r>
        <w:rPr>
          <w:rFonts w:hint="eastAsia" w:ascii="宋体" w:hAnsi="宋体" w:cs="Times New Roman"/>
          <w:color w:val="auto"/>
          <w:kern w:val="0"/>
          <w:sz w:val="21"/>
          <w:szCs w:val="21"/>
          <w:highlight w:val="none"/>
        </w:rPr>
        <w:t>单位全部为符合政策要求的中小企业。相关企业的具体情况如下：</w:t>
      </w:r>
    </w:p>
    <w:p w14:paraId="3173A9BC">
      <w:pPr>
        <w:adjustRightInd w:val="0"/>
        <w:snapToGrid w:val="0"/>
        <w:spacing w:line="360" w:lineRule="auto"/>
        <w:ind w:firstLine="373" w:firstLineChars="177"/>
        <w:textAlignment w:val="baseline"/>
        <w:rPr>
          <w:rFonts w:hint="eastAsia" w:ascii="宋体" w:hAnsi="宋体" w:cs="Times New Roman"/>
          <w:color w:val="auto"/>
          <w:kern w:val="0"/>
          <w:sz w:val="21"/>
          <w:szCs w:val="21"/>
          <w:highlight w:val="none"/>
        </w:rPr>
      </w:pPr>
      <w:r>
        <w:rPr>
          <w:rFonts w:hint="eastAsia" w:ascii="宋体" w:hAnsi="宋体" w:cs="Times New Roman"/>
          <w:b/>
          <w:bCs/>
          <w:color w:val="auto"/>
          <w:kern w:val="0"/>
          <w:sz w:val="21"/>
          <w:szCs w:val="21"/>
          <w:highlight w:val="none"/>
          <w:u w:val="single"/>
        </w:rPr>
        <w:t>（</w:t>
      </w:r>
      <w:r>
        <w:rPr>
          <w:rFonts w:hint="eastAsia" w:ascii="宋体" w:hAnsi="宋体" w:eastAsia="宋体" w:cs="宋体"/>
          <w:b/>
          <w:bCs/>
          <w:color w:val="auto"/>
          <w:sz w:val="21"/>
          <w:szCs w:val="21"/>
          <w:highlight w:val="none"/>
          <w:u w:val="single"/>
        </w:rPr>
        <w:t>智慧校园资源管理平台（NVERP系统）模块更新完善</w:t>
      </w:r>
      <w:r>
        <w:rPr>
          <w:rFonts w:hint="eastAsia" w:ascii="宋体" w:hAnsi="宋体" w:cs="Times New Roman"/>
          <w:b/>
          <w:bCs/>
          <w:color w:val="auto"/>
          <w:kern w:val="0"/>
          <w:sz w:val="21"/>
          <w:szCs w:val="21"/>
          <w:highlight w:val="none"/>
          <w:u w:val="single"/>
        </w:rPr>
        <w:t>）</w:t>
      </w:r>
      <w:r>
        <w:rPr>
          <w:rFonts w:hint="eastAsia" w:ascii="宋体" w:hAnsi="宋体" w:cs="Times New Roman"/>
          <w:color w:val="auto"/>
          <w:kern w:val="0"/>
          <w:sz w:val="21"/>
          <w:szCs w:val="21"/>
          <w:highlight w:val="none"/>
        </w:rPr>
        <w:t>，属于</w:t>
      </w:r>
      <w:r>
        <w:rPr>
          <w:rFonts w:hint="eastAsia" w:ascii="宋体" w:hAnsi="宋体" w:cs="Times New Roman"/>
          <w:b/>
          <w:bCs/>
          <w:color w:val="auto"/>
          <w:kern w:val="0"/>
          <w:sz w:val="21"/>
          <w:szCs w:val="21"/>
          <w:highlight w:val="none"/>
          <w:u w:val="single"/>
        </w:rPr>
        <w:t>（</w:t>
      </w:r>
      <w:r>
        <w:rPr>
          <w:rFonts w:hint="eastAsia" w:ascii="宋体" w:hAnsi="宋体" w:cs="Times New Roman"/>
          <w:b/>
          <w:bCs/>
          <w:color w:val="auto"/>
          <w:kern w:val="0"/>
          <w:sz w:val="21"/>
          <w:szCs w:val="21"/>
          <w:highlight w:val="none"/>
          <w:u w:val="single"/>
          <w:lang w:val="en-US" w:eastAsia="zh-CN"/>
        </w:rPr>
        <w:t>软件和信息技术服务业</w:t>
      </w:r>
      <w:r>
        <w:rPr>
          <w:rFonts w:hint="eastAsia" w:ascii="宋体" w:hAnsi="宋体" w:cs="Times New Roman"/>
          <w:b/>
          <w:bCs/>
          <w:color w:val="auto"/>
          <w:kern w:val="0"/>
          <w:sz w:val="21"/>
          <w:szCs w:val="21"/>
          <w:highlight w:val="none"/>
          <w:u w:val="single"/>
        </w:rPr>
        <w:t>）</w:t>
      </w:r>
      <w:r>
        <w:rPr>
          <w:rFonts w:hint="eastAsia" w:ascii="宋体" w:hAnsi="宋体" w:cs="Times New Roman"/>
          <w:color w:val="auto"/>
          <w:kern w:val="0"/>
          <w:sz w:val="21"/>
          <w:szCs w:val="21"/>
          <w:highlight w:val="none"/>
        </w:rPr>
        <w:t>；承建（承接）企业为</w:t>
      </w:r>
      <w:r>
        <w:rPr>
          <w:rFonts w:hint="eastAsia" w:ascii="宋体" w:hAnsi="宋体" w:cs="Times New Roman"/>
          <w:color w:val="auto"/>
          <w:kern w:val="0"/>
          <w:sz w:val="21"/>
          <w:szCs w:val="21"/>
          <w:highlight w:val="none"/>
          <w:u w:val="single"/>
        </w:rPr>
        <w:t>（企业名称）</w:t>
      </w:r>
      <w:r>
        <w:rPr>
          <w:rFonts w:hint="eastAsia" w:ascii="宋体" w:hAnsi="宋体" w:cs="Times New Roman"/>
          <w:color w:val="auto"/>
          <w:kern w:val="0"/>
          <w:sz w:val="21"/>
          <w:szCs w:val="21"/>
          <w:highlight w:val="none"/>
        </w:rPr>
        <w:t>，从业人员</w:t>
      </w:r>
      <w:r>
        <w:rPr>
          <w:rFonts w:hint="eastAsia" w:ascii="宋体" w:hAnsi="宋体" w:cs="Times New Roman"/>
          <w:color w:val="auto"/>
          <w:kern w:val="0"/>
          <w:sz w:val="21"/>
          <w:szCs w:val="21"/>
          <w:highlight w:val="none"/>
          <w:u w:val="single"/>
        </w:rPr>
        <w:t xml:space="preserve">     </w:t>
      </w:r>
      <w:r>
        <w:rPr>
          <w:rFonts w:hint="eastAsia" w:ascii="宋体" w:hAnsi="宋体" w:cs="Times New Roman"/>
          <w:color w:val="auto"/>
          <w:kern w:val="0"/>
          <w:sz w:val="21"/>
          <w:szCs w:val="21"/>
          <w:highlight w:val="none"/>
        </w:rPr>
        <w:t>人，营业收入为</w:t>
      </w:r>
      <w:r>
        <w:rPr>
          <w:rFonts w:hint="eastAsia" w:ascii="宋体" w:hAnsi="宋体" w:cs="Times New Roman"/>
          <w:color w:val="auto"/>
          <w:kern w:val="0"/>
          <w:sz w:val="21"/>
          <w:szCs w:val="21"/>
          <w:highlight w:val="none"/>
          <w:u w:val="single"/>
        </w:rPr>
        <w:t xml:space="preserve">     </w:t>
      </w:r>
      <w:r>
        <w:rPr>
          <w:rFonts w:hint="eastAsia" w:ascii="宋体" w:hAnsi="宋体" w:cs="Times New Roman"/>
          <w:color w:val="auto"/>
          <w:kern w:val="0"/>
          <w:sz w:val="21"/>
          <w:szCs w:val="21"/>
          <w:highlight w:val="none"/>
        </w:rPr>
        <w:t>万元，资产总额为</w:t>
      </w:r>
      <w:r>
        <w:rPr>
          <w:rFonts w:hint="eastAsia" w:ascii="宋体" w:hAnsi="宋体" w:cs="Times New Roman"/>
          <w:color w:val="auto"/>
          <w:kern w:val="0"/>
          <w:sz w:val="21"/>
          <w:szCs w:val="21"/>
          <w:highlight w:val="none"/>
          <w:u w:val="single"/>
        </w:rPr>
        <w:t xml:space="preserve">     </w:t>
      </w:r>
      <w:r>
        <w:rPr>
          <w:rFonts w:hint="eastAsia" w:ascii="宋体" w:hAnsi="宋体" w:cs="Times New Roman"/>
          <w:color w:val="auto"/>
          <w:kern w:val="0"/>
          <w:sz w:val="21"/>
          <w:szCs w:val="21"/>
          <w:highlight w:val="none"/>
        </w:rPr>
        <w:t>万元，属于</w:t>
      </w:r>
      <w:r>
        <w:rPr>
          <w:rFonts w:hint="eastAsia" w:ascii="宋体" w:hAnsi="宋体" w:cs="Times New Roman"/>
          <w:color w:val="auto"/>
          <w:kern w:val="0"/>
          <w:sz w:val="21"/>
          <w:szCs w:val="21"/>
          <w:highlight w:val="none"/>
          <w:u w:val="single"/>
        </w:rPr>
        <w:t>（中型企业、小型企业、微型企业）</w:t>
      </w:r>
      <w:r>
        <w:rPr>
          <w:rFonts w:hint="eastAsia" w:ascii="宋体" w:hAnsi="宋体" w:cs="Times New Roman"/>
          <w:color w:val="auto"/>
          <w:kern w:val="0"/>
          <w:sz w:val="21"/>
          <w:szCs w:val="21"/>
          <w:highlight w:val="none"/>
        </w:rPr>
        <w:t>；</w:t>
      </w:r>
    </w:p>
    <w:p w14:paraId="5A04982A">
      <w:pPr>
        <w:adjustRightInd w:val="0"/>
        <w:snapToGrid w:val="0"/>
        <w:spacing w:line="360" w:lineRule="auto"/>
        <w:ind w:firstLine="371" w:firstLineChars="177"/>
        <w:textAlignment w:val="baseline"/>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w:t>
      </w:r>
    </w:p>
    <w:p w14:paraId="5779147F">
      <w:pPr>
        <w:adjustRightInd w:val="0"/>
        <w:snapToGrid w:val="0"/>
        <w:spacing w:line="360" w:lineRule="auto"/>
        <w:ind w:firstLine="371" w:firstLineChars="177"/>
        <w:textAlignment w:val="baseline"/>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以上企业，不属于大企业的分支机构，不存在控股股东为大企业的情形，也不存在与大企业的负责人为同一人的情形。</w:t>
      </w:r>
    </w:p>
    <w:p w14:paraId="6B758FCA">
      <w:pPr>
        <w:adjustRightInd w:val="0"/>
        <w:snapToGrid w:val="0"/>
        <w:spacing w:line="360" w:lineRule="auto"/>
        <w:ind w:firstLine="371" w:firstLineChars="177"/>
        <w:textAlignment w:val="baseline"/>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本企业对上述声明内容的真实性负责。如有虚假，将依法承担相应责任。</w:t>
      </w:r>
    </w:p>
    <w:p w14:paraId="64BB1A30">
      <w:pPr>
        <w:adjustRightInd w:val="0"/>
        <w:snapToGrid w:val="0"/>
        <w:spacing w:line="360" w:lineRule="auto"/>
        <w:ind w:left="4536" w:leftChars="2160"/>
        <w:textAlignment w:val="baseline"/>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企业名称（盖章）：</w:t>
      </w:r>
    </w:p>
    <w:p w14:paraId="1D61ABFE">
      <w:pPr>
        <w:adjustRightInd w:val="0"/>
        <w:snapToGrid w:val="0"/>
        <w:spacing w:line="360" w:lineRule="auto"/>
        <w:ind w:left="4536" w:leftChars="2160"/>
        <w:textAlignment w:val="baseline"/>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日 期：</w:t>
      </w:r>
    </w:p>
    <w:p w14:paraId="462B7209">
      <w:pPr>
        <w:adjustRightInd w:val="0"/>
        <w:snapToGrid w:val="0"/>
        <w:spacing w:line="360" w:lineRule="auto"/>
        <w:textAlignment w:val="baseline"/>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备注：</w:t>
      </w:r>
    </w:p>
    <w:p w14:paraId="70B33854">
      <w:pPr>
        <w:adjustRightInd w:val="0"/>
        <w:snapToGrid w:val="0"/>
        <w:spacing w:line="360" w:lineRule="auto"/>
        <w:textAlignment w:val="baseline"/>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1、从业人员、营业收入、资产总额填报上一年度数据，无上一年度数据的新成立企业可不填报</w:t>
      </w:r>
    </w:p>
    <w:p w14:paraId="678660E5">
      <w:pPr>
        <w:adjustRightInd w:val="0"/>
        <w:snapToGrid w:val="0"/>
        <w:spacing w:line="360" w:lineRule="auto"/>
        <w:textAlignment w:val="baseline"/>
        <w:rPr>
          <w:rFonts w:hint="eastAsia" w:ascii="宋体" w:hAnsi="宋体" w:cs="Times New Roman"/>
          <w:color w:val="auto"/>
          <w:kern w:val="0"/>
          <w:sz w:val="21"/>
          <w:szCs w:val="21"/>
          <w:highlight w:val="none"/>
        </w:rPr>
      </w:pPr>
      <w:r>
        <w:rPr>
          <w:rFonts w:hint="eastAsia" w:ascii="宋体" w:hAnsi="宋体" w:cs="Times New Roman"/>
          <w:color w:val="auto"/>
          <w:kern w:val="0"/>
          <w:sz w:val="21"/>
          <w:szCs w:val="21"/>
          <w:highlight w:val="none"/>
        </w:rPr>
        <w:t>2、遴选单位、平台服务方将按国家有关规定随候选结果公开候选人的《中小企业声明函》，参选人提供声明函内容不实的，属于提供虚假材料谋取候选资格，依照《中华人民共和国政府采购法》等国家有关规定追究相应责任。</w:t>
      </w:r>
    </w:p>
    <w:p w14:paraId="2CAD0889">
      <w:pPr>
        <w:adjustRightInd w:val="0"/>
        <w:snapToGrid w:val="0"/>
        <w:spacing w:line="360" w:lineRule="auto"/>
        <w:textAlignment w:val="baseline"/>
        <w:rPr>
          <w:rFonts w:hint="eastAsia" w:ascii="宋体" w:hAnsi="宋体" w:cs="Times New Roman"/>
          <w:bCs/>
          <w:color w:val="auto"/>
          <w:spacing w:val="6"/>
          <w:kern w:val="0"/>
          <w:sz w:val="21"/>
          <w:szCs w:val="21"/>
          <w:highlight w:val="none"/>
        </w:rPr>
      </w:pPr>
      <w:r>
        <w:rPr>
          <w:rFonts w:hint="eastAsia" w:ascii="宋体" w:hAnsi="宋体" w:cs="Times New Roman"/>
          <w:bCs/>
          <w:color w:val="auto"/>
          <w:spacing w:val="6"/>
          <w:kern w:val="0"/>
          <w:sz w:val="21"/>
          <w:szCs w:val="21"/>
          <w:highlight w:val="none"/>
        </w:rPr>
        <w:t>3、参选人应当根据遴选文件中明确的标的所属行业，作为填写本声明函相应标的所属行业及判断承建（承接）企业是否属于中小企业的依据。</w:t>
      </w:r>
    </w:p>
    <w:p w14:paraId="482F090B">
      <w:pPr>
        <w:spacing w:line="360" w:lineRule="auto"/>
        <w:rPr>
          <w:rFonts w:hint="eastAsia" w:ascii="宋体" w:hAnsi="宋体"/>
          <w:color w:val="auto"/>
          <w:sz w:val="21"/>
          <w:szCs w:val="21"/>
          <w:highlight w:val="none"/>
        </w:rPr>
      </w:pPr>
      <w:r>
        <w:rPr>
          <w:rFonts w:hint="eastAsia" w:ascii="宋体" w:hAnsi="宋体" w:cs="Times New Roman"/>
          <w:color w:val="auto"/>
          <w:kern w:val="0"/>
          <w:sz w:val="21"/>
          <w:szCs w:val="21"/>
          <w:highlight w:val="none"/>
        </w:rPr>
        <w:t>4、参选人可根据《关于印发中小企业划型标准规定的通知》（工信部联企业〔2011〕300号）判断承建（承接）企业属于大型、中型、小型还是微型企业。</w:t>
      </w:r>
    </w:p>
    <w:p w14:paraId="30E7192A">
      <w:pPr>
        <w:pStyle w:val="3"/>
        <w:spacing w:before="0" w:after="0"/>
        <w:jc w:val="center"/>
        <w:rPr>
          <w:rFonts w:hint="eastAsia" w:ascii="宋体" w:hAnsi="宋体" w:eastAsia="宋体"/>
          <w:b w:val="0"/>
          <w:bCs w:val="0"/>
          <w:color w:val="auto"/>
          <w:highlight w:val="none"/>
        </w:rPr>
      </w:pPr>
      <w:r>
        <w:rPr>
          <w:rFonts w:hint="eastAsia" w:ascii="宋体" w:hAnsi="宋体" w:eastAsia="宋体"/>
          <w:b w:val="0"/>
          <w:bCs w:val="0"/>
          <w:color w:val="auto"/>
          <w:sz w:val="21"/>
          <w:szCs w:val="21"/>
          <w:highlight w:val="none"/>
        </w:rPr>
        <w:br w:type="page"/>
      </w:r>
      <w:r>
        <w:rPr>
          <w:rFonts w:hint="eastAsia" w:ascii="宋体" w:hAnsi="宋体" w:eastAsia="宋体"/>
          <w:b w:val="0"/>
          <w:bCs w:val="0"/>
          <w:color w:val="auto"/>
          <w:highlight w:val="none"/>
        </w:rPr>
        <w:t>残疾人福利性单位声明函（如有）</w:t>
      </w:r>
    </w:p>
    <w:p w14:paraId="64FA82B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14D870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3B96013F">
      <w:pPr>
        <w:spacing w:line="360" w:lineRule="auto"/>
        <w:ind w:firstLine="422" w:firstLineChars="200"/>
        <w:jc w:val="center"/>
        <w:rPr>
          <w:rFonts w:hint="eastAsia" w:ascii="宋体" w:hAnsi="宋体"/>
          <w:b/>
          <w:bCs/>
          <w:color w:val="auto"/>
          <w:szCs w:val="21"/>
          <w:highlight w:val="none"/>
        </w:rPr>
      </w:pPr>
      <w:r>
        <w:rPr>
          <w:rFonts w:hint="eastAsia" w:ascii="宋体" w:hAnsi="宋体"/>
          <w:b/>
          <w:bCs/>
          <w:color w:val="auto"/>
          <w:szCs w:val="21"/>
          <w:highlight w:val="none"/>
        </w:rPr>
        <w:t>参选人名称（单位盖公章）：</w:t>
      </w:r>
      <w:r>
        <w:rPr>
          <w:rFonts w:hint="eastAsia" w:ascii="宋体" w:hAnsi="宋体"/>
          <w:b/>
          <w:bCs/>
          <w:color w:val="auto"/>
          <w:szCs w:val="21"/>
          <w:highlight w:val="none"/>
          <w:u w:val="single"/>
        </w:rPr>
        <w:t xml:space="preserve">                </w:t>
      </w:r>
    </w:p>
    <w:p w14:paraId="098E6ED1">
      <w:pPr>
        <w:spacing w:line="360" w:lineRule="auto"/>
        <w:ind w:firstLine="422" w:firstLineChars="200"/>
        <w:jc w:val="center"/>
        <w:rPr>
          <w:rFonts w:hint="eastAsia" w:ascii="宋体" w:hAnsi="宋体"/>
          <w:b/>
          <w:bCs/>
          <w:color w:val="auto"/>
          <w:szCs w:val="21"/>
          <w:highlight w:val="none"/>
        </w:rPr>
      </w:pPr>
      <w:r>
        <w:rPr>
          <w:rFonts w:hint="eastAsia" w:ascii="宋体" w:hAnsi="宋体"/>
          <w:b/>
          <w:bCs/>
          <w:color w:val="auto"/>
          <w:szCs w:val="21"/>
          <w:highlight w:val="none"/>
        </w:rPr>
        <w:t>日  期：</w:t>
      </w:r>
      <w:r>
        <w:rPr>
          <w:rFonts w:hint="eastAsia" w:ascii="宋体" w:hAnsi="宋体"/>
          <w:b/>
          <w:bCs/>
          <w:color w:val="auto"/>
          <w:szCs w:val="21"/>
          <w:highlight w:val="none"/>
          <w:u w:val="single"/>
        </w:rPr>
        <w:t xml:space="preserve">                </w:t>
      </w:r>
    </w:p>
    <w:p w14:paraId="45CBC7C7">
      <w:pPr>
        <w:widowControl/>
        <w:jc w:val="left"/>
        <w:rPr>
          <w:rFonts w:hint="eastAsia" w:ascii="宋体" w:hAnsi="宋体"/>
          <w:color w:val="auto"/>
          <w:szCs w:val="21"/>
          <w:highlight w:val="none"/>
        </w:rPr>
      </w:pPr>
    </w:p>
    <w:p w14:paraId="0A82E863">
      <w:pPr>
        <w:widowControl/>
        <w:jc w:val="left"/>
        <w:rPr>
          <w:rFonts w:hint="eastAsia" w:ascii="宋体" w:hAnsi="宋体"/>
          <w:color w:val="auto"/>
          <w:szCs w:val="21"/>
          <w:highlight w:val="none"/>
        </w:rPr>
      </w:pPr>
    </w:p>
    <w:p w14:paraId="72185B27">
      <w:pPr>
        <w:widowControl/>
        <w:jc w:val="left"/>
        <w:rPr>
          <w:rFonts w:hint="eastAsia" w:ascii="宋体" w:hAnsi="宋体"/>
          <w:color w:val="auto"/>
          <w:szCs w:val="21"/>
          <w:highlight w:val="none"/>
        </w:rPr>
      </w:pPr>
    </w:p>
    <w:p w14:paraId="389C004F">
      <w:pPr>
        <w:widowControl/>
        <w:jc w:val="left"/>
        <w:rPr>
          <w:rFonts w:hint="eastAsia" w:ascii="宋体" w:hAnsi="宋体"/>
          <w:color w:val="auto"/>
          <w:sz w:val="32"/>
          <w:szCs w:val="32"/>
          <w:highlight w:val="none"/>
        </w:rPr>
      </w:pPr>
    </w:p>
    <w:p w14:paraId="75E0D8ED">
      <w:pPr>
        <w:tabs>
          <w:tab w:val="left" w:pos="426"/>
        </w:tabs>
        <w:autoSpaceDE w:val="0"/>
        <w:autoSpaceDN w:val="0"/>
        <w:spacing w:line="360" w:lineRule="auto"/>
        <w:jc w:val="center"/>
        <w:outlineLvl w:val="1"/>
        <w:rPr>
          <w:rFonts w:hint="eastAsia" w:ascii="宋体" w:hAnsi="宋体"/>
          <w:color w:val="auto"/>
          <w:sz w:val="32"/>
          <w:szCs w:val="32"/>
          <w:highlight w:val="none"/>
        </w:rPr>
      </w:pPr>
      <w:r>
        <w:rPr>
          <w:rFonts w:hint="eastAsia" w:ascii="宋体" w:hAnsi="宋体"/>
          <w:color w:val="auto"/>
          <w:sz w:val="32"/>
          <w:szCs w:val="32"/>
          <w:highlight w:val="none"/>
        </w:rPr>
        <w:t>监狱企业的证明文件（如有）</w:t>
      </w:r>
    </w:p>
    <w:p w14:paraId="13B43E0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说明：监狱企业参加政府采购活动时，应当提供由</w:t>
      </w:r>
      <w:r>
        <w:rPr>
          <w:rFonts w:hint="eastAsia" w:ascii="宋体" w:hAnsi="宋体"/>
          <w:b/>
          <w:color w:val="auto"/>
          <w:szCs w:val="21"/>
          <w:highlight w:val="none"/>
        </w:rPr>
        <w:t>省级以上监狱管理局、戒毒管理局（含新疆生产建设兵团）出具的属于监狱企业的证明文件，</w:t>
      </w:r>
      <w:r>
        <w:rPr>
          <w:rFonts w:hint="eastAsia" w:ascii="宋体" w:hAnsi="宋体"/>
          <w:color w:val="auto"/>
          <w:szCs w:val="21"/>
          <w:highlight w:val="none"/>
        </w:rPr>
        <w:t>并加盖参选人公章。</w:t>
      </w:r>
    </w:p>
    <w:p w14:paraId="551AC6FC">
      <w:pPr>
        <w:spacing w:line="360" w:lineRule="auto"/>
        <w:rPr>
          <w:rFonts w:hint="eastAsia" w:ascii="宋体" w:hAnsi="宋体"/>
          <w:color w:val="auto"/>
          <w:szCs w:val="21"/>
          <w:highlight w:val="none"/>
        </w:rPr>
      </w:pPr>
    </w:p>
    <w:p w14:paraId="6F86ACC2">
      <w:pPr>
        <w:rPr>
          <w:rFonts w:hint="eastAsia" w:ascii="宋体" w:hAnsi="宋体"/>
          <w:color w:val="auto"/>
          <w:highlight w:val="none"/>
        </w:rPr>
      </w:pPr>
    </w:p>
    <w:p w14:paraId="52320431">
      <w:pPr>
        <w:rPr>
          <w:rFonts w:hint="eastAsia" w:ascii="宋体" w:hAnsi="宋体"/>
          <w:color w:val="auto"/>
          <w:highlight w:val="none"/>
        </w:rPr>
      </w:pPr>
    </w:p>
    <w:p w14:paraId="3D74385C">
      <w:pPr>
        <w:rPr>
          <w:rFonts w:hint="eastAsia" w:ascii="宋体" w:hAnsi="宋体"/>
          <w:color w:val="auto"/>
          <w:highlight w:val="none"/>
        </w:rPr>
      </w:pPr>
    </w:p>
    <w:p w14:paraId="7A458D33">
      <w:pPr>
        <w:rPr>
          <w:rFonts w:hint="eastAsia" w:ascii="宋体" w:hAnsi="宋体"/>
          <w:color w:val="auto"/>
          <w:highlight w:val="none"/>
        </w:rPr>
      </w:pPr>
    </w:p>
    <w:p w14:paraId="1A38E8CF">
      <w:pPr>
        <w:rPr>
          <w:rFonts w:hint="eastAsia" w:ascii="宋体" w:hAnsi="宋体"/>
          <w:color w:val="auto"/>
          <w:highlight w:val="none"/>
        </w:rPr>
      </w:pPr>
    </w:p>
    <w:p w14:paraId="20A87F67">
      <w:pPr>
        <w:rPr>
          <w:rFonts w:hint="eastAsia" w:ascii="宋体" w:hAnsi="宋体"/>
          <w:color w:val="auto"/>
          <w:highlight w:val="none"/>
        </w:rPr>
      </w:pPr>
    </w:p>
    <w:p w14:paraId="11E5566B">
      <w:pPr>
        <w:rPr>
          <w:rFonts w:hint="eastAsia" w:ascii="宋体" w:hAnsi="宋体"/>
          <w:color w:val="auto"/>
          <w:highlight w:val="none"/>
        </w:rPr>
      </w:pPr>
    </w:p>
    <w:p w14:paraId="6F7158FC">
      <w:pPr>
        <w:rPr>
          <w:rFonts w:hint="eastAsia" w:ascii="宋体" w:hAnsi="宋体"/>
          <w:color w:val="auto"/>
          <w:highlight w:val="none"/>
        </w:rPr>
      </w:pPr>
    </w:p>
    <w:p w14:paraId="17DC3E2B">
      <w:pPr>
        <w:rPr>
          <w:rFonts w:hint="eastAsia" w:ascii="宋体" w:hAnsi="宋体"/>
          <w:color w:val="auto"/>
          <w:highlight w:val="none"/>
        </w:rPr>
      </w:pPr>
    </w:p>
    <w:p w14:paraId="0026D591">
      <w:pPr>
        <w:rPr>
          <w:rFonts w:hint="eastAsia" w:ascii="宋体" w:hAnsi="宋体"/>
          <w:color w:val="auto"/>
          <w:highlight w:val="none"/>
        </w:rPr>
      </w:pPr>
    </w:p>
    <w:p w14:paraId="20CBC8D0">
      <w:pPr>
        <w:rPr>
          <w:rFonts w:hint="eastAsia" w:ascii="宋体" w:hAnsi="宋体"/>
          <w:color w:val="auto"/>
          <w:highlight w:val="none"/>
        </w:rPr>
      </w:pPr>
    </w:p>
    <w:p w14:paraId="29911DF9">
      <w:pPr>
        <w:rPr>
          <w:rFonts w:hint="eastAsia" w:ascii="宋体" w:hAnsi="宋体"/>
          <w:color w:val="auto"/>
          <w:highlight w:val="none"/>
        </w:rPr>
      </w:pPr>
    </w:p>
    <w:p w14:paraId="1575185B">
      <w:pPr>
        <w:widowControl/>
        <w:jc w:val="left"/>
        <w:rPr>
          <w:rFonts w:hint="eastAsia" w:ascii="宋体" w:hAnsi="宋体"/>
          <w:color w:val="auto"/>
          <w:highlight w:val="none"/>
        </w:rPr>
      </w:pPr>
      <w:r>
        <w:rPr>
          <w:rFonts w:hint="eastAsia" w:ascii="宋体" w:hAnsi="宋体"/>
          <w:color w:val="auto"/>
          <w:highlight w:val="none"/>
        </w:rPr>
        <w:br w:type="page"/>
      </w:r>
    </w:p>
    <w:p w14:paraId="41EA3079">
      <w:pPr>
        <w:pStyle w:val="120"/>
        <w:shd w:val="clear" w:color="auto" w:fill="153B65"/>
        <w:jc w:val="center"/>
        <w:rPr>
          <w:rFonts w:hint="eastAsia"/>
          <w:b/>
          <w:bCs/>
          <w:color w:val="auto"/>
          <w:highlight w:val="none"/>
        </w:rPr>
      </w:pPr>
      <w:r>
        <w:rPr>
          <w:rFonts w:hint="eastAsia"/>
          <w:b/>
          <w:bCs/>
          <w:color w:val="auto"/>
          <w:highlight w:val="none"/>
        </w:rPr>
        <w:t>关于印发中小企业划型标准规定的通知</w:t>
      </w:r>
    </w:p>
    <w:p w14:paraId="794773DD">
      <w:pPr>
        <w:pStyle w:val="121"/>
        <w:pBdr>
          <w:bottom w:val="dashed" w:color="CCCCCC" w:sz="6" w:space="4"/>
        </w:pBdr>
        <w:shd w:val="clear" w:color="auto" w:fill="153B65"/>
        <w:jc w:val="center"/>
        <w:rPr>
          <w:rFonts w:hint="eastAsia"/>
          <w:color w:val="auto"/>
          <w:highlight w:val="none"/>
        </w:rPr>
      </w:pPr>
      <w:r>
        <w:rPr>
          <w:rFonts w:hint="eastAsia"/>
          <w:color w:val="auto"/>
          <w:highlight w:val="none"/>
        </w:rPr>
        <w:t>工信部联企业〔2011〕300号</w:t>
      </w:r>
    </w:p>
    <w:p w14:paraId="075DB4D4">
      <w:pPr>
        <w:pStyle w:val="121"/>
        <w:shd w:val="clear" w:color="auto" w:fill="153B65"/>
        <w:ind w:firstLine="480"/>
        <w:rPr>
          <w:rFonts w:hint="eastAsia"/>
          <w:color w:val="auto"/>
          <w:highlight w:val="none"/>
        </w:rPr>
      </w:pPr>
      <w:r>
        <w:rPr>
          <w:rFonts w:hint="eastAsia"/>
          <w:color w:val="auto"/>
          <w:highlight w:val="none"/>
        </w:rPr>
        <w:t>各省、自治区、直辖市人民政府，国务院各部委、各直属机构及有关单位：</w:t>
      </w:r>
    </w:p>
    <w:p w14:paraId="0F9D249B">
      <w:pPr>
        <w:pStyle w:val="121"/>
        <w:shd w:val="clear" w:color="auto" w:fill="153B65"/>
        <w:ind w:firstLine="480"/>
        <w:rPr>
          <w:rFonts w:hint="eastAsia"/>
          <w:color w:val="auto"/>
          <w:highlight w:val="none"/>
        </w:rPr>
      </w:pPr>
      <w:r>
        <w:rPr>
          <w:rFonts w:hint="eastAsia"/>
          <w:color w:val="auto"/>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D7B7F05">
      <w:pPr>
        <w:pStyle w:val="121"/>
        <w:shd w:val="clear" w:color="auto" w:fill="153B65"/>
        <w:ind w:firstLine="480"/>
        <w:rPr>
          <w:rFonts w:hint="eastAsia"/>
          <w:color w:val="auto"/>
          <w:highlight w:val="none"/>
        </w:rPr>
      </w:pPr>
      <w:r>
        <w:rPr>
          <w:rFonts w:hint="eastAsia"/>
          <w:color w:val="auto"/>
          <w:highlight w:val="none"/>
        </w:rPr>
        <w:t>各省、自治区、直辖市人民政府，国务院各部委、各直属机构及有关单位：</w:t>
      </w:r>
    </w:p>
    <w:p w14:paraId="2796D958">
      <w:pPr>
        <w:pStyle w:val="121"/>
        <w:shd w:val="clear" w:color="auto" w:fill="153B65"/>
        <w:ind w:firstLine="480"/>
        <w:rPr>
          <w:rFonts w:hint="eastAsia"/>
          <w:color w:val="auto"/>
          <w:highlight w:val="none"/>
        </w:rPr>
      </w:pPr>
      <w:r>
        <w:rPr>
          <w:rFonts w:hint="eastAsia"/>
          <w:color w:val="auto"/>
          <w:highlight w:val="none"/>
        </w:rPr>
        <w:t>一、根据《中华人民共和国中小企业促进法》和《国务院关于进一步促进中小企业发展的若干意见》(国发[2009]36号)，制定本规定。</w:t>
      </w:r>
    </w:p>
    <w:p w14:paraId="32658931">
      <w:pPr>
        <w:pStyle w:val="121"/>
        <w:shd w:val="clear" w:color="auto" w:fill="153B65"/>
        <w:ind w:firstLine="480"/>
        <w:rPr>
          <w:rFonts w:hint="eastAsia"/>
          <w:color w:val="auto"/>
          <w:highlight w:val="none"/>
        </w:rPr>
      </w:pPr>
      <w:r>
        <w:rPr>
          <w:rFonts w:hint="eastAsia"/>
          <w:color w:val="auto"/>
          <w:highlight w:val="none"/>
        </w:rPr>
        <w:t>二、中小企业划分为中型、小型、微型三种类型，具体标准根据企业从业人员、营业收入、资产总额等指标，结合行业特点制定。</w:t>
      </w:r>
    </w:p>
    <w:p w14:paraId="5E75FCCA">
      <w:pPr>
        <w:pStyle w:val="121"/>
        <w:shd w:val="clear" w:color="auto" w:fill="153B65"/>
        <w:ind w:firstLine="480"/>
        <w:rPr>
          <w:rFonts w:hint="eastAsia"/>
          <w:color w:val="auto"/>
          <w:highlight w:val="none"/>
        </w:rPr>
      </w:pPr>
      <w:r>
        <w:rPr>
          <w:rFonts w:hint="eastAsia"/>
          <w:color w:val="auto"/>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73B4B4A">
      <w:pPr>
        <w:pStyle w:val="121"/>
        <w:shd w:val="clear" w:color="auto" w:fill="153B65"/>
        <w:ind w:firstLine="480"/>
        <w:rPr>
          <w:rFonts w:hint="eastAsia"/>
          <w:color w:val="auto"/>
          <w:highlight w:val="none"/>
        </w:rPr>
      </w:pPr>
      <w:r>
        <w:rPr>
          <w:rFonts w:hint="eastAsia"/>
          <w:color w:val="auto"/>
          <w:highlight w:val="none"/>
        </w:rPr>
        <w:t xml:space="preserve"> 四、各行业划型标准为：</w:t>
      </w:r>
    </w:p>
    <w:p w14:paraId="6ED61528">
      <w:pPr>
        <w:pStyle w:val="121"/>
        <w:shd w:val="clear" w:color="auto" w:fill="153B65"/>
        <w:ind w:firstLine="480"/>
        <w:rPr>
          <w:rFonts w:hint="eastAsia"/>
          <w:color w:val="auto"/>
          <w:highlight w:val="none"/>
        </w:rPr>
      </w:pPr>
      <w:r>
        <w:rPr>
          <w:rFonts w:hint="eastAsia"/>
          <w:color w:val="auto"/>
          <w:highlight w:val="none"/>
        </w:rPr>
        <w:t>（一）农、林、牧、渔业。营业收入20000万元以下的为中小微型企业。其中，营业收入500万元及以上的为中型企业，营业收入50万元及以上的为小型企业，营业收入50万元以下的为微型企业。</w:t>
      </w:r>
    </w:p>
    <w:p w14:paraId="51C91D26">
      <w:pPr>
        <w:pStyle w:val="121"/>
        <w:shd w:val="clear" w:color="auto" w:fill="153B65"/>
        <w:ind w:firstLine="480"/>
        <w:rPr>
          <w:rFonts w:hint="eastAsia"/>
          <w:color w:val="auto"/>
          <w:highlight w:val="none"/>
        </w:rPr>
      </w:pPr>
      <w:r>
        <w:rPr>
          <w:rFonts w:hint="eastAsia"/>
          <w:color w:val="auto"/>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E18EFA8">
      <w:pPr>
        <w:pStyle w:val="121"/>
        <w:shd w:val="clear" w:color="auto" w:fill="153B65"/>
        <w:ind w:firstLine="480"/>
        <w:rPr>
          <w:rFonts w:hint="eastAsia"/>
          <w:color w:val="auto"/>
          <w:highlight w:val="none"/>
        </w:rPr>
      </w:pPr>
      <w:r>
        <w:rPr>
          <w:rFonts w:hint="eastAsia"/>
          <w:color w:val="auto"/>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286DA7">
      <w:pPr>
        <w:pStyle w:val="121"/>
        <w:shd w:val="clear" w:color="auto" w:fill="153B65"/>
        <w:ind w:firstLine="480"/>
        <w:rPr>
          <w:rFonts w:hint="eastAsia"/>
          <w:color w:val="auto"/>
          <w:highlight w:val="none"/>
        </w:rPr>
      </w:pPr>
      <w:r>
        <w:rPr>
          <w:rFonts w:hint="eastAsia"/>
          <w:color w:val="auto"/>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207C123">
      <w:pPr>
        <w:pStyle w:val="121"/>
        <w:shd w:val="clear" w:color="auto" w:fill="153B65"/>
        <w:ind w:firstLine="480"/>
        <w:rPr>
          <w:rFonts w:hint="eastAsia"/>
          <w:color w:val="auto"/>
          <w:highlight w:val="none"/>
        </w:rPr>
      </w:pPr>
      <w:r>
        <w:rPr>
          <w:rFonts w:hint="eastAsia"/>
          <w:color w:val="auto"/>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B23D041">
      <w:pPr>
        <w:pStyle w:val="121"/>
        <w:shd w:val="clear" w:color="auto" w:fill="153B65"/>
        <w:ind w:firstLine="480"/>
        <w:rPr>
          <w:rFonts w:hint="eastAsia"/>
          <w:color w:val="auto"/>
          <w:highlight w:val="none"/>
        </w:rPr>
      </w:pPr>
      <w:r>
        <w:rPr>
          <w:rFonts w:hint="eastAsia"/>
          <w:color w:val="auto"/>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57E6584">
      <w:pPr>
        <w:pStyle w:val="121"/>
        <w:shd w:val="clear" w:color="auto" w:fill="153B65"/>
        <w:ind w:firstLine="480"/>
        <w:rPr>
          <w:rFonts w:hint="eastAsia"/>
          <w:color w:val="auto"/>
          <w:highlight w:val="none"/>
        </w:rPr>
      </w:pPr>
      <w:r>
        <w:rPr>
          <w:rFonts w:hint="eastAsia"/>
          <w:color w:val="auto"/>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E38637C">
      <w:pPr>
        <w:pStyle w:val="121"/>
        <w:shd w:val="clear" w:color="auto" w:fill="153B65"/>
        <w:ind w:firstLine="480"/>
        <w:rPr>
          <w:rFonts w:hint="eastAsia"/>
          <w:color w:val="auto"/>
          <w:highlight w:val="none"/>
        </w:rPr>
      </w:pPr>
      <w:r>
        <w:rPr>
          <w:rFonts w:hint="eastAsia"/>
          <w:color w:val="auto"/>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9B8B3AC">
      <w:pPr>
        <w:pStyle w:val="121"/>
        <w:shd w:val="clear" w:color="auto" w:fill="153B65"/>
        <w:ind w:firstLine="480"/>
        <w:rPr>
          <w:rFonts w:hint="eastAsia"/>
          <w:color w:val="auto"/>
          <w:highlight w:val="none"/>
        </w:rPr>
      </w:pPr>
      <w:r>
        <w:rPr>
          <w:rFonts w:hint="eastAsia"/>
          <w:color w:val="auto"/>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D8CF721">
      <w:pPr>
        <w:pStyle w:val="121"/>
        <w:shd w:val="clear" w:color="auto" w:fill="153B65"/>
        <w:ind w:firstLine="480"/>
        <w:rPr>
          <w:rFonts w:hint="eastAsia"/>
          <w:color w:val="auto"/>
          <w:highlight w:val="none"/>
        </w:rPr>
      </w:pPr>
      <w:r>
        <w:rPr>
          <w:rFonts w:hint="eastAsia"/>
          <w:color w:val="auto"/>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F61E00B">
      <w:pPr>
        <w:pStyle w:val="121"/>
        <w:shd w:val="clear" w:color="auto" w:fill="153B65"/>
        <w:ind w:firstLine="480"/>
        <w:rPr>
          <w:rFonts w:hint="eastAsia"/>
          <w:color w:val="auto"/>
          <w:highlight w:val="none"/>
        </w:rPr>
      </w:pPr>
      <w:r>
        <w:rPr>
          <w:rFonts w:hint="eastAsia"/>
          <w:color w:val="auto"/>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D638255">
      <w:pPr>
        <w:pStyle w:val="121"/>
        <w:shd w:val="clear" w:color="auto" w:fill="153B65"/>
        <w:ind w:firstLine="480"/>
        <w:rPr>
          <w:rFonts w:hint="eastAsia"/>
          <w:color w:val="auto"/>
          <w:highlight w:val="none"/>
        </w:rPr>
      </w:pPr>
      <w:r>
        <w:rPr>
          <w:rFonts w:hint="eastAsia"/>
          <w:color w:val="auto"/>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3E6EA6C">
      <w:pPr>
        <w:pStyle w:val="121"/>
        <w:shd w:val="clear" w:color="auto" w:fill="153B65"/>
        <w:ind w:firstLine="480"/>
        <w:rPr>
          <w:rFonts w:hint="eastAsia"/>
          <w:color w:val="auto"/>
          <w:highlight w:val="none"/>
        </w:rPr>
      </w:pPr>
      <w:r>
        <w:rPr>
          <w:rFonts w:hint="eastAsia"/>
          <w:color w:val="auto"/>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0465337">
      <w:pPr>
        <w:pStyle w:val="121"/>
        <w:shd w:val="clear" w:color="auto" w:fill="153B65"/>
        <w:ind w:firstLine="480"/>
        <w:rPr>
          <w:rFonts w:hint="eastAsia"/>
          <w:color w:val="auto"/>
          <w:highlight w:val="none"/>
        </w:rPr>
      </w:pPr>
      <w:r>
        <w:rPr>
          <w:rFonts w:hint="eastAsia"/>
          <w:color w:val="auto"/>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451D11A">
      <w:pPr>
        <w:pStyle w:val="121"/>
        <w:shd w:val="clear" w:color="auto" w:fill="153B65"/>
        <w:ind w:firstLine="480"/>
        <w:rPr>
          <w:rFonts w:hint="eastAsia"/>
          <w:color w:val="auto"/>
          <w:highlight w:val="none"/>
        </w:rPr>
      </w:pPr>
      <w:r>
        <w:rPr>
          <w:rFonts w:hint="eastAsia"/>
          <w:color w:val="auto"/>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AEFBD1E">
      <w:pPr>
        <w:pStyle w:val="121"/>
        <w:shd w:val="clear" w:color="auto" w:fill="153B65"/>
        <w:ind w:firstLine="480"/>
        <w:rPr>
          <w:rFonts w:hint="eastAsia"/>
          <w:color w:val="auto"/>
          <w:highlight w:val="none"/>
        </w:rPr>
      </w:pPr>
      <w:r>
        <w:rPr>
          <w:rFonts w:hint="eastAsia"/>
          <w:color w:val="auto"/>
          <w:highlight w:val="none"/>
        </w:rPr>
        <w:t>（十六）其他未列明行业。从业人员300人以下的为中小微型企业。其中，从业人员100人及以上的为中型企业；从业人员10人及以上的为小型企业；从业人员10人以下的为微型企业。</w:t>
      </w:r>
    </w:p>
    <w:p w14:paraId="1ADA7678">
      <w:pPr>
        <w:pStyle w:val="121"/>
        <w:shd w:val="clear" w:color="auto" w:fill="153B65"/>
        <w:ind w:firstLine="480"/>
        <w:rPr>
          <w:rFonts w:hint="eastAsia"/>
          <w:color w:val="auto"/>
          <w:highlight w:val="none"/>
        </w:rPr>
      </w:pPr>
      <w:r>
        <w:rPr>
          <w:rFonts w:hint="eastAsia"/>
          <w:color w:val="auto"/>
          <w:highlight w:val="none"/>
        </w:rPr>
        <w:t>五、企业类型的划分以统计部门的统计数据为依据。</w:t>
      </w:r>
    </w:p>
    <w:p w14:paraId="25C3F3E1">
      <w:pPr>
        <w:pStyle w:val="121"/>
        <w:shd w:val="clear" w:color="auto" w:fill="153B65"/>
        <w:ind w:firstLine="480"/>
        <w:rPr>
          <w:rFonts w:hint="eastAsia"/>
          <w:color w:val="auto"/>
          <w:highlight w:val="none"/>
        </w:rPr>
      </w:pPr>
      <w:r>
        <w:rPr>
          <w:rFonts w:hint="eastAsia"/>
          <w:color w:val="auto"/>
          <w:highlight w:val="none"/>
        </w:rPr>
        <w:t>六、本规定适用于在中华人民共和国境内依法设立的各类所有制和各种组织形式的企业。个体工商户和本规定以外的行业，参照本规定进行划型。</w:t>
      </w:r>
    </w:p>
    <w:p w14:paraId="481A7010">
      <w:pPr>
        <w:pStyle w:val="121"/>
        <w:shd w:val="clear" w:color="auto" w:fill="153B65"/>
        <w:ind w:firstLine="480"/>
        <w:rPr>
          <w:rFonts w:hint="eastAsia"/>
          <w:color w:val="auto"/>
          <w:highlight w:val="none"/>
        </w:rPr>
      </w:pPr>
      <w:r>
        <w:rPr>
          <w:rFonts w:hint="eastAsia"/>
          <w:color w:val="auto"/>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012E217">
      <w:pPr>
        <w:pStyle w:val="121"/>
        <w:shd w:val="clear" w:color="auto" w:fill="153B65"/>
        <w:ind w:firstLine="480"/>
        <w:rPr>
          <w:rFonts w:hint="eastAsia"/>
          <w:color w:val="auto"/>
          <w:highlight w:val="none"/>
        </w:rPr>
      </w:pPr>
      <w:r>
        <w:rPr>
          <w:rFonts w:hint="eastAsia"/>
          <w:color w:val="auto"/>
          <w:highlight w:val="none"/>
        </w:rPr>
        <w:t>八、本规定由工业和信息化部、国家统计局会同有关部门根据《国民经济行业分类》修订情况和企业发展变化情况适时修订。</w:t>
      </w:r>
    </w:p>
    <w:p w14:paraId="259FC0A0">
      <w:pPr>
        <w:pStyle w:val="121"/>
        <w:shd w:val="clear" w:color="auto" w:fill="153B65"/>
        <w:ind w:firstLine="480"/>
        <w:rPr>
          <w:rFonts w:hint="eastAsia"/>
          <w:color w:val="auto"/>
          <w:highlight w:val="none"/>
        </w:rPr>
      </w:pPr>
      <w:r>
        <w:rPr>
          <w:rFonts w:hint="eastAsia"/>
          <w:color w:val="auto"/>
          <w:highlight w:val="none"/>
        </w:rPr>
        <w:t>九、本规定由工业和信息化部、国家统计局会同有关部门负责解释。</w:t>
      </w:r>
    </w:p>
    <w:p w14:paraId="7F7FA626">
      <w:pPr>
        <w:pStyle w:val="121"/>
        <w:shd w:val="clear" w:color="auto" w:fill="153B65"/>
        <w:ind w:firstLine="480"/>
        <w:rPr>
          <w:rFonts w:hint="eastAsia"/>
          <w:color w:val="auto"/>
          <w:highlight w:val="none"/>
        </w:rPr>
      </w:pPr>
      <w:r>
        <w:rPr>
          <w:rFonts w:hint="eastAsia"/>
          <w:color w:val="auto"/>
          <w:highlight w:val="none"/>
        </w:rPr>
        <w:t>十、本规定自发布之日起执行，原国家经贸委、原国家计委、财政部和国家统计局2003年颁布的《中小企业标准暂行规定》同时废止。</w:t>
      </w:r>
    </w:p>
    <w:p w14:paraId="1B4BE4F7">
      <w:pPr>
        <w:rPr>
          <w:rFonts w:hint="eastAsia" w:ascii="宋体" w:hAnsi="宋体"/>
          <w:color w:val="auto"/>
          <w:highlight w:val="none"/>
        </w:rPr>
      </w:pPr>
      <w:r>
        <w:rPr>
          <w:rFonts w:hint="eastAsia" w:ascii="宋体" w:hAnsi="宋体"/>
          <w:color w:val="auto"/>
          <w:highlight w:val="none"/>
        </w:rPr>
        <w:br w:type="page"/>
      </w:r>
    </w:p>
    <w:p w14:paraId="452B7660">
      <w:pPr>
        <w:autoSpaceDE/>
        <w:autoSpaceDN/>
        <w:adjustRightInd/>
        <w:spacing w:line="440" w:lineRule="exact"/>
        <w:jc w:val="center"/>
        <w:outlineLvl w:val="1"/>
        <w:rPr>
          <w:rFonts w:hint="eastAsia" w:ascii="宋体" w:hAnsi="宋体" w:cs="宋体"/>
          <w:b/>
          <w:color w:val="auto"/>
          <w:sz w:val="36"/>
          <w:szCs w:val="36"/>
          <w:highlight w:val="none"/>
        </w:rPr>
      </w:pPr>
      <w:bookmarkStart w:id="58" w:name="_Toc416771382"/>
      <w:bookmarkStart w:id="59" w:name="_Toc50737301"/>
      <w:bookmarkStart w:id="60" w:name="_Toc52165085"/>
      <w:bookmarkStart w:id="61" w:name="_Toc50736481"/>
      <w:bookmarkStart w:id="62" w:name="_Toc50691044"/>
      <w:bookmarkStart w:id="63" w:name="_Toc50737333"/>
      <w:bookmarkStart w:id="64" w:name="_Toc410738990"/>
      <w:bookmarkStart w:id="65" w:name="_Toc43264525"/>
      <w:bookmarkStart w:id="66" w:name="_Toc275865617"/>
      <w:bookmarkStart w:id="67" w:name="_Toc416770271"/>
      <w:bookmarkStart w:id="68" w:name="_Toc410736191"/>
      <w:bookmarkStart w:id="69" w:name="_Toc50703730"/>
      <w:bookmarkStart w:id="70" w:name="_Toc50691037"/>
      <w:bookmarkStart w:id="71" w:name="_Toc43264518"/>
      <w:r>
        <w:rPr>
          <w:rFonts w:hint="eastAsia" w:ascii="宋体" w:hAnsi="宋体" w:cs="宋体"/>
          <w:b/>
          <w:color w:val="auto"/>
          <w:kern w:val="2"/>
          <w:sz w:val="32"/>
          <w:szCs w:val="32"/>
          <w:highlight w:val="none"/>
          <w:lang w:eastAsia="zh-CN"/>
        </w:rPr>
        <w:t>用户需求书</w:t>
      </w:r>
      <w:r>
        <w:rPr>
          <w:rFonts w:hint="eastAsia" w:ascii="宋体" w:hAnsi="宋体" w:cs="宋体"/>
          <w:b/>
          <w:color w:val="auto"/>
          <w:kern w:val="2"/>
          <w:sz w:val="32"/>
          <w:szCs w:val="32"/>
          <w:highlight w:val="none"/>
        </w:rPr>
        <w:t>条款响应一览表（</w:t>
      </w:r>
      <w:r>
        <w:rPr>
          <w:rFonts w:hint="eastAsia" w:ascii="宋体" w:hAnsi="宋体" w:cs="宋体"/>
          <w:b/>
          <w:color w:val="auto"/>
          <w:kern w:val="2"/>
          <w:sz w:val="32"/>
          <w:szCs w:val="32"/>
          <w:highlight w:val="none"/>
          <w:lang w:val="en-US" w:eastAsia="zh-CN"/>
        </w:rPr>
        <w:t>包组号：三</w:t>
      </w:r>
      <w:r>
        <w:rPr>
          <w:rFonts w:hint="eastAsia" w:ascii="宋体" w:hAnsi="宋体" w:cs="宋体"/>
          <w:b/>
          <w:color w:val="auto"/>
          <w:kern w:val="2"/>
          <w:sz w:val="32"/>
          <w:szCs w:val="32"/>
          <w:highlight w:val="none"/>
        </w:rPr>
        <w:t>）</w:t>
      </w:r>
    </w:p>
    <w:p w14:paraId="158B7C63">
      <w:pPr>
        <w:spacing w:line="400" w:lineRule="exact"/>
        <w:rPr>
          <w:rFonts w:hint="eastAsia" w:ascii="宋体" w:hAnsi="宋体"/>
          <w:color w:val="auto"/>
          <w:sz w:val="21"/>
          <w:szCs w:val="21"/>
          <w:highlight w:val="none"/>
        </w:rPr>
      </w:pPr>
      <w:r>
        <w:rPr>
          <w:rFonts w:hint="eastAsia" w:ascii="宋体" w:hAnsi="宋体"/>
          <w:color w:val="auto"/>
          <w:sz w:val="21"/>
          <w:szCs w:val="21"/>
          <w:highlight w:val="none"/>
        </w:rPr>
        <w:t>说明：</w:t>
      </w:r>
    </w:p>
    <w:p w14:paraId="5E345D0D">
      <w:pPr>
        <w:pStyle w:val="169"/>
        <w:numPr>
          <w:ilvl w:val="0"/>
          <w:numId w:val="91"/>
        </w:numPr>
        <w:snapToGrid w:val="0"/>
        <w:spacing w:line="360" w:lineRule="auto"/>
        <w:ind w:firstLineChars="0"/>
        <w:jc w:val="both"/>
        <w:rPr>
          <w:rFonts w:hint="eastAsia" w:ascii="宋体" w:hAnsi="宋体"/>
          <w:color w:val="auto"/>
          <w:sz w:val="21"/>
          <w:szCs w:val="21"/>
          <w:highlight w:val="none"/>
        </w:rPr>
      </w:pPr>
      <w:r>
        <w:rPr>
          <w:rFonts w:hint="eastAsia" w:ascii="宋体" w:hAnsi="宋体"/>
          <w:color w:val="auto"/>
          <w:sz w:val="21"/>
          <w:szCs w:val="21"/>
          <w:highlight w:val="none"/>
          <w:lang w:eastAsia="zh-CN"/>
        </w:rPr>
        <w:t>参选人</w:t>
      </w:r>
      <w:r>
        <w:rPr>
          <w:rFonts w:hint="eastAsia" w:ascii="宋体" w:hAnsi="宋体"/>
          <w:color w:val="auto"/>
          <w:sz w:val="21"/>
          <w:szCs w:val="21"/>
          <w:highlight w:val="none"/>
        </w:rPr>
        <w:t>必须对应</w:t>
      </w:r>
      <w:r>
        <w:rPr>
          <w:rFonts w:hint="eastAsia" w:ascii="宋体" w:hAnsi="宋体"/>
          <w:color w:val="auto"/>
          <w:sz w:val="21"/>
          <w:szCs w:val="21"/>
          <w:highlight w:val="none"/>
          <w:lang w:eastAsia="zh-CN"/>
        </w:rPr>
        <w:t>遴选文件</w:t>
      </w:r>
      <w:r>
        <w:rPr>
          <w:rFonts w:hint="eastAsia" w:ascii="宋体" w:hAnsi="宋体"/>
          <w:color w:val="auto"/>
          <w:sz w:val="21"/>
          <w:szCs w:val="21"/>
          <w:highlight w:val="none"/>
        </w:rPr>
        <w:t>条款逐条应答并按要求填写下表。</w:t>
      </w:r>
    </w:p>
    <w:p w14:paraId="449CDE10">
      <w:pPr>
        <w:pStyle w:val="169"/>
        <w:numPr>
          <w:ilvl w:val="0"/>
          <w:numId w:val="91"/>
        </w:numPr>
        <w:snapToGrid w:val="0"/>
        <w:spacing w:line="360" w:lineRule="auto"/>
        <w:ind w:firstLineChars="0"/>
        <w:jc w:val="both"/>
        <w:rPr>
          <w:rFonts w:hint="eastAsia" w:ascii="宋体" w:hAnsi="宋体"/>
          <w:color w:val="auto"/>
          <w:sz w:val="21"/>
          <w:szCs w:val="21"/>
          <w:highlight w:val="none"/>
        </w:rPr>
      </w:pPr>
      <w:r>
        <w:rPr>
          <w:rFonts w:hint="eastAsia" w:ascii="宋体" w:hAnsi="宋体"/>
          <w:color w:val="auto"/>
          <w:sz w:val="21"/>
          <w:szCs w:val="21"/>
          <w:highlight w:val="none"/>
          <w:lang w:eastAsia="zh-CN"/>
        </w:rPr>
        <w:t>参选人</w:t>
      </w:r>
      <w:r>
        <w:rPr>
          <w:rFonts w:hint="eastAsia" w:ascii="宋体" w:hAnsi="宋体"/>
          <w:color w:val="auto"/>
          <w:sz w:val="21"/>
          <w:szCs w:val="21"/>
          <w:highlight w:val="none"/>
        </w:rPr>
        <w:t>响应描述：</w:t>
      </w:r>
      <w:r>
        <w:rPr>
          <w:rFonts w:hint="eastAsia" w:ascii="宋体" w:hAnsi="宋体"/>
          <w:bCs/>
          <w:color w:val="auto"/>
          <w:sz w:val="21"/>
          <w:szCs w:val="21"/>
          <w:highlight w:val="none"/>
          <w:lang w:eastAsia="zh-CN"/>
        </w:rPr>
        <w:t>参选人</w:t>
      </w:r>
      <w:r>
        <w:rPr>
          <w:rFonts w:hint="eastAsia" w:ascii="宋体" w:hAnsi="宋体"/>
          <w:bCs/>
          <w:color w:val="auto"/>
          <w:sz w:val="21"/>
          <w:szCs w:val="21"/>
          <w:highlight w:val="none"/>
        </w:rPr>
        <w:t>按响应货物/服务实际数据填写。</w:t>
      </w:r>
    </w:p>
    <w:p w14:paraId="3A0F4700">
      <w:pPr>
        <w:pStyle w:val="169"/>
        <w:numPr>
          <w:ilvl w:val="0"/>
          <w:numId w:val="91"/>
        </w:numPr>
        <w:snapToGrid w:val="0"/>
        <w:spacing w:line="360" w:lineRule="auto"/>
        <w:ind w:firstLineChars="0"/>
        <w:jc w:val="both"/>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参选人应按遴选文件要求附相关证明文件，如有任何一项不响应或不满足的</w:t>
      </w:r>
    </w:p>
    <w:p w14:paraId="3476DC88">
      <w:pPr>
        <w:pStyle w:val="169"/>
        <w:numPr>
          <w:ilvl w:val="0"/>
          <w:numId w:val="0"/>
        </w:numPr>
        <w:snapToGrid w:val="0"/>
        <w:spacing w:line="360" w:lineRule="auto"/>
        <w:ind w:leftChars="0" w:firstLine="422" w:firstLineChars="200"/>
        <w:jc w:val="both"/>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视为负偏离。</w:t>
      </w:r>
    </w:p>
    <w:p w14:paraId="0997D1F0">
      <w:pPr>
        <w:pStyle w:val="169"/>
        <w:numPr>
          <w:ilvl w:val="0"/>
          <w:numId w:val="91"/>
        </w:numPr>
        <w:snapToGrid w:val="0"/>
        <w:spacing w:line="360" w:lineRule="auto"/>
        <w:ind w:firstLineChars="0"/>
        <w:jc w:val="both"/>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偏离情况说明：参选人根据参选人实际情况填写“正偏离”“完全响应”或</w:t>
      </w:r>
    </w:p>
    <w:p w14:paraId="43EC8076">
      <w:pPr>
        <w:pStyle w:val="169"/>
        <w:numPr>
          <w:ilvl w:val="0"/>
          <w:numId w:val="0"/>
        </w:numPr>
        <w:snapToGrid w:val="0"/>
        <w:spacing w:line="360" w:lineRule="auto"/>
        <w:ind w:leftChars="0" w:firstLine="422" w:firstLineChars="200"/>
        <w:jc w:val="both"/>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“负偏离”。</w:t>
      </w:r>
    </w:p>
    <w:p w14:paraId="3151FD5A">
      <w:pPr>
        <w:widowControl/>
        <w:snapToGrid w:val="0"/>
        <w:spacing w:line="360" w:lineRule="auto"/>
        <w:rPr>
          <w:rFonts w:hint="eastAsia" w:ascii="宋体" w:hAnsi="宋体"/>
          <w:color w:val="auto"/>
          <w:sz w:val="24"/>
          <w:highlight w:val="none"/>
        </w:rPr>
      </w:pPr>
    </w:p>
    <w:p w14:paraId="64321DC4">
      <w:pPr>
        <w:spacing w:line="360" w:lineRule="auto"/>
        <w:jc w:val="both"/>
        <w:rPr>
          <w:rFonts w:hint="eastAsia" w:ascii="宋体" w:hAnsi="宋体" w:eastAsia="宋体"/>
          <w:b/>
          <w:bCs/>
          <w:color w:val="auto"/>
          <w:sz w:val="21"/>
          <w:szCs w:val="21"/>
          <w:highlight w:val="none"/>
          <w:lang w:val="en-US" w:eastAsia="zh-CN"/>
        </w:rPr>
      </w:pPr>
      <w:r>
        <w:rPr>
          <w:rFonts w:hint="eastAsia" w:ascii="宋体" w:hAnsi="宋体"/>
          <w:b/>
          <w:bCs/>
          <w:color w:val="auto"/>
          <w:sz w:val="21"/>
          <w:szCs w:val="21"/>
          <w:highlight w:val="none"/>
        </w:rPr>
        <w:t>项目名称：</w:t>
      </w:r>
      <w:r>
        <w:rPr>
          <w:rFonts w:hint="eastAsia" w:ascii="宋体" w:hAnsi="宋体"/>
          <w:b/>
          <w:bCs/>
          <w:color w:val="auto"/>
          <w:sz w:val="21"/>
          <w:szCs w:val="21"/>
          <w:highlight w:val="none"/>
          <w:lang w:eastAsia="zh-CN"/>
        </w:rPr>
        <w:t>广州市机电技师学院2025年智慧校园管理平台优化服务项目遴选（第二次）</w:t>
      </w:r>
    </w:p>
    <w:tbl>
      <w:tblPr>
        <w:tblStyle w:val="35"/>
        <w:tblW w:w="90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786"/>
        <w:gridCol w:w="2175"/>
        <w:gridCol w:w="2029"/>
        <w:gridCol w:w="1344"/>
      </w:tblGrid>
      <w:tr w14:paraId="2AC59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2" w:type="dxa"/>
            <w:tcBorders>
              <w:top w:val="single" w:color="auto" w:sz="12" w:space="0"/>
              <w:bottom w:val="double" w:color="auto" w:sz="4" w:space="0"/>
            </w:tcBorders>
            <w:shd w:val="clear" w:color="auto" w:fill="EEECE1"/>
            <w:vAlign w:val="center"/>
          </w:tcPr>
          <w:p w14:paraId="275CEC1F">
            <w:pPr>
              <w:snapToGrid w:val="0"/>
              <w:spacing w:line="240" w:lineRule="auto"/>
              <w:ind w:left="-71" w:leftChars="-34" w:right="-73" w:rightChars="-3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786" w:type="dxa"/>
            <w:tcBorders>
              <w:top w:val="single" w:color="auto" w:sz="12" w:space="0"/>
              <w:bottom w:val="double" w:color="auto" w:sz="4" w:space="0"/>
            </w:tcBorders>
            <w:shd w:val="clear" w:color="auto" w:fill="EEECE1"/>
            <w:vAlign w:val="center"/>
          </w:tcPr>
          <w:p w14:paraId="0092E989">
            <w:pPr>
              <w:snapToGrid w:val="0"/>
              <w:spacing w:line="240" w:lineRule="auto"/>
              <w:ind w:left="-71" w:leftChars="-34" w:right="-73" w:rightChars="-3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遴选文件</w:t>
            </w:r>
            <w:r>
              <w:rPr>
                <w:rFonts w:hint="eastAsia" w:asciiTheme="minorEastAsia" w:hAnsiTheme="minorEastAsia" w:eastAsiaTheme="minorEastAsia" w:cstheme="minorEastAsia"/>
                <w:color w:val="auto"/>
                <w:sz w:val="21"/>
                <w:szCs w:val="21"/>
                <w:highlight w:val="none"/>
              </w:rPr>
              <w:t>条款描述</w:t>
            </w:r>
          </w:p>
        </w:tc>
        <w:tc>
          <w:tcPr>
            <w:tcW w:w="2175" w:type="dxa"/>
            <w:tcBorders>
              <w:top w:val="single" w:color="auto" w:sz="12" w:space="0"/>
              <w:bottom w:val="double" w:color="auto" w:sz="4" w:space="0"/>
            </w:tcBorders>
            <w:shd w:val="clear" w:color="auto" w:fill="EEECE1"/>
            <w:vAlign w:val="center"/>
          </w:tcPr>
          <w:p w14:paraId="49E1C260">
            <w:pPr>
              <w:snapToGrid w:val="0"/>
              <w:spacing w:line="240" w:lineRule="auto"/>
              <w:ind w:left="-71" w:leftChars="-34" w:right="-73" w:rightChars="-3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参选人</w:t>
            </w:r>
            <w:r>
              <w:rPr>
                <w:rFonts w:hint="eastAsia" w:asciiTheme="minorEastAsia" w:hAnsiTheme="minorEastAsia" w:eastAsiaTheme="minorEastAsia" w:cstheme="minorEastAsia"/>
                <w:color w:val="auto"/>
                <w:sz w:val="21"/>
                <w:szCs w:val="21"/>
                <w:highlight w:val="none"/>
              </w:rPr>
              <w:t>响应描述</w:t>
            </w:r>
          </w:p>
        </w:tc>
        <w:tc>
          <w:tcPr>
            <w:tcW w:w="2029" w:type="dxa"/>
            <w:tcBorders>
              <w:top w:val="single" w:color="auto" w:sz="12" w:space="0"/>
              <w:bottom w:val="double" w:color="auto" w:sz="4" w:space="0"/>
            </w:tcBorders>
            <w:shd w:val="clear" w:color="auto" w:fill="EEECE1"/>
            <w:vAlign w:val="center"/>
          </w:tcPr>
          <w:p w14:paraId="34773C1A">
            <w:pPr>
              <w:snapToGrid w:val="0"/>
              <w:spacing w:line="240" w:lineRule="auto"/>
              <w:ind w:left="-71" w:leftChars="-34" w:right="-73" w:rightChars="-3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偏离情况说明</w:t>
            </w:r>
          </w:p>
        </w:tc>
        <w:tc>
          <w:tcPr>
            <w:tcW w:w="1344" w:type="dxa"/>
            <w:tcBorders>
              <w:top w:val="single" w:color="auto" w:sz="12" w:space="0"/>
              <w:bottom w:val="double" w:color="auto" w:sz="4" w:space="0"/>
            </w:tcBorders>
            <w:shd w:val="clear" w:color="auto" w:fill="EEECE1"/>
            <w:vAlign w:val="center"/>
          </w:tcPr>
          <w:p w14:paraId="7E6807D2">
            <w:pPr>
              <w:snapToGrid w:val="0"/>
              <w:spacing w:line="240" w:lineRule="auto"/>
              <w:ind w:left="-71" w:leftChars="-34" w:right="-73" w:rightChars="-3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查阅/证明文件指引</w:t>
            </w:r>
          </w:p>
        </w:tc>
      </w:tr>
      <w:tr w14:paraId="4B8A7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5"/>
            <w:vAlign w:val="center"/>
          </w:tcPr>
          <w:p w14:paraId="7310C61A">
            <w:pPr>
              <w:spacing w:line="24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（一）标注“★”的实质性条款</w:t>
            </w:r>
          </w:p>
        </w:tc>
      </w:tr>
      <w:tr w14:paraId="6348E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089057B6">
            <w:pPr>
              <w:numPr>
                <w:ilvl w:val="0"/>
                <w:numId w:val="92"/>
              </w:numPr>
              <w:spacing w:line="240" w:lineRule="auto"/>
              <w:jc w:val="center"/>
              <w:rPr>
                <w:rFonts w:hint="eastAsia" w:asciiTheme="minorEastAsia" w:hAnsiTheme="minorEastAsia" w:eastAsiaTheme="minorEastAsia" w:cstheme="minorEastAsia"/>
                <w:color w:val="auto"/>
                <w:sz w:val="21"/>
                <w:szCs w:val="21"/>
                <w:highlight w:val="none"/>
              </w:rPr>
            </w:pPr>
          </w:p>
        </w:tc>
        <w:tc>
          <w:tcPr>
            <w:tcW w:w="2786" w:type="dxa"/>
            <w:vAlign w:val="center"/>
          </w:tcPr>
          <w:p w14:paraId="0C0D3840">
            <w:pPr>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（一）建设周期要求</w:t>
            </w:r>
          </w:p>
          <w:p w14:paraId="5BC21C8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参选人</w:t>
            </w:r>
            <w:r>
              <w:rPr>
                <w:rFonts w:hint="eastAsia" w:asciiTheme="minorEastAsia" w:hAnsiTheme="minorEastAsia" w:eastAsiaTheme="minorEastAsia" w:cstheme="minorEastAsia"/>
                <w:color w:val="auto"/>
                <w:sz w:val="21"/>
                <w:szCs w:val="21"/>
                <w:highlight w:val="none"/>
              </w:rPr>
              <w:t>必须提出保障措施，须提供承诺函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格式自拟</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保证在合同签订后</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个月内完成项目的实施交付。</w:t>
            </w:r>
          </w:p>
        </w:tc>
        <w:tc>
          <w:tcPr>
            <w:tcW w:w="2175" w:type="dxa"/>
            <w:vAlign w:val="center"/>
          </w:tcPr>
          <w:p w14:paraId="6178E139">
            <w:pPr>
              <w:spacing w:line="240" w:lineRule="auto"/>
              <w:jc w:val="center"/>
              <w:rPr>
                <w:rFonts w:hint="eastAsia" w:asciiTheme="minorEastAsia" w:hAnsiTheme="minorEastAsia" w:eastAsiaTheme="minorEastAsia" w:cstheme="minorEastAsia"/>
                <w:color w:val="auto"/>
                <w:sz w:val="21"/>
                <w:szCs w:val="21"/>
                <w:highlight w:val="none"/>
              </w:rPr>
            </w:pPr>
          </w:p>
        </w:tc>
        <w:tc>
          <w:tcPr>
            <w:tcW w:w="2029" w:type="dxa"/>
            <w:vAlign w:val="center"/>
          </w:tcPr>
          <w:p w14:paraId="4A7B3194">
            <w:pPr>
              <w:spacing w:line="240" w:lineRule="auto"/>
              <w:jc w:val="center"/>
              <w:rPr>
                <w:rFonts w:hint="eastAsia" w:asciiTheme="minorEastAsia" w:hAnsiTheme="minorEastAsia" w:eastAsiaTheme="minorEastAsia" w:cstheme="minorEastAsia"/>
                <w:color w:val="auto"/>
                <w:sz w:val="21"/>
                <w:szCs w:val="21"/>
                <w:highlight w:val="none"/>
              </w:rPr>
            </w:pPr>
          </w:p>
        </w:tc>
        <w:tc>
          <w:tcPr>
            <w:tcW w:w="1344" w:type="dxa"/>
            <w:vAlign w:val="center"/>
          </w:tcPr>
          <w:p w14:paraId="3DADFF79">
            <w:pPr>
              <w:spacing w:line="240" w:lineRule="auto"/>
              <w:jc w:val="center"/>
              <w:rPr>
                <w:rFonts w:hint="eastAsia" w:asciiTheme="minorEastAsia" w:hAnsiTheme="minorEastAsia" w:eastAsiaTheme="minorEastAsia" w:cstheme="minorEastAsia"/>
                <w:color w:val="auto"/>
                <w:sz w:val="21"/>
                <w:szCs w:val="21"/>
                <w:highlight w:val="none"/>
              </w:rPr>
            </w:pPr>
          </w:p>
        </w:tc>
      </w:tr>
      <w:tr w14:paraId="2DD60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026" w:type="dxa"/>
            <w:gridSpan w:val="5"/>
            <w:vAlign w:val="center"/>
          </w:tcPr>
          <w:p w14:paraId="0C051A5C">
            <w:pPr>
              <w:spacing w:line="24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lang w:val="en-US" w:eastAsia="zh-CN"/>
              </w:rPr>
              <w:t>二</w:t>
            </w:r>
            <w:r>
              <w:rPr>
                <w:rFonts w:hint="eastAsia" w:asciiTheme="minorEastAsia" w:hAnsiTheme="minorEastAsia" w:eastAsiaTheme="minorEastAsia" w:cstheme="minorEastAsia"/>
                <w:b/>
                <w:color w:val="auto"/>
                <w:sz w:val="21"/>
                <w:szCs w:val="21"/>
                <w:highlight w:val="none"/>
              </w:rPr>
              <w:t>）其他条款（技术</w:t>
            </w:r>
            <w:r>
              <w:rPr>
                <w:rFonts w:hint="eastAsia" w:asciiTheme="minorEastAsia" w:hAnsiTheme="minorEastAsia" w:eastAsiaTheme="minorEastAsia" w:cstheme="minorEastAsia"/>
                <w:b/>
                <w:color w:val="auto"/>
                <w:sz w:val="21"/>
                <w:szCs w:val="21"/>
                <w:highlight w:val="none"/>
                <w:lang w:val="en-US" w:eastAsia="zh-CN"/>
              </w:rPr>
              <w:t>要求</w:t>
            </w:r>
            <w:r>
              <w:rPr>
                <w:rFonts w:hint="eastAsia" w:asciiTheme="minorEastAsia" w:hAnsiTheme="minorEastAsia" w:eastAsiaTheme="minorEastAsia" w:cstheme="minorEastAsia"/>
                <w:b/>
                <w:color w:val="auto"/>
                <w:sz w:val="21"/>
                <w:szCs w:val="21"/>
                <w:highlight w:val="none"/>
              </w:rPr>
              <w:t>）</w:t>
            </w:r>
          </w:p>
        </w:tc>
      </w:tr>
      <w:tr w14:paraId="45925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018CB63C">
            <w:pPr>
              <w:numPr>
                <w:ilvl w:val="0"/>
                <w:numId w:val="93"/>
              </w:numPr>
              <w:spacing w:line="240" w:lineRule="auto"/>
              <w:jc w:val="center"/>
              <w:rPr>
                <w:rFonts w:hint="eastAsia" w:asciiTheme="minorEastAsia" w:hAnsiTheme="minorEastAsia" w:eastAsiaTheme="minorEastAsia" w:cstheme="minorEastAsia"/>
                <w:color w:val="auto"/>
                <w:sz w:val="21"/>
                <w:szCs w:val="21"/>
                <w:highlight w:val="none"/>
              </w:rPr>
            </w:pPr>
          </w:p>
        </w:tc>
        <w:tc>
          <w:tcPr>
            <w:tcW w:w="2786" w:type="dxa"/>
            <w:vAlign w:val="center"/>
          </w:tcPr>
          <w:p w14:paraId="08EB8F8A">
            <w:pPr>
              <w:spacing w:line="240" w:lineRule="auto"/>
              <w:jc w:val="center"/>
              <w:rPr>
                <w:rFonts w:hint="eastAsia" w:asciiTheme="minorEastAsia" w:hAnsiTheme="minorEastAsia" w:eastAsiaTheme="minorEastAsia" w:cstheme="minorEastAsia"/>
                <w:color w:val="auto"/>
                <w:sz w:val="21"/>
                <w:szCs w:val="21"/>
                <w:highlight w:val="none"/>
              </w:rPr>
            </w:pPr>
          </w:p>
        </w:tc>
        <w:tc>
          <w:tcPr>
            <w:tcW w:w="2175" w:type="dxa"/>
            <w:vAlign w:val="center"/>
          </w:tcPr>
          <w:p w14:paraId="3B8EA92D">
            <w:pPr>
              <w:spacing w:line="240" w:lineRule="auto"/>
              <w:jc w:val="center"/>
              <w:rPr>
                <w:rFonts w:hint="eastAsia" w:asciiTheme="minorEastAsia" w:hAnsiTheme="minorEastAsia" w:eastAsiaTheme="minorEastAsia" w:cstheme="minorEastAsia"/>
                <w:color w:val="auto"/>
                <w:sz w:val="21"/>
                <w:szCs w:val="21"/>
                <w:highlight w:val="none"/>
              </w:rPr>
            </w:pPr>
          </w:p>
        </w:tc>
        <w:tc>
          <w:tcPr>
            <w:tcW w:w="2029" w:type="dxa"/>
            <w:vAlign w:val="center"/>
          </w:tcPr>
          <w:p w14:paraId="552B2D73">
            <w:pPr>
              <w:spacing w:line="240" w:lineRule="auto"/>
              <w:jc w:val="center"/>
              <w:rPr>
                <w:rFonts w:hint="eastAsia" w:asciiTheme="minorEastAsia" w:hAnsiTheme="minorEastAsia" w:eastAsiaTheme="minorEastAsia" w:cstheme="minorEastAsia"/>
                <w:color w:val="auto"/>
                <w:sz w:val="21"/>
                <w:szCs w:val="21"/>
                <w:highlight w:val="none"/>
              </w:rPr>
            </w:pPr>
          </w:p>
        </w:tc>
        <w:tc>
          <w:tcPr>
            <w:tcW w:w="1344" w:type="dxa"/>
            <w:vAlign w:val="center"/>
          </w:tcPr>
          <w:p w14:paraId="18C8F3E5">
            <w:pPr>
              <w:spacing w:line="240" w:lineRule="auto"/>
              <w:jc w:val="center"/>
              <w:rPr>
                <w:rFonts w:hint="eastAsia" w:asciiTheme="minorEastAsia" w:hAnsiTheme="minorEastAsia" w:eastAsiaTheme="minorEastAsia" w:cstheme="minorEastAsia"/>
                <w:color w:val="auto"/>
                <w:sz w:val="21"/>
                <w:szCs w:val="21"/>
                <w:highlight w:val="none"/>
              </w:rPr>
            </w:pPr>
          </w:p>
        </w:tc>
      </w:tr>
      <w:tr w14:paraId="1A5AE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4FCBB50C">
            <w:pPr>
              <w:numPr>
                <w:ilvl w:val="0"/>
                <w:numId w:val="93"/>
              </w:numPr>
              <w:spacing w:line="240" w:lineRule="auto"/>
              <w:jc w:val="center"/>
              <w:rPr>
                <w:rFonts w:hint="eastAsia" w:asciiTheme="minorEastAsia" w:hAnsiTheme="minorEastAsia" w:eastAsiaTheme="minorEastAsia" w:cstheme="minorEastAsia"/>
                <w:color w:val="auto"/>
                <w:sz w:val="21"/>
                <w:szCs w:val="21"/>
                <w:highlight w:val="none"/>
              </w:rPr>
            </w:pPr>
          </w:p>
        </w:tc>
        <w:tc>
          <w:tcPr>
            <w:tcW w:w="2786" w:type="dxa"/>
            <w:vAlign w:val="center"/>
          </w:tcPr>
          <w:p w14:paraId="7D0BF648">
            <w:pPr>
              <w:spacing w:line="240" w:lineRule="auto"/>
              <w:jc w:val="center"/>
              <w:rPr>
                <w:rFonts w:hint="eastAsia" w:asciiTheme="minorEastAsia" w:hAnsiTheme="minorEastAsia" w:eastAsiaTheme="minorEastAsia" w:cstheme="minorEastAsia"/>
                <w:color w:val="auto"/>
                <w:sz w:val="21"/>
                <w:szCs w:val="21"/>
                <w:highlight w:val="none"/>
              </w:rPr>
            </w:pPr>
          </w:p>
        </w:tc>
        <w:tc>
          <w:tcPr>
            <w:tcW w:w="2175" w:type="dxa"/>
            <w:vAlign w:val="center"/>
          </w:tcPr>
          <w:p w14:paraId="3057C693">
            <w:pPr>
              <w:spacing w:line="240" w:lineRule="auto"/>
              <w:jc w:val="center"/>
              <w:rPr>
                <w:rFonts w:hint="eastAsia" w:asciiTheme="minorEastAsia" w:hAnsiTheme="minorEastAsia" w:eastAsiaTheme="minorEastAsia" w:cstheme="minorEastAsia"/>
                <w:color w:val="auto"/>
                <w:sz w:val="21"/>
                <w:szCs w:val="21"/>
                <w:highlight w:val="none"/>
              </w:rPr>
            </w:pPr>
          </w:p>
        </w:tc>
        <w:tc>
          <w:tcPr>
            <w:tcW w:w="2029" w:type="dxa"/>
            <w:vAlign w:val="center"/>
          </w:tcPr>
          <w:p w14:paraId="3E6521DE">
            <w:pPr>
              <w:spacing w:line="240" w:lineRule="auto"/>
              <w:jc w:val="center"/>
              <w:rPr>
                <w:rFonts w:hint="eastAsia" w:asciiTheme="minorEastAsia" w:hAnsiTheme="minorEastAsia" w:eastAsiaTheme="minorEastAsia" w:cstheme="minorEastAsia"/>
                <w:color w:val="auto"/>
                <w:sz w:val="21"/>
                <w:szCs w:val="21"/>
                <w:highlight w:val="none"/>
              </w:rPr>
            </w:pPr>
          </w:p>
        </w:tc>
        <w:tc>
          <w:tcPr>
            <w:tcW w:w="1344" w:type="dxa"/>
            <w:vAlign w:val="center"/>
          </w:tcPr>
          <w:p w14:paraId="64CA66A3">
            <w:pPr>
              <w:spacing w:line="240" w:lineRule="auto"/>
              <w:jc w:val="center"/>
              <w:rPr>
                <w:rFonts w:hint="eastAsia" w:asciiTheme="minorEastAsia" w:hAnsiTheme="minorEastAsia" w:eastAsiaTheme="minorEastAsia" w:cstheme="minorEastAsia"/>
                <w:color w:val="auto"/>
                <w:sz w:val="21"/>
                <w:szCs w:val="21"/>
                <w:highlight w:val="none"/>
              </w:rPr>
            </w:pPr>
          </w:p>
        </w:tc>
      </w:tr>
      <w:tr w14:paraId="77D0B6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vAlign w:val="center"/>
          </w:tcPr>
          <w:p w14:paraId="6DE1105B">
            <w:pPr>
              <w:spacing w:line="240" w:lineRule="auto"/>
              <w:ind w:left="18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2786" w:type="dxa"/>
            <w:vAlign w:val="center"/>
          </w:tcPr>
          <w:p w14:paraId="3081A1EE">
            <w:pPr>
              <w:spacing w:line="240" w:lineRule="auto"/>
              <w:jc w:val="center"/>
              <w:rPr>
                <w:rFonts w:hint="eastAsia" w:asciiTheme="minorEastAsia" w:hAnsiTheme="minorEastAsia" w:eastAsiaTheme="minorEastAsia" w:cstheme="minorEastAsia"/>
                <w:color w:val="auto"/>
                <w:sz w:val="21"/>
                <w:szCs w:val="21"/>
                <w:highlight w:val="none"/>
              </w:rPr>
            </w:pPr>
          </w:p>
        </w:tc>
        <w:tc>
          <w:tcPr>
            <w:tcW w:w="2175" w:type="dxa"/>
            <w:vAlign w:val="center"/>
          </w:tcPr>
          <w:p w14:paraId="06BB4FDC">
            <w:pPr>
              <w:spacing w:line="240" w:lineRule="auto"/>
              <w:jc w:val="center"/>
              <w:rPr>
                <w:rFonts w:hint="eastAsia" w:asciiTheme="minorEastAsia" w:hAnsiTheme="minorEastAsia" w:eastAsiaTheme="minorEastAsia" w:cstheme="minorEastAsia"/>
                <w:color w:val="auto"/>
                <w:sz w:val="21"/>
                <w:szCs w:val="21"/>
                <w:highlight w:val="none"/>
              </w:rPr>
            </w:pPr>
          </w:p>
        </w:tc>
        <w:tc>
          <w:tcPr>
            <w:tcW w:w="2029" w:type="dxa"/>
            <w:vAlign w:val="center"/>
          </w:tcPr>
          <w:p w14:paraId="17D99364">
            <w:pPr>
              <w:spacing w:line="240" w:lineRule="auto"/>
              <w:jc w:val="center"/>
              <w:rPr>
                <w:rFonts w:hint="eastAsia" w:asciiTheme="minorEastAsia" w:hAnsiTheme="minorEastAsia" w:eastAsiaTheme="minorEastAsia" w:cstheme="minorEastAsia"/>
                <w:color w:val="auto"/>
                <w:sz w:val="21"/>
                <w:szCs w:val="21"/>
                <w:highlight w:val="none"/>
              </w:rPr>
            </w:pPr>
          </w:p>
        </w:tc>
        <w:tc>
          <w:tcPr>
            <w:tcW w:w="1344" w:type="dxa"/>
            <w:vAlign w:val="center"/>
          </w:tcPr>
          <w:p w14:paraId="36268E6A">
            <w:pPr>
              <w:spacing w:line="240" w:lineRule="auto"/>
              <w:jc w:val="center"/>
              <w:rPr>
                <w:rFonts w:hint="eastAsia" w:asciiTheme="minorEastAsia" w:hAnsiTheme="minorEastAsia" w:eastAsiaTheme="minorEastAsia" w:cstheme="minorEastAsia"/>
                <w:color w:val="auto"/>
                <w:sz w:val="21"/>
                <w:szCs w:val="21"/>
                <w:highlight w:val="none"/>
              </w:rPr>
            </w:pPr>
          </w:p>
        </w:tc>
      </w:tr>
    </w:tbl>
    <w:p w14:paraId="02BCC717">
      <w:pPr>
        <w:spacing w:line="500" w:lineRule="exact"/>
        <w:ind w:firstLine="109" w:firstLineChars="50"/>
        <w:rPr>
          <w:rFonts w:hint="eastAsia" w:ascii="宋体" w:hAnsi="宋体"/>
          <w:color w:val="auto"/>
          <w:sz w:val="21"/>
          <w:szCs w:val="21"/>
          <w:highlight w:val="none"/>
          <w:u w:val="single"/>
        </w:rPr>
      </w:pPr>
      <w:r>
        <w:rPr>
          <w:rFonts w:hint="eastAsia"/>
          <w:color w:val="auto"/>
          <w:spacing w:val="4"/>
          <w:sz w:val="21"/>
          <w:szCs w:val="21"/>
          <w:highlight w:val="none"/>
          <w:lang w:eastAsia="zh-CN"/>
        </w:rPr>
        <w:t>参选人</w:t>
      </w:r>
      <w:r>
        <w:rPr>
          <w:rFonts w:hint="eastAsia"/>
          <w:color w:val="auto"/>
          <w:spacing w:val="4"/>
          <w:sz w:val="21"/>
          <w:szCs w:val="21"/>
          <w:highlight w:val="none"/>
        </w:rPr>
        <w:t>名称（</w:t>
      </w:r>
      <w:r>
        <w:rPr>
          <w:rFonts w:hint="eastAsia" w:ascii="宋体" w:hAnsi="宋体"/>
          <w:color w:val="auto"/>
          <w:sz w:val="21"/>
          <w:szCs w:val="21"/>
          <w:highlight w:val="none"/>
        </w:rPr>
        <w:t>单位盖</w:t>
      </w:r>
      <w:r>
        <w:rPr>
          <w:rFonts w:hint="eastAsia"/>
          <w:color w:val="auto"/>
          <w:spacing w:val="4"/>
          <w:sz w:val="21"/>
          <w:szCs w:val="21"/>
          <w:highlight w:val="none"/>
        </w:rPr>
        <w:t>公章）：</w:t>
      </w:r>
    </w:p>
    <w:p w14:paraId="747C4F7B">
      <w:pPr>
        <w:spacing w:line="500" w:lineRule="exact"/>
        <w:ind w:firstLine="109" w:firstLineChars="50"/>
        <w:rPr>
          <w:color w:val="auto"/>
          <w:spacing w:val="4"/>
          <w:sz w:val="21"/>
          <w:szCs w:val="21"/>
          <w:highlight w:val="none"/>
        </w:rPr>
      </w:pPr>
      <w:r>
        <w:rPr>
          <w:rFonts w:hint="eastAsia"/>
          <w:color w:val="auto"/>
          <w:spacing w:val="4"/>
          <w:sz w:val="21"/>
          <w:szCs w:val="21"/>
          <w:highlight w:val="none"/>
        </w:rPr>
        <w:t>日期：</w:t>
      </w:r>
    </w:p>
    <w:p w14:paraId="01FC53DE">
      <w:pPr>
        <w:rPr>
          <w:rFonts w:hint="eastAsia" w:ascii="宋体" w:hAnsi="宋体" w:eastAsia="宋体" w:cs="Times New Roman"/>
          <w:color w:val="auto"/>
          <w:highlight w:val="none"/>
        </w:rPr>
      </w:pPr>
      <w:r>
        <w:rPr>
          <w:rFonts w:hint="eastAsia" w:ascii="宋体" w:hAnsi="宋体" w:eastAsia="宋体" w:cs="Times New Roman"/>
          <w:color w:val="auto"/>
          <w:highlight w:val="none"/>
        </w:rPr>
        <w:br w:type="page"/>
      </w:r>
    </w:p>
    <w:p w14:paraId="414C0DE1">
      <w:pPr>
        <w:pStyle w:val="3"/>
        <w:spacing w:line="360"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2022年1月1日至今</w:t>
      </w:r>
      <w:r>
        <w:rPr>
          <w:rFonts w:hint="eastAsia" w:ascii="宋体" w:hAnsi="宋体" w:eastAsia="宋体" w:cs="Times New Roman"/>
          <w:color w:val="auto"/>
          <w:highlight w:val="none"/>
          <w:lang w:val="en-US" w:eastAsia="zh-CN"/>
        </w:rPr>
        <w:t>具有</w:t>
      </w:r>
      <w:r>
        <w:rPr>
          <w:rFonts w:hint="eastAsia" w:ascii="宋体" w:hAnsi="宋体" w:eastAsia="宋体" w:cs="Times New Roman"/>
          <w:color w:val="auto"/>
          <w:highlight w:val="none"/>
        </w:rPr>
        <w:t>的同类项目业绩一览表</w:t>
      </w:r>
      <w:bookmarkEnd w:id="58"/>
      <w:bookmarkEnd w:id="59"/>
      <w:bookmarkEnd w:id="60"/>
      <w:bookmarkEnd w:id="61"/>
      <w:bookmarkEnd w:id="62"/>
      <w:bookmarkEnd w:id="63"/>
      <w:bookmarkEnd w:id="64"/>
      <w:bookmarkEnd w:id="65"/>
      <w:bookmarkEnd w:id="66"/>
      <w:bookmarkEnd w:id="67"/>
      <w:bookmarkEnd w:id="68"/>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包组号：</w:t>
      </w:r>
      <w:r>
        <w:rPr>
          <w:rFonts w:hint="eastAsia" w:ascii="宋体" w:hAnsi="宋体" w:eastAsia="宋体" w:cs="Times New Roman"/>
          <w:color w:val="auto"/>
          <w:highlight w:val="none"/>
          <w:lang w:eastAsia="zh-CN"/>
        </w:rPr>
        <w:t>）</w:t>
      </w:r>
    </w:p>
    <w:tbl>
      <w:tblPr>
        <w:tblStyle w:val="35"/>
        <w:tblW w:w="44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098"/>
        <w:gridCol w:w="1037"/>
        <w:gridCol w:w="1121"/>
        <w:gridCol w:w="1008"/>
        <w:gridCol w:w="1427"/>
        <w:gridCol w:w="1451"/>
      </w:tblGrid>
      <w:tr w14:paraId="740F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310" w:type="pct"/>
            <w:shd w:val="clear" w:color="auto" w:fill="EEECE1"/>
            <w:noWrap w:val="0"/>
            <w:vAlign w:val="center"/>
          </w:tcPr>
          <w:p w14:paraId="7A9023D8">
            <w:pPr>
              <w:snapToGrid w:val="0"/>
              <w:ind w:left="-84" w:leftChars="-40" w:right="-107" w:rightChars="-5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721" w:type="pct"/>
            <w:shd w:val="clear" w:color="auto" w:fill="EEECE1"/>
            <w:noWrap w:val="0"/>
            <w:vAlign w:val="center"/>
          </w:tcPr>
          <w:p w14:paraId="435DF573">
            <w:pPr>
              <w:snapToGrid w:val="0"/>
              <w:ind w:left="-84" w:leftChars="-40" w:right="-107" w:rightChars="-5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用户/</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名称</w:t>
            </w:r>
          </w:p>
        </w:tc>
        <w:tc>
          <w:tcPr>
            <w:tcW w:w="681" w:type="pct"/>
            <w:shd w:val="clear" w:color="auto" w:fill="EEECE1"/>
            <w:noWrap w:val="0"/>
            <w:vAlign w:val="center"/>
          </w:tcPr>
          <w:p w14:paraId="276CC2F1">
            <w:pPr>
              <w:snapToGrid w:val="0"/>
              <w:ind w:left="-84" w:leftChars="-40" w:right="-107" w:rightChars="-5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736" w:type="pct"/>
            <w:shd w:val="clear" w:color="auto" w:fill="EEECE1"/>
            <w:noWrap w:val="0"/>
            <w:vAlign w:val="center"/>
          </w:tcPr>
          <w:p w14:paraId="331E9343">
            <w:pPr>
              <w:snapToGrid w:val="0"/>
              <w:ind w:left="-84" w:leftChars="-40" w:right="-107" w:rightChars="-5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项目</w:t>
            </w:r>
            <w:r>
              <w:rPr>
                <w:rFonts w:hint="eastAsia" w:ascii="宋体" w:hAnsi="宋体" w:eastAsia="宋体" w:cs="宋体"/>
                <w:b/>
                <w:color w:val="auto"/>
                <w:sz w:val="21"/>
                <w:szCs w:val="21"/>
                <w:highlight w:val="none"/>
              </w:rPr>
              <w:t>内容</w:t>
            </w:r>
          </w:p>
        </w:tc>
        <w:tc>
          <w:tcPr>
            <w:tcW w:w="662" w:type="pct"/>
            <w:shd w:val="clear" w:color="auto" w:fill="EEECE1"/>
            <w:noWrap w:val="0"/>
            <w:vAlign w:val="center"/>
          </w:tcPr>
          <w:p w14:paraId="1C59EC92">
            <w:pPr>
              <w:snapToGrid w:val="0"/>
              <w:ind w:left="-84" w:leftChars="-40" w:right="-107" w:rightChars="-5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签订时间</w:t>
            </w:r>
          </w:p>
        </w:tc>
        <w:tc>
          <w:tcPr>
            <w:tcW w:w="937" w:type="pct"/>
            <w:shd w:val="clear" w:color="auto" w:fill="EEECE1"/>
            <w:noWrap w:val="0"/>
            <w:vAlign w:val="center"/>
          </w:tcPr>
          <w:p w14:paraId="3AD4E55D">
            <w:pPr>
              <w:snapToGrid w:val="0"/>
              <w:ind w:left="-84" w:leftChars="-40" w:right="-107" w:rightChars="-5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用户/</w:t>
            </w:r>
            <w:r>
              <w:rPr>
                <w:rFonts w:hint="eastAsia" w:ascii="宋体" w:hAnsi="宋体" w:eastAsia="宋体" w:cs="宋体"/>
                <w:b/>
                <w:color w:val="auto"/>
                <w:sz w:val="21"/>
                <w:szCs w:val="21"/>
                <w:highlight w:val="none"/>
                <w:lang w:eastAsia="zh-CN"/>
              </w:rPr>
              <w:t>采购人</w:t>
            </w:r>
            <w:r>
              <w:rPr>
                <w:rFonts w:hint="eastAsia" w:ascii="宋体" w:hAnsi="宋体" w:eastAsia="宋体" w:cs="宋体"/>
                <w:b/>
                <w:color w:val="auto"/>
                <w:sz w:val="21"/>
                <w:szCs w:val="21"/>
                <w:highlight w:val="none"/>
              </w:rPr>
              <w:t>联系人及电话</w:t>
            </w:r>
          </w:p>
        </w:tc>
        <w:tc>
          <w:tcPr>
            <w:tcW w:w="950" w:type="pct"/>
            <w:shd w:val="clear" w:color="auto" w:fill="EEECE1"/>
            <w:noWrap w:val="0"/>
            <w:vAlign w:val="center"/>
          </w:tcPr>
          <w:p w14:paraId="6E5023BC">
            <w:pPr>
              <w:snapToGrid w:val="0"/>
              <w:ind w:left="-84" w:leftChars="-40" w:right="-107" w:rightChars="-5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查阅/证明文件指引</w:t>
            </w:r>
          </w:p>
        </w:tc>
      </w:tr>
      <w:tr w14:paraId="5EDD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10" w:type="pct"/>
            <w:noWrap w:val="0"/>
            <w:vAlign w:val="center"/>
          </w:tcPr>
          <w:p w14:paraId="68C4DDB1">
            <w:pPr>
              <w:pStyle w:val="169"/>
              <w:numPr>
                <w:ilvl w:val="0"/>
                <w:numId w:val="94"/>
              </w:numPr>
              <w:spacing w:line="400" w:lineRule="exact"/>
              <w:ind w:firstLineChars="0"/>
              <w:jc w:val="center"/>
              <w:rPr>
                <w:rFonts w:hint="eastAsia" w:ascii="宋体" w:hAnsi="宋体" w:eastAsia="宋体" w:cs="宋体"/>
                <w:color w:val="auto"/>
                <w:sz w:val="21"/>
                <w:szCs w:val="21"/>
                <w:highlight w:val="none"/>
              </w:rPr>
            </w:pPr>
          </w:p>
        </w:tc>
        <w:tc>
          <w:tcPr>
            <w:tcW w:w="721" w:type="pct"/>
            <w:noWrap w:val="0"/>
            <w:vAlign w:val="center"/>
          </w:tcPr>
          <w:p w14:paraId="0FBA663F">
            <w:pPr>
              <w:spacing w:line="400" w:lineRule="exact"/>
              <w:jc w:val="center"/>
              <w:rPr>
                <w:rFonts w:hint="eastAsia" w:ascii="宋体" w:hAnsi="宋体" w:eastAsia="宋体" w:cs="宋体"/>
                <w:color w:val="auto"/>
                <w:sz w:val="21"/>
                <w:szCs w:val="21"/>
                <w:highlight w:val="none"/>
              </w:rPr>
            </w:pPr>
          </w:p>
        </w:tc>
        <w:tc>
          <w:tcPr>
            <w:tcW w:w="681" w:type="pct"/>
            <w:noWrap w:val="0"/>
            <w:vAlign w:val="center"/>
          </w:tcPr>
          <w:p w14:paraId="2308E532">
            <w:pPr>
              <w:spacing w:line="400" w:lineRule="exact"/>
              <w:jc w:val="center"/>
              <w:rPr>
                <w:rFonts w:hint="eastAsia" w:ascii="宋体" w:hAnsi="宋体" w:eastAsia="宋体" w:cs="宋体"/>
                <w:color w:val="auto"/>
                <w:sz w:val="21"/>
                <w:szCs w:val="21"/>
                <w:highlight w:val="none"/>
              </w:rPr>
            </w:pPr>
          </w:p>
        </w:tc>
        <w:tc>
          <w:tcPr>
            <w:tcW w:w="736" w:type="pct"/>
            <w:noWrap w:val="0"/>
            <w:vAlign w:val="center"/>
          </w:tcPr>
          <w:p w14:paraId="43392E95">
            <w:pPr>
              <w:spacing w:line="400" w:lineRule="exact"/>
              <w:jc w:val="center"/>
              <w:rPr>
                <w:rFonts w:hint="eastAsia" w:ascii="宋体" w:hAnsi="宋体" w:eastAsia="宋体" w:cs="宋体"/>
                <w:color w:val="auto"/>
                <w:sz w:val="21"/>
                <w:szCs w:val="21"/>
                <w:highlight w:val="none"/>
              </w:rPr>
            </w:pPr>
          </w:p>
        </w:tc>
        <w:tc>
          <w:tcPr>
            <w:tcW w:w="662" w:type="pct"/>
            <w:noWrap w:val="0"/>
            <w:vAlign w:val="center"/>
          </w:tcPr>
          <w:p w14:paraId="79E037B6">
            <w:pPr>
              <w:spacing w:line="400" w:lineRule="exact"/>
              <w:jc w:val="center"/>
              <w:rPr>
                <w:rFonts w:hint="eastAsia" w:ascii="宋体" w:hAnsi="宋体" w:eastAsia="宋体" w:cs="宋体"/>
                <w:color w:val="auto"/>
                <w:sz w:val="21"/>
                <w:szCs w:val="21"/>
                <w:highlight w:val="none"/>
              </w:rPr>
            </w:pPr>
          </w:p>
        </w:tc>
        <w:tc>
          <w:tcPr>
            <w:tcW w:w="937" w:type="pct"/>
            <w:noWrap w:val="0"/>
            <w:vAlign w:val="center"/>
          </w:tcPr>
          <w:p w14:paraId="76AB20B4">
            <w:pPr>
              <w:spacing w:line="400" w:lineRule="exact"/>
              <w:jc w:val="center"/>
              <w:rPr>
                <w:rFonts w:hint="eastAsia" w:ascii="宋体" w:hAnsi="宋体" w:eastAsia="宋体" w:cs="宋体"/>
                <w:color w:val="auto"/>
                <w:sz w:val="21"/>
                <w:szCs w:val="21"/>
                <w:highlight w:val="none"/>
              </w:rPr>
            </w:pPr>
          </w:p>
        </w:tc>
        <w:tc>
          <w:tcPr>
            <w:tcW w:w="950" w:type="pct"/>
            <w:noWrap w:val="0"/>
            <w:vAlign w:val="center"/>
          </w:tcPr>
          <w:p w14:paraId="54AC8DA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4731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10" w:type="pct"/>
            <w:noWrap w:val="0"/>
            <w:vAlign w:val="center"/>
          </w:tcPr>
          <w:p w14:paraId="7C86DA91">
            <w:pPr>
              <w:pStyle w:val="169"/>
              <w:numPr>
                <w:ilvl w:val="0"/>
                <w:numId w:val="94"/>
              </w:numPr>
              <w:spacing w:line="400" w:lineRule="exact"/>
              <w:ind w:firstLineChars="0"/>
              <w:jc w:val="center"/>
              <w:rPr>
                <w:rFonts w:hint="eastAsia" w:ascii="宋体" w:hAnsi="宋体" w:eastAsia="宋体" w:cs="宋体"/>
                <w:color w:val="auto"/>
                <w:sz w:val="21"/>
                <w:szCs w:val="21"/>
                <w:highlight w:val="none"/>
              </w:rPr>
            </w:pPr>
          </w:p>
        </w:tc>
        <w:tc>
          <w:tcPr>
            <w:tcW w:w="721" w:type="pct"/>
            <w:noWrap w:val="0"/>
            <w:vAlign w:val="center"/>
          </w:tcPr>
          <w:p w14:paraId="2A14ACFE">
            <w:pPr>
              <w:spacing w:line="400" w:lineRule="exact"/>
              <w:jc w:val="center"/>
              <w:rPr>
                <w:rFonts w:hint="eastAsia" w:ascii="宋体" w:hAnsi="宋体" w:eastAsia="宋体" w:cs="宋体"/>
                <w:color w:val="auto"/>
                <w:sz w:val="21"/>
                <w:szCs w:val="21"/>
                <w:highlight w:val="none"/>
              </w:rPr>
            </w:pPr>
          </w:p>
        </w:tc>
        <w:tc>
          <w:tcPr>
            <w:tcW w:w="681" w:type="pct"/>
            <w:noWrap w:val="0"/>
            <w:vAlign w:val="center"/>
          </w:tcPr>
          <w:p w14:paraId="1164DAFD">
            <w:pPr>
              <w:spacing w:line="400" w:lineRule="exact"/>
              <w:jc w:val="center"/>
              <w:rPr>
                <w:rFonts w:hint="eastAsia" w:ascii="宋体" w:hAnsi="宋体" w:eastAsia="宋体" w:cs="宋体"/>
                <w:color w:val="auto"/>
                <w:sz w:val="21"/>
                <w:szCs w:val="21"/>
                <w:highlight w:val="none"/>
              </w:rPr>
            </w:pPr>
          </w:p>
        </w:tc>
        <w:tc>
          <w:tcPr>
            <w:tcW w:w="736" w:type="pct"/>
            <w:noWrap w:val="0"/>
            <w:vAlign w:val="center"/>
          </w:tcPr>
          <w:p w14:paraId="793C38F4">
            <w:pPr>
              <w:spacing w:line="400" w:lineRule="exact"/>
              <w:jc w:val="center"/>
              <w:rPr>
                <w:rFonts w:hint="eastAsia" w:ascii="宋体" w:hAnsi="宋体" w:eastAsia="宋体" w:cs="宋体"/>
                <w:color w:val="auto"/>
                <w:sz w:val="21"/>
                <w:szCs w:val="21"/>
                <w:highlight w:val="none"/>
              </w:rPr>
            </w:pPr>
          </w:p>
        </w:tc>
        <w:tc>
          <w:tcPr>
            <w:tcW w:w="662" w:type="pct"/>
            <w:noWrap w:val="0"/>
            <w:vAlign w:val="center"/>
          </w:tcPr>
          <w:p w14:paraId="62A2B88B">
            <w:pPr>
              <w:spacing w:line="400" w:lineRule="exact"/>
              <w:jc w:val="center"/>
              <w:rPr>
                <w:rFonts w:hint="eastAsia" w:ascii="宋体" w:hAnsi="宋体" w:eastAsia="宋体" w:cs="宋体"/>
                <w:color w:val="auto"/>
                <w:sz w:val="21"/>
                <w:szCs w:val="21"/>
                <w:highlight w:val="none"/>
              </w:rPr>
            </w:pPr>
          </w:p>
        </w:tc>
        <w:tc>
          <w:tcPr>
            <w:tcW w:w="937" w:type="pct"/>
            <w:noWrap w:val="0"/>
            <w:vAlign w:val="center"/>
          </w:tcPr>
          <w:p w14:paraId="267EF321">
            <w:pPr>
              <w:spacing w:line="400" w:lineRule="exact"/>
              <w:jc w:val="center"/>
              <w:rPr>
                <w:rFonts w:hint="eastAsia" w:ascii="宋体" w:hAnsi="宋体" w:eastAsia="宋体" w:cs="宋体"/>
                <w:color w:val="auto"/>
                <w:sz w:val="21"/>
                <w:szCs w:val="21"/>
                <w:highlight w:val="none"/>
              </w:rPr>
            </w:pPr>
          </w:p>
        </w:tc>
        <w:tc>
          <w:tcPr>
            <w:tcW w:w="950" w:type="pct"/>
            <w:noWrap w:val="0"/>
            <w:vAlign w:val="center"/>
          </w:tcPr>
          <w:p w14:paraId="39ED08B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5856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10" w:type="pct"/>
            <w:noWrap w:val="0"/>
            <w:vAlign w:val="center"/>
          </w:tcPr>
          <w:p w14:paraId="276822C5">
            <w:pPr>
              <w:pStyle w:val="169"/>
              <w:numPr>
                <w:ilvl w:val="0"/>
                <w:numId w:val="94"/>
              </w:numPr>
              <w:spacing w:line="400" w:lineRule="exact"/>
              <w:ind w:firstLineChars="0"/>
              <w:jc w:val="center"/>
              <w:rPr>
                <w:rFonts w:hint="eastAsia" w:ascii="宋体" w:hAnsi="宋体" w:eastAsia="宋体" w:cs="宋体"/>
                <w:color w:val="auto"/>
                <w:sz w:val="21"/>
                <w:szCs w:val="21"/>
                <w:highlight w:val="none"/>
              </w:rPr>
            </w:pPr>
          </w:p>
        </w:tc>
        <w:tc>
          <w:tcPr>
            <w:tcW w:w="721" w:type="pct"/>
            <w:noWrap w:val="0"/>
            <w:vAlign w:val="center"/>
          </w:tcPr>
          <w:p w14:paraId="18F0F022">
            <w:pPr>
              <w:spacing w:line="400" w:lineRule="exact"/>
              <w:jc w:val="center"/>
              <w:rPr>
                <w:rFonts w:hint="eastAsia" w:ascii="宋体" w:hAnsi="宋体" w:eastAsia="宋体" w:cs="宋体"/>
                <w:color w:val="auto"/>
                <w:sz w:val="21"/>
                <w:szCs w:val="21"/>
                <w:highlight w:val="none"/>
              </w:rPr>
            </w:pPr>
          </w:p>
        </w:tc>
        <w:tc>
          <w:tcPr>
            <w:tcW w:w="681" w:type="pct"/>
            <w:noWrap w:val="0"/>
            <w:vAlign w:val="center"/>
          </w:tcPr>
          <w:p w14:paraId="20015652">
            <w:pPr>
              <w:spacing w:line="400" w:lineRule="exact"/>
              <w:jc w:val="center"/>
              <w:rPr>
                <w:rFonts w:hint="eastAsia" w:ascii="宋体" w:hAnsi="宋体" w:eastAsia="宋体" w:cs="宋体"/>
                <w:color w:val="auto"/>
                <w:sz w:val="21"/>
                <w:szCs w:val="21"/>
                <w:highlight w:val="none"/>
              </w:rPr>
            </w:pPr>
          </w:p>
        </w:tc>
        <w:tc>
          <w:tcPr>
            <w:tcW w:w="736" w:type="pct"/>
            <w:noWrap w:val="0"/>
            <w:vAlign w:val="center"/>
          </w:tcPr>
          <w:p w14:paraId="7552E6D7">
            <w:pPr>
              <w:spacing w:line="400" w:lineRule="exact"/>
              <w:jc w:val="center"/>
              <w:rPr>
                <w:rFonts w:hint="eastAsia" w:ascii="宋体" w:hAnsi="宋体" w:eastAsia="宋体" w:cs="宋体"/>
                <w:color w:val="auto"/>
                <w:sz w:val="21"/>
                <w:szCs w:val="21"/>
                <w:highlight w:val="none"/>
              </w:rPr>
            </w:pPr>
          </w:p>
        </w:tc>
        <w:tc>
          <w:tcPr>
            <w:tcW w:w="662" w:type="pct"/>
            <w:noWrap w:val="0"/>
            <w:vAlign w:val="center"/>
          </w:tcPr>
          <w:p w14:paraId="019C1041">
            <w:pPr>
              <w:spacing w:line="400" w:lineRule="exact"/>
              <w:jc w:val="center"/>
              <w:rPr>
                <w:rFonts w:hint="eastAsia" w:ascii="宋体" w:hAnsi="宋体" w:eastAsia="宋体" w:cs="宋体"/>
                <w:color w:val="auto"/>
                <w:sz w:val="21"/>
                <w:szCs w:val="21"/>
                <w:highlight w:val="none"/>
              </w:rPr>
            </w:pPr>
          </w:p>
        </w:tc>
        <w:tc>
          <w:tcPr>
            <w:tcW w:w="937" w:type="pct"/>
            <w:noWrap w:val="0"/>
            <w:vAlign w:val="center"/>
          </w:tcPr>
          <w:p w14:paraId="0183D827">
            <w:pPr>
              <w:spacing w:line="400" w:lineRule="exact"/>
              <w:jc w:val="center"/>
              <w:rPr>
                <w:rFonts w:hint="eastAsia" w:ascii="宋体" w:hAnsi="宋体" w:eastAsia="宋体" w:cs="宋体"/>
                <w:color w:val="auto"/>
                <w:sz w:val="21"/>
                <w:szCs w:val="21"/>
                <w:highlight w:val="none"/>
              </w:rPr>
            </w:pPr>
          </w:p>
        </w:tc>
        <w:tc>
          <w:tcPr>
            <w:tcW w:w="950" w:type="pct"/>
            <w:noWrap w:val="0"/>
            <w:vAlign w:val="center"/>
          </w:tcPr>
          <w:p w14:paraId="725A0C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588D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10" w:type="pct"/>
            <w:noWrap w:val="0"/>
            <w:vAlign w:val="center"/>
          </w:tcPr>
          <w:p w14:paraId="1D2AA896">
            <w:pPr>
              <w:pStyle w:val="169"/>
              <w:numPr>
                <w:ilvl w:val="0"/>
                <w:numId w:val="94"/>
              </w:numPr>
              <w:spacing w:line="400" w:lineRule="exact"/>
              <w:ind w:firstLineChars="0"/>
              <w:jc w:val="center"/>
              <w:rPr>
                <w:rFonts w:hint="eastAsia" w:ascii="宋体" w:hAnsi="宋体" w:eastAsia="宋体" w:cs="宋体"/>
                <w:color w:val="auto"/>
                <w:sz w:val="21"/>
                <w:szCs w:val="21"/>
                <w:highlight w:val="none"/>
              </w:rPr>
            </w:pPr>
          </w:p>
        </w:tc>
        <w:tc>
          <w:tcPr>
            <w:tcW w:w="721" w:type="pct"/>
            <w:noWrap w:val="0"/>
            <w:vAlign w:val="center"/>
          </w:tcPr>
          <w:p w14:paraId="30C26AF8">
            <w:pPr>
              <w:spacing w:line="400" w:lineRule="exact"/>
              <w:jc w:val="center"/>
              <w:rPr>
                <w:rFonts w:hint="eastAsia" w:ascii="宋体" w:hAnsi="宋体" w:eastAsia="宋体" w:cs="宋体"/>
                <w:color w:val="auto"/>
                <w:sz w:val="21"/>
                <w:szCs w:val="21"/>
                <w:highlight w:val="none"/>
              </w:rPr>
            </w:pPr>
          </w:p>
        </w:tc>
        <w:tc>
          <w:tcPr>
            <w:tcW w:w="681" w:type="pct"/>
            <w:noWrap w:val="0"/>
            <w:vAlign w:val="center"/>
          </w:tcPr>
          <w:p w14:paraId="3BCDDB43">
            <w:pPr>
              <w:spacing w:line="400" w:lineRule="exact"/>
              <w:jc w:val="center"/>
              <w:rPr>
                <w:rFonts w:hint="eastAsia" w:ascii="宋体" w:hAnsi="宋体" w:eastAsia="宋体" w:cs="宋体"/>
                <w:color w:val="auto"/>
                <w:sz w:val="21"/>
                <w:szCs w:val="21"/>
                <w:highlight w:val="none"/>
              </w:rPr>
            </w:pPr>
          </w:p>
        </w:tc>
        <w:tc>
          <w:tcPr>
            <w:tcW w:w="736" w:type="pct"/>
            <w:noWrap w:val="0"/>
            <w:vAlign w:val="center"/>
          </w:tcPr>
          <w:p w14:paraId="4A7B42ED">
            <w:pPr>
              <w:spacing w:line="400" w:lineRule="exact"/>
              <w:jc w:val="center"/>
              <w:rPr>
                <w:rFonts w:hint="eastAsia" w:ascii="宋体" w:hAnsi="宋体" w:eastAsia="宋体" w:cs="宋体"/>
                <w:color w:val="auto"/>
                <w:sz w:val="21"/>
                <w:szCs w:val="21"/>
                <w:highlight w:val="none"/>
              </w:rPr>
            </w:pPr>
          </w:p>
        </w:tc>
        <w:tc>
          <w:tcPr>
            <w:tcW w:w="662" w:type="pct"/>
            <w:noWrap w:val="0"/>
            <w:vAlign w:val="center"/>
          </w:tcPr>
          <w:p w14:paraId="3EA82F92">
            <w:pPr>
              <w:spacing w:line="400" w:lineRule="exact"/>
              <w:jc w:val="center"/>
              <w:rPr>
                <w:rFonts w:hint="eastAsia" w:ascii="宋体" w:hAnsi="宋体" w:eastAsia="宋体" w:cs="宋体"/>
                <w:color w:val="auto"/>
                <w:sz w:val="21"/>
                <w:szCs w:val="21"/>
                <w:highlight w:val="none"/>
              </w:rPr>
            </w:pPr>
          </w:p>
        </w:tc>
        <w:tc>
          <w:tcPr>
            <w:tcW w:w="937" w:type="pct"/>
            <w:noWrap w:val="0"/>
            <w:vAlign w:val="center"/>
          </w:tcPr>
          <w:p w14:paraId="71F47A93">
            <w:pPr>
              <w:spacing w:line="400" w:lineRule="exact"/>
              <w:jc w:val="center"/>
              <w:rPr>
                <w:rFonts w:hint="eastAsia" w:ascii="宋体" w:hAnsi="宋体" w:eastAsia="宋体" w:cs="宋体"/>
                <w:color w:val="auto"/>
                <w:sz w:val="21"/>
                <w:szCs w:val="21"/>
                <w:highlight w:val="none"/>
              </w:rPr>
            </w:pPr>
          </w:p>
        </w:tc>
        <w:tc>
          <w:tcPr>
            <w:tcW w:w="950" w:type="pct"/>
            <w:noWrap w:val="0"/>
            <w:vAlign w:val="center"/>
          </w:tcPr>
          <w:p w14:paraId="7F2D591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2E27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0" w:type="pct"/>
            <w:noWrap w:val="0"/>
            <w:vAlign w:val="center"/>
          </w:tcPr>
          <w:p w14:paraId="76B88B08">
            <w:pPr>
              <w:pStyle w:val="169"/>
              <w:numPr>
                <w:ilvl w:val="0"/>
                <w:numId w:val="94"/>
              </w:numPr>
              <w:spacing w:line="400" w:lineRule="exact"/>
              <w:ind w:firstLineChars="0"/>
              <w:jc w:val="center"/>
              <w:rPr>
                <w:rFonts w:hint="eastAsia" w:ascii="宋体" w:hAnsi="宋体" w:eastAsia="宋体" w:cs="宋体"/>
                <w:color w:val="auto"/>
                <w:sz w:val="21"/>
                <w:szCs w:val="21"/>
                <w:highlight w:val="none"/>
              </w:rPr>
            </w:pPr>
          </w:p>
        </w:tc>
        <w:tc>
          <w:tcPr>
            <w:tcW w:w="721" w:type="pct"/>
            <w:noWrap w:val="0"/>
            <w:vAlign w:val="center"/>
          </w:tcPr>
          <w:p w14:paraId="39A44FC6">
            <w:pPr>
              <w:spacing w:line="400" w:lineRule="exact"/>
              <w:jc w:val="center"/>
              <w:rPr>
                <w:rFonts w:hint="eastAsia" w:ascii="宋体" w:hAnsi="宋体" w:eastAsia="宋体" w:cs="宋体"/>
                <w:color w:val="auto"/>
                <w:sz w:val="21"/>
                <w:szCs w:val="21"/>
                <w:highlight w:val="none"/>
              </w:rPr>
            </w:pPr>
          </w:p>
        </w:tc>
        <w:tc>
          <w:tcPr>
            <w:tcW w:w="681" w:type="pct"/>
            <w:noWrap w:val="0"/>
            <w:vAlign w:val="center"/>
          </w:tcPr>
          <w:p w14:paraId="7E4E8E41">
            <w:pPr>
              <w:spacing w:line="400" w:lineRule="exact"/>
              <w:jc w:val="center"/>
              <w:rPr>
                <w:rFonts w:hint="eastAsia" w:ascii="宋体" w:hAnsi="宋体" w:eastAsia="宋体" w:cs="宋体"/>
                <w:color w:val="auto"/>
                <w:sz w:val="21"/>
                <w:szCs w:val="21"/>
                <w:highlight w:val="none"/>
              </w:rPr>
            </w:pPr>
          </w:p>
        </w:tc>
        <w:tc>
          <w:tcPr>
            <w:tcW w:w="736" w:type="pct"/>
            <w:noWrap w:val="0"/>
            <w:vAlign w:val="center"/>
          </w:tcPr>
          <w:p w14:paraId="74A1DA9A">
            <w:pPr>
              <w:spacing w:line="400" w:lineRule="exact"/>
              <w:jc w:val="center"/>
              <w:rPr>
                <w:rFonts w:hint="eastAsia" w:ascii="宋体" w:hAnsi="宋体" w:eastAsia="宋体" w:cs="宋体"/>
                <w:color w:val="auto"/>
                <w:sz w:val="21"/>
                <w:szCs w:val="21"/>
                <w:highlight w:val="none"/>
              </w:rPr>
            </w:pPr>
          </w:p>
        </w:tc>
        <w:tc>
          <w:tcPr>
            <w:tcW w:w="662" w:type="pct"/>
            <w:noWrap w:val="0"/>
            <w:vAlign w:val="center"/>
          </w:tcPr>
          <w:p w14:paraId="5633890B">
            <w:pPr>
              <w:spacing w:line="400" w:lineRule="exact"/>
              <w:jc w:val="center"/>
              <w:rPr>
                <w:rFonts w:hint="eastAsia" w:ascii="宋体" w:hAnsi="宋体" w:eastAsia="宋体" w:cs="宋体"/>
                <w:color w:val="auto"/>
                <w:sz w:val="21"/>
                <w:szCs w:val="21"/>
                <w:highlight w:val="none"/>
              </w:rPr>
            </w:pPr>
          </w:p>
        </w:tc>
        <w:tc>
          <w:tcPr>
            <w:tcW w:w="937" w:type="pct"/>
            <w:noWrap w:val="0"/>
            <w:vAlign w:val="center"/>
          </w:tcPr>
          <w:p w14:paraId="657EE774">
            <w:pPr>
              <w:spacing w:line="400" w:lineRule="exact"/>
              <w:jc w:val="center"/>
              <w:rPr>
                <w:rFonts w:hint="eastAsia" w:ascii="宋体" w:hAnsi="宋体" w:eastAsia="宋体" w:cs="宋体"/>
                <w:color w:val="auto"/>
                <w:sz w:val="21"/>
                <w:szCs w:val="21"/>
                <w:highlight w:val="none"/>
              </w:rPr>
            </w:pPr>
          </w:p>
        </w:tc>
        <w:tc>
          <w:tcPr>
            <w:tcW w:w="950" w:type="pct"/>
            <w:noWrap w:val="0"/>
            <w:vAlign w:val="center"/>
          </w:tcPr>
          <w:p w14:paraId="67BF949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4B646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0" w:type="pct"/>
            <w:noWrap w:val="0"/>
            <w:vAlign w:val="center"/>
          </w:tcPr>
          <w:p w14:paraId="41722CFC">
            <w:pPr>
              <w:pStyle w:val="169"/>
              <w:numPr>
                <w:ilvl w:val="0"/>
                <w:numId w:val="94"/>
              </w:numPr>
              <w:spacing w:line="400" w:lineRule="exact"/>
              <w:ind w:firstLineChars="0"/>
              <w:jc w:val="center"/>
              <w:rPr>
                <w:rFonts w:hint="eastAsia" w:ascii="宋体" w:hAnsi="宋体" w:eastAsia="宋体" w:cs="宋体"/>
                <w:color w:val="auto"/>
                <w:sz w:val="21"/>
                <w:szCs w:val="21"/>
                <w:highlight w:val="none"/>
              </w:rPr>
            </w:pPr>
          </w:p>
        </w:tc>
        <w:tc>
          <w:tcPr>
            <w:tcW w:w="721" w:type="pct"/>
            <w:noWrap w:val="0"/>
            <w:vAlign w:val="center"/>
          </w:tcPr>
          <w:p w14:paraId="04E5F56A">
            <w:pPr>
              <w:spacing w:line="400" w:lineRule="exact"/>
              <w:jc w:val="center"/>
              <w:rPr>
                <w:rFonts w:hint="eastAsia" w:ascii="宋体" w:hAnsi="宋体" w:eastAsia="宋体" w:cs="宋体"/>
                <w:color w:val="auto"/>
                <w:sz w:val="21"/>
                <w:szCs w:val="21"/>
                <w:highlight w:val="none"/>
              </w:rPr>
            </w:pPr>
          </w:p>
        </w:tc>
        <w:tc>
          <w:tcPr>
            <w:tcW w:w="681" w:type="pct"/>
            <w:noWrap w:val="0"/>
            <w:vAlign w:val="center"/>
          </w:tcPr>
          <w:p w14:paraId="5A6D1872">
            <w:pPr>
              <w:spacing w:line="400" w:lineRule="exact"/>
              <w:jc w:val="center"/>
              <w:rPr>
                <w:rFonts w:hint="eastAsia" w:ascii="宋体" w:hAnsi="宋体" w:eastAsia="宋体" w:cs="宋体"/>
                <w:color w:val="auto"/>
                <w:sz w:val="21"/>
                <w:szCs w:val="21"/>
                <w:highlight w:val="none"/>
              </w:rPr>
            </w:pPr>
          </w:p>
        </w:tc>
        <w:tc>
          <w:tcPr>
            <w:tcW w:w="736" w:type="pct"/>
            <w:noWrap w:val="0"/>
            <w:vAlign w:val="center"/>
          </w:tcPr>
          <w:p w14:paraId="38DA36D3">
            <w:pPr>
              <w:spacing w:line="400" w:lineRule="exact"/>
              <w:jc w:val="center"/>
              <w:rPr>
                <w:rFonts w:hint="eastAsia" w:ascii="宋体" w:hAnsi="宋体" w:eastAsia="宋体" w:cs="宋体"/>
                <w:color w:val="auto"/>
                <w:sz w:val="21"/>
                <w:szCs w:val="21"/>
                <w:highlight w:val="none"/>
              </w:rPr>
            </w:pPr>
          </w:p>
        </w:tc>
        <w:tc>
          <w:tcPr>
            <w:tcW w:w="662" w:type="pct"/>
            <w:noWrap w:val="0"/>
            <w:vAlign w:val="center"/>
          </w:tcPr>
          <w:p w14:paraId="541AFDF7">
            <w:pPr>
              <w:spacing w:line="400" w:lineRule="exact"/>
              <w:jc w:val="center"/>
              <w:rPr>
                <w:rFonts w:hint="eastAsia" w:ascii="宋体" w:hAnsi="宋体" w:eastAsia="宋体" w:cs="宋体"/>
                <w:color w:val="auto"/>
                <w:sz w:val="21"/>
                <w:szCs w:val="21"/>
                <w:highlight w:val="none"/>
              </w:rPr>
            </w:pPr>
          </w:p>
        </w:tc>
        <w:tc>
          <w:tcPr>
            <w:tcW w:w="937" w:type="pct"/>
            <w:noWrap w:val="0"/>
            <w:vAlign w:val="center"/>
          </w:tcPr>
          <w:p w14:paraId="05F37405">
            <w:pPr>
              <w:spacing w:line="400" w:lineRule="exact"/>
              <w:jc w:val="center"/>
              <w:rPr>
                <w:rFonts w:hint="eastAsia" w:ascii="宋体" w:hAnsi="宋体" w:eastAsia="宋体" w:cs="宋体"/>
                <w:color w:val="auto"/>
                <w:sz w:val="21"/>
                <w:szCs w:val="21"/>
                <w:highlight w:val="none"/>
              </w:rPr>
            </w:pPr>
          </w:p>
        </w:tc>
        <w:tc>
          <w:tcPr>
            <w:tcW w:w="950" w:type="pct"/>
            <w:noWrap w:val="0"/>
            <w:vAlign w:val="center"/>
          </w:tcPr>
          <w:p w14:paraId="67D0B35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44CC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00" w:type="pct"/>
            <w:gridSpan w:val="7"/>
            <w:noWrap w:val="0"/>
            <w:vAlign w:val="center"/>
          </w:tcPr>
          <w:p w14:paraId="5A2B45F3">
            <w:pPr>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个业绩</w:t>
            </w:r>
          </w:p>
        </w:tc>
      </w:tr>
    </w:tbl>
    <w:p w14:paraId="3E8EB464">
      <w:pPr>
        <w:snapToGrid w:val="0"/>
        <w:spacing w:line="360" w:lineRule="auto"/>
        <w:ind w:left="611" w:leftChars="-14" w:hanging="640" w:hangingChars="305"/>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备注：</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遴选文件</w:t>
      </w:r>
      <w:r>
        <w:rPr>
          <w:rFonts w:hint="eastAsia" w:ascii="宋体" w:hAnsi="宋体" w:eastAsia="宋体" w:cs="宋体"/>
          <w:color w:val="auto"/>
          <w:sz w:val="21"/>
          <w:szCs w:val="21"/>
          <w:highlight w:val="none"/>
        </w:rPr>
        <w:t>要求提交相关证明材料。</w:t>
      </w:r>
    </w:p>
    <w:p w14:paraId="36CC077C">
      <w:pP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olor w:val="auto"/>
          <w:sz w:val="21"/>
          <w:szCs w:val="21"/>
          <w:highlight w:val="none"/>
        </w:rPr>
      </w:pPr>
    </w:p>
    <w:p w14:paraId="3C63B593">
      <w:pPr>
        <w:spacing w:line="500" w:lineRule="exact"/>
        <w:rPr>
          <w:rFonts w:hint="eastAsia" w:ascii="宋体" w:hAnsi="宋体" w:eastAsia="宋体" w:cs="宋体"/>
          <w:color w:val="auto"/>
          <w:sz w:val="21"/>
          <w:szCs w:val="21"/>
          <w:highlight w:val="none"/>
        </w:rPr>
      </w:pPr>
    </w:p>
    <w:p w14:paraId="1CB2FAE9">
      <w:pPr>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pacing w:val="4"/>
          <w:sz w:val="21"/>
          <w:szCs w:val="21"/>
          <w:highlight w:val="none"/>
          <w:lang w:eastAsia="zh-CN"/>
        </w:rPr>
        <w:t>参选人</w:t>
      </w:r>
      <w:r>
        <w:rPr>
          <w:rFonts w:hint="eastAsia" w:ascii="宋体" w:hAnsi="宋体" w:eastAsia="宋体" w:cs="宋体"/>
          <w:color w:val="auto"/>
          <w:spacing w:val="4"/>
          <w:sz w:val="21"/>
          <w:szCs w:val="21"/>
          <w:highlight w:val="none"/>
        </w:rPr>
        <w:t>名称（盖公章）：</w:t>
      </w:r>
      <w:r>
        <w:rPr>
          <w:rFonts w:hint="eastAsia" w:ascii="宋体" w:hAnsi="宋体" w:eastAsia="宋体" w:cs="宋体"/>
          <w:color w:val="auto"/>
          <w:spacing w:val="4"/>
          <w:sz w:val="21"/>
          <w:szCs w:val="21"/>
          <w:highlight w:val="none"/>
          <w:u w:val="single"/>
        </w:rPr>
        <w:t xml:space="preserve">                 </w:t>
      </w:r>
    </w:p>
    <w:p w14:paraId="0A9F4A7C">
      <w:pPr>
        <w:spacing w:line="520" w:lineRule="exact"/>
        <w:rPr>
          <w:rFonts w:hint="eastAsia" w:ascii="宋体" w:hAnsi="宋体"/>
          <w:color w:val="auto"/>
          <w:spacing w:val="4"/>
          <w:sz w:val="24"/>
          <w:highlight w:val="none"/>
        </w:rPr>
      </w:pPr>
      <w:r>
        <w:rPr>
          <w:rFonts w:hint="eastAsia" w:ascii="宋体" w:hAnsi="宋体" w:eastAsia="宋体" w:cs="宋体"/>
          <w:color w:val="auto"/>
          <w:spacing w:val="4"/>
          <w:sz w:val="21"/>
          <w:szCs w:val="21"/>
          <w:highlight w:val="none"/>
        </w:rPr>
        <w:t>日期：</w:t>
      </w:r>
      <w:r>
        <w:rPr>
          <w:rFonts w:hint="eastAsia" w:ascii="宋体" w:hAnsi="宋体" w:eastAsia="宋体" w:cs="宋体"/>
          <w:color w:val="auto"/>
          <w:spacing w:val="4"/>
          <w:sz w:val="21"/>
          <w:szCs w:val="21"/>
          <w:highlight w:val="none"/>
          <w:u w:val="single"/>
        </w:rPr>
        <w:t xml:space="preserve">             </w:t>
      </w:r>
    </w:p>
    <w:bookmarkEnd w:id="69"/>
    <w:bookmarkEnd w:id="70"/>
    <w:p w14:paraId="2F5507BA">
      <w:pPr>
        <w:pStyle w:val="3"/>
        <w:spacing w:line="360" w:lineRule="auto"/>
        <w:jc w:val="center"/>
        <w:rPr>
          <w:rFonts w:hint="eastAsia" w:ascii="黑体" w:hAnsi="黑体" w:eastAsia="宋体"/>
          <w:color w:val="auto"/>
          <w:sz w:val="32"/>
          <w:szCs w:val="32"/>
          <w:highlight w:val="none"/>
          <w:lang w:eastAsia="zh-CN"/>
        </w:rPr>
      </w:pPr>
      <w:bookmarkStart w:id="72" w:name="_Toc410736192"/>
      <w:bookmarkStart w:id="73" w:name="_Toc50691042"/>
      <w:bookmarkStart w:id="74" w:name="_Toc52165084"/>
      <w:bookmarkStart w:id="75" w:name="_Toc416771383"/>
      <w:bookmarkStart w:id="76" w:name="_Toc410738991"/>
      <w:bookmarkStart w:id="77" w:name="_Toc50736480"/>
      <w:bookmarkStart w:id="78" w:name="_Toc416770272"/>
      <w:bookmarkStart w:id="79" w:name="_Toc50737300"/>
      <w:bookmarkStart w:id="80" w:name="_Toc50737332"/>
      <w:bookmarkStart w:id="81" w:name="_Toc275865618"/>
      <w:r>
        <w:rPr>
          <w:rFonts w:hAnsi="宋体"/>
          <w:bCs/>
          <w:color w:val="auto"/>
          <w:sz w:val="24"/>
          <w:highlight w:val="none"/>
        </w:rPr>
        <w:br w:type="page"/>
      </w:r>
      <w:r>
        <w:rPr>
          <w:rFonts w:hint="eastAsia" w:ascii="宋体" w:hAnsi="宋体" w:eastAsia="宋体" w:cs="Times New Roman"/>
          <w:color w:val="auto"/>
          <w:highlight w:val="none"/>
        </w:rPr>
        <w:t>拟</w:t>
      </w:r>
      <w:r>
        <w:rPr>
          <w:rFonts w:hint="eastAsia" w:ascii="宋体" w:hAnsi="宋体" w:eastAsia="宋体" w:cs="Times New Roman"/>
          <w:color w:val="auto"/>
          <w:highlight w:val="none"/>
          <w:lang w:val="en-US" w:eastAsia="zh-CN"/>
        </w:rPr>
        <w:t>派</w:t>
      </w:r>
      <w:r>
        <w:rPr>
          <w:rFonts w:hint="eastAsia" w:ascii="宋体" w:hAnsi="宋体" w:eastAsia="宋体" w:cs="Times New Roman"/>
          <w:color w:val="auto"/>
          <w:highlight w:val="none"/>
        </w:rPr>
        <w:t>本项目人员情况一览表</w:t>
      </w:r>
      <w:bookmarkEnd w:id="72"/>
      <w:bookmarkEnd w:id="73"/>
      <w:bookmarkEnd w:id="74"/>
      <w:bookmarkEnd w:id="75"/>
      <w:bookmarkEnd w:id="76"/>
      <w:bookmarkEnd w:id="77"/>
      <w:bookmarkEnd w:id="78"/>
      <w:bookmarkEnd w:id="79"/>
      <w:bookmarkEnd w:id="80"/>
      <w:bookmarkEnd w:id="81"/>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包组号：</w:t>
      </w:r>
      <w:r>
        <w:rPr>
          <w:rFonts w:hint="eastAsia" w:ascii="宋体" w:hAnsi="宋体" w:eastAsia="宋体" w:cs="Times New Roman"/>
          <w:color w:val="auto"/>
          <w:highlight w:val="none"/>
          <w:lang w:eastAsia="zh-CN"/>
        </w:rPr>
        <w:t>）</w:t>
      </w:r>
    </w:p>
    <w:tbl>
      <w:tblPr>
        <w:tblStyle w:val="35"/>
        <w:tblW w:w="45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743"/>
        <w:gridCol w:w="619"/>
        <w:gridCol w:w="774"/>
        <w:gridCol w:w="825"/>
        <w:gridCol w:w="961"/>
        <w:gridCol w:w="1373"/>
        <w:gridCol w:w="1884"/>
      </w:tblGrid>
      <w:tr w14:paraId="08713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47" w:type="pct"/>
            <w:tcBorders>
              <w:top w:val="single" w:color="auto" w:sz="12" w:space="0"/>
              <w:bottom w:val="double" w:color="auto" w:sz="4" w:space="0"/>
            </w:tcBorders>
            <w:shd w:val="clear" w:color="auto" w:fill="EEECE1"/>
            <w:noWrap w:val="0"/>
            <w:vAlign w:val="center"/>
          </w:tcPr>
          <w:p w14:paraId="25CCCD4F">
            <w:pPr>
              <w:snapToGrid w:val="0"/>
              <w:ind w:left="-92" w:leftChars="-44" w:right="-80" w:rightChars="-3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81" w:type="pct"/>
            <w:tcBorders>
              <w:top w:val="single" w:color="auto" w:sz="12" w:space="0"/>
              <w:bottom w:val="double" w:color="auto" w:sz="4" w:space="0"/>
            </w:tcBorders>
            <w:shd w:val="clear" w:color="auto" w:fill="EEECE1"/>
            <w:noWrap w:val="0"/>
            <w:vAlign w:val="center"/>
          </w:tcPr>
          <w:p w14:paraId="1D9329AF">
            <w:pPr>
              <w:snapToGrid w:val="0"/>
              <w:ind w:left="-92" w:leftChars="-44" w:right="-80" w:rightChars="-3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w:t>
            </w:r>
          </w:p>
        </w:tc>
        <w:tc>
          <w:tcPr>
            <w:tcW w:w="401" w:type="pct"/>
            <w:tcBorders>
              <w:top w:val="single" w:color="auto" w:sz="12" w:space="0"/>
              <w:bottom w:val="double" w:color="auto" w:sz="4" w:space="0"/>
            </w:tcBorders>
            <w:shd w:val="clear" w:color="auto" w:fill="EEECE1"/>
            <w:noWrap w:val="0"/>
            <w:vAlign w:val="center"/>
          </w:tcPr>
          <w:p w14:paraId="431FD9AF">
            <w:pPr>
              <w:snapToGrid w:val="0"/>
              <w:ind w:left="-92" w:leftChars="-44" w:right="-80" w:rightChars="-38"/>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专业</w:t>
            </w:r>
          </w:p>
        </w:tc>
        <w:tc>
          <w:tcPr>
            <w:tcW w:w="501" w:type="pct"/>
            <w:tcBorders>
              <w:top w:val="single" w:color="auto" w:sz="12" w:space="0"/>
              <w:bottom w:val="double" w:color="auto" w:sz="4" w:space="0"/>
            </w:tcBorders>
            <w:shd w:val="clear" w:color="auto" w:fill="EEECE1"/>
            <w:noWrap w:val="0"/>
            <w:vAlign w:val="center"/>
          </w:tcPr>
          <w:p w14:paraId="6188B50B">
            <w:pPr>
              <w:snapToGrid w:val="0"/>
              <w:ind w:left="-92" w:leftChars="-44" w:right="-80" w:rightChars="-38"/>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学历</w:t>
            </w:r>
          </w:p>
        </w:tc>
        <w:tc>
          <w:tcPr>
            <w:tcW w:w="534" w:type="pct"/>
            <w:tcBorders>
              <w:top w:val="single" w:color="auto" w:sz="12" w:space="0"/>
              <w:bottom w:val="double" w:color="auto" w:sz="4" w:space="0"/>
            </w:tcBorders>
            <w:shd w:val="clear" w:color="auto" w:fill="EEECE1"/>
            <w:noWrap w:val="0"/>
            <w:vAlign w:val="center"/>
          </w:tcPr>
          <w:p w14:paraId="57C1802A">
            <w:pPr>
              <w:snapToGrid w:val="0"/>
              <w:ind w:left="-92" w:leftChars="-44" w:right="-80" w:rightChars="-38"/>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资格</w:t>
            </w:r>
          </w:p>
        </w:tc>
        <w:tc>
          <w:tcPr>
            <w:tcW w:w="622" w:type="pct"/>
            <w:tcBorders>
              <w:top w:val="single" w:color="auto" w:sz="12" w:space="0"/>
              <w:bottom w:val="double" w:color="auto" w:sz="4" w:space="0"/>
              <w:right w:val="single" w:color="auto" w:sz="4" w:space="0"/>
            </w:tcBorders>
            <w:shd w:val="clear" w:color="auto" w:fill="EEECE1"/>
            <w:noWrap w:val="0"/>
            <w:vAlign w:val="center"/>
          </w:tcPr>
          <w:p w14:paraId="760D2A61">
            <w:pPr>
              <w:snapToGrid w:val="0"/>
              <w:ind w:left="-92" w:leftChars="-44" w:right="-80" w:rightChars="-38"/>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经验</w:t>
            </w:r>
          </w:p>
        </w:tc>
        <w:tc>
          <w:tcPr>
            <w:tcW w:w="889" w:type="pct"/>
            <w:tcBorders>
              <w:top w:val="single" w:color="auto" w:sz="12" w:space="0"/>
              <w:left w:val="single" w:color="auto" w:sz="4" w:space="0"/>
              <w:bottom w:val="double" w:color="auto" w:sz="4" w:space="0"/>
              <w:right w:val="single" w:color="auto" w:sz="6" w:space="0"/>
            </w:tcBorders>
            <w:shd w:val="clear" w:color="auto" w:fill="EEECE1"/>
            <w:noWrap w:val="0"/>
            <w:vAlign w:val="center"/>
          </w:tcPr>
          <w:p w14:paraId="6A63E078">
            <w:pPr>
              <w:snapToGrid w:val="0"/>
              <w:ind w:left="-92" w:leftChars="-44" w:right="-80" w:rightChars="-3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承担工作内容</w:t>
            </w:r>
          </w:p>
        </w:tc>
        <w:tc>
          <w:tcPr>
            <w:tcW w:w="1220" w:type="pct"/>
            <w:tcBorders>
              <w:top w:val="single" w:color="auto" w:sz="12" w:space="0"/>
              <w:left w:val="single" w:color="auto" w:sz="6" w:space="0"/>
              <w:bottom w:val="double" w:color="auto" w:sz="4" w:space="0"/>
            </w:tcBorders>
            <w:shd w:val="clear" w:color="auto" w:fill="EEECE1"/>
            <w:noWrap w:val="0"/>
            <w:vAlign w:val="center"/>
          </w:tcPr>
          <w:p w14:paraId="2134A5DB">
            <w:pPr>
              <w:snapToGrid w:val="0"/>
              <w:ind w:left="-92" w:leftChars="-44" w:right="-80" w:rightChars="-3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查阅/证明文件指引</w:t>
            </w:r>
          </w:p>
        </w:tc>
      </w:tr>
      <w:tr w14:paraId="20034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47" w:type="pct"/>
            <w:tcBorders>
              <w:top w:val="double" w:color="auto" w:sz="4" w:space="0"/>
            </w:tcBorders>
            <w:noWrap w:val="0"/>
            <w:vAlign w:val="center"/>
          </w:tcPr>
          <w:p w14:paraId="5AEEDBCA">
            <w:pPr>
              <w:pStyle w:val="169"/>
              <w:numPr>
                <w:ilvl w:val="0"/>
                <w:numId w:val="95"/>
              </w:numPr>
              <w:spacing w:line="400" w:lineRule="exact"/>
              <w:ind w:firstLineChars="0"/>
              <w:jc w:val="center"/>
              <w:rPr>
                <w:rFonts w:hint="eastAsia" w:ascii="宋体" w:hAnsi="宋体" w:eastAsia="宋体" w:cs="宋体"/>
                <w:color w:val="auto"/>
                <w:sz w:val="21"/>
                <w:szCs w:val="21"/>
                <w:highlight w:val="none"/>
              </w:rPr>
            </w:pPr>
          </w:p>
        </w:tc>
        <w:tc>
          <w:tcPr>
            <w:tcW w:w="481" w:type="pct"/>
            <w:tcBorders>
              <w:top w:val="double" w:color="auto" w:sz="4" w:space="0"/>
            </w:tcBorders>
            <w:noWrap w:val="0"/>
            <w:vAlign w:val="center"/>
          </w:tcPr>
          <w:p w14:paraId="2C7D38F5">
            <w:pPr>
              <w:spacing w:line="400" w:lineRule="exact"/>
              <w:jc w:val="center"/>
              <w:rPr>
                <w:rFonts w:hint="eastAsia" w:ascii="宋体" w:hAnsi="宋体" w:eastAsia="宋体" w:cs="宋体"/>
                <w:color w:val="auto"/>
                <w:sz w:val="21"/>
                <w:szCs w:val="21"/>
                <w:highlight w:val="none"/>
              </w:rPr>
            </w:pPr>
          </w:p>
        </w:tc>
        <w:tc>
          <w:tcPr>
            <w:tcW w:w="401" w:type="pct"/>
            <w:tcBorders>
              <w:top w:val="double" w:color="auto" w:sz="4" w:space="0"/>
            </w:tcBorders>
            <w:noWrap w:val="0"/>
            <w:vAlign w:val="center"/>
          </w:tcPr>
          <w:p w14:paraId="464939F0">
            <w:pPr>
              <w:spacing w:line="400" w:lineRule="exact"/>
              <w:jc w:val="center"/>
              <w:rPr>
                <w:rFonts w:hint="eastAsia" w:ascii="宋体" w:hAnsi="宋体" w:eastAsia="宋体" w:cs="宋体"/>
                <w:color w:val="auto"/>
                <w:sz w:val="21"/>
                <w:szCs w:val="21"/>
                <w:highlight w:val="none"/>
              </w:rPr>
            </w:pPr>
          </w:p>
        </w:tc>
        <w:tc>
          <w:tcPr>
            <w:tcW w:w="501" w:type="pct"/>
            <w:tcBorders>
              <w:top w:val="double" w:color="auto" w:sz="4" w:space="0"/>
            </w:tcBorders>
            <w:noWrap w:val="0"/>
            <w:vAlign w:val="center"/>
          </w:tcPr>
          <w:p w14:paraId="07E8CC62">
            <w:pPr>
              <w:spacing w:line="400" w:lineRule="exact"/>
              <w:jc w:val="center"/>
              <w:rPr>
                <w:rFonts w:hint="eastAsia" w:ascii="宋体" w:hAnsi="宋体" w:eastAsia="宋体" w:cs="宋体"/>
                <w:color w:val="auto"/>
                <w:sz w:val="21"/>
                <w:szCs w:val="21"/>
                <w:highlight w:val="none"/>
              </w:rPr>
            </w:pPr>
          </w:p>
        </w:tc>
        <w:tc>
          <w:tcPr>
            <w:tcW w:w="534" w:type="pct"/>
            <w:tcBorders>
              <w:top w:val="double" w:color="auto" w:sz="4" w:space="0"/>
            </w:tcBorders>
            <w:noWrap w:val="0"/>
            <w:vAlign w:val="center"/>
          </w:tcPr>
          <w:p w14:paraId="49756F18">
            <w:pPr>
              <w:spacing w:line="400" w:lineRule="exact"/>
              <w:jc w:val="center"/>
              <w:rPr>
                <w:rFonts w:hint="eastAsia" w:ascii="宋体" w:hAnsi="宋体" w:eastAsia="宋体" w:cs="宋体"/>
                <w:color w:val="auto"/>
                <w:sz w:val="21"/>
                <w:szCs w:val="21"/>
                <w:highlight w:val="none"/>
              </w:rPr>
            </w:pPr>
          </w:p>
        </w:tc>
        <w:tc>
          <w:tcPr>
            <w:tcW w:w="622" w:type="pct"/>
            <w:tcBorders>
              <w:top w:val="double" w:color="auto" w:sz="4" w:space="0"/>
              <w:right w:val="single" w:color="auto" w:sz="4" w:space="0"/>
            </w:tcBorders>
            <w:noWrap w:val="0"/>
            <w:vAlign w:val="center"/>
          </w:tcPr>
          <w:p w14:paraId="2B55DF9C">
            <w:pPr>
              <w:spacing w:line="400" w:lineRule="exact"/>
              <w:jc w:val="center"/>
              <w:rPr>
                <w:rFonts w:hint="eastAsia" w:ascii="宋体" w:hAnsi="宋体" w:eastAsia="宋体" w:cs="宋体"/>
                <w:color w:val="auto"/>
                <w:sz w:val="21"/>
                <w:szCs w:val="21"/>
                <w:highlight w:val="none"/>
              </w:rPr>
            </w:pPr>
          </w:p>
        </w:tc>
        <w:tc>
          <w:tcPr>
            <w:tcW w:w="889" w:type="pct"/>
            <w:tcBorders>
              <w:top w:val="double" w:color="auto" w:sz="4" w:space="0"/>
              <w:left w:val="single" w:color="auto" w:sz="4" w:space="0"/>
              <w:right w:val="single" w:color="auto" w:sz="6" w:space="0"/>
            </w:tcBorders>
            <w:noWrap w:val="0"/>
            <w:vAlign w:val="center"/>
          </w:tcPr>
          <w:p w14:paraId="58998E27">
            <w:pPr>
              <w:spacing w:line="400" w:lineRule="exact"/>
              <w:jc w:val="center"/>
              <w:rPr>
                <w:rFonts w:hint="eastAsia" w:ascii="宋体" w:hAnsi="宋体" w:eastAsia="宋体" w:cs="宋体"/>
                <w:color w:val="auto"/>
                <w:sz w:val="21"/>
                <w:szCs w:val="21"/>
                <w:highlight w:val="none"/>
              </w:rPr>
            </w:pPr>
          </w:p>
        </w:tc>
        <w:tc>
          <w:tcPr>
            <w:tcW w:w="1220" w:type="pct"/>
            <w:tcBorders>
              <w:top w:val="double" w:color="auto" w:sz="4" w:space="0"/>
              <w:left w:val="single" w:color="auto" w:sz="6" w:space="0"/>
            </w:tcBorders>
            <w:noWrap w:val="0"/>
            <w:vAlign w:val="center"/>
          </w:tcPr>
          <w:p w14:paraId="3D2F670E">
            <w:pPr>
              <w:snapToGrid w:val="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4CBA9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47" w:type="pct"/>
            <w:noWrap w:val="0"/>
            <w:vAlign w:val="center"/>
          </w:tcPr>
          <w:p w14:paraId="157894EC">
            <w:pPr>
              <w:pStyle w:val="169"/>
              <w:numPr>
                <w:ilvl w:val="0"/>
                <w:numId w:val="95"/>
              </w:numPr>
              <w:spacing w:line="400" w:lineRule="exact"/>
              <w:ind w:firstLineChars="0"/>
              <w:jc w:val="center"/>
              <w:rPr>
                <w:rFonts w:hint="eastAsia" w:ascii="宋体" w:hAnsi="宋体" w:eastAsia="宋体" w:cs="宋体"/>
                <w:color w:val="auto"/>
                <w:sz w:val="21"/>
                <w:szCs w:val="21"/>
                <w:highlight w:val="none"/>
              </w:rPr>
            </w:pPr>
          </w:p>
        </w:tc>
        <w:tc>
          <w:tcPr>
            <w:tcW w:w="481" w:type="pct"/>
            <w:noWrap w:val="0"/>
            <w:vAlign w:val="center"/>
          </w:tcPr>
          <w:p w14:paraId="247C6596">
            <w:pPr>
              <w:spacing w:line="400" w:lineRule="exact"/>
              <w:jc w:val="center"/>
              <w:rPr>
                <w:rFonts w:hint="eastAsia" w:ascii="宋体" w:hAnsi="宋体" w:eastAsia="宋体" w:cs="宋体"/>
                <w:color w:val="auto"/>
                <w:sz w:val="21"/>
                <w:szCs w:val="21"/>
                <w:highlight w:val="none"/>
              </w:rPr>
            </w:pPr>
          </w:p>
        </w:tc>
        <w:tc>
          <w:tcPr>
            <w:tcW w:w="401" w:type="pct"/>
            <w:noWrap w:val="0"/>
            <w:vAlign w:val="center"/>
          </w:tcPr>
          <w:p w14:paraId="58458F36">
            <w:pPr>
              <w:spacing w:line="400" w:lineRule="exact"/>
              <w:jc w:val="center"/>
              <w:rPr>
                <w:rFonts w:hint="eastAsia" w:ascii="宋体" w:hAnsi="宋体" w:eastAsia="宋体" w:cs="宋体"/>
                <w:color w:val="auto"/>
                <w:sz w:val="21"/>
                <w:szCs w:val="21"/>
                <w:highlight w:val="none"/>
              </w:rPr>
            </w:pPr>
          </w:p>
        </w:tc>
        <w:tc>
          <w:tcPr>
            <w:tcW w:w="501" w:type="pct"/>
            <w:noWrap w:val="0"/>
            <w:vAlign w:val="center"/>
          </w:tcPr>
          <w:p w14:paraId="6000A6FD">
            <w:pPr>
              <w:spacing w:line="400" w:lineRule="exact"/>
              <w:jc w:val="center"/>
              <w:rPr>
                <w:rFonts w:hint="eastAsia" w:ascii="宋体" w:hAnsi="宋体" w:eastAsia="宋体" w:cs="宋体"/>
                <w:color w:val="auto"/>
                <w:sz w:val="21"/>
                <w:szCs w:val="21"/>
                <w:highlight w:val="none"/>
              </w:rPr>
            </w:pPr>
          </w:p>
        </w:tc>
        <w:tc>
          <w:tcPr>
            <w:tcW w:w="534" w:type="pct"/>
            <w:noWrap w:val="0"/>
            <w:vAlign w:val="center"/>
          </w:tcPr>
          <w:p w14:paraId="74BF0C28">
            <w:pPr>
              <w:spacing w:line="400" w:lineRule="exact"/>
              <w:jc w:val="center"/>
              <w:rPr>
                <w:rFonts w:hint="eastAsia" w:ascii="宋体" w:hAnsi="宋体" w:eastAsia="宋体" w:cs="宋体"/>
                <w:color w:val="auto"/>
                <w:sz w:val="21"/>
                <w:szCs w:val="21"/>
                <w:highlight w:val="none"/>
              </w:rPr>
            </w:pPr>
          </w:p>
        </w:tc>
        <w:tc>
          <w:tcPr>
            <w:tcW w:w="622" w:type="pct"/>
            <w:tcBorders>
              <w:right w:val="single" w:color="auto" w:sz="4" w:space="0"/>
            </w:tcBorders>
            <w:noWrap w:val="0"/>
            <w:vAlign w:val="center"/>
          </w:tcPr>
          <w:p w14:paraId="56B16DFA">
            <w:pPr>
              <w:spacing w:line="400" w:lineRule="exact"/>
              <w:jc w:val="center"/>
              <w:rPr>
                <w:rFonts w:hint="eastAsia" w:ascii="宋体" w:hAnsi="宋体" w:eastAsia="宋体" w:cs="宋体"/>
                <w:color w:val="auto"/>
                <w:sz w:val="21"/>
                <w:szCs w:val="21"/>
                <w:highlight w:val="none"/>
              </w:rPr>
            </w:pPr>
          </w:p>
        </w:tc>
        <w:tc>
          <w:tcPr>
            <w:tcW w:w="889" w:type="pct"/>
            <w:tcBorders>
              <w:left w:val="single" w:color="auto" w:sz="4" w:space="0"/>
              <w:right w:val="single" w:color="auto" w:sz="6" w:space="0"/>
            </w:tcBorders>
            <w:noWrap w:val="0"/>
            <w:vAlign w:val="center"/>
          </w:tcPr>
          <w:p w14:paraId="433DC264">
            <w:pPr>
              <w:spacing w:line="400" w:lineRule="exact"/>
              <w:jc w:val="center"/>
              <w:rPr>
                <w:rFonts w:hint="eastAsia" w:ascii="宋体" w:hAnsi="宋体" w:eastAsia="宋体" w:cs="宋体"/>
                <w:color w:val="auto"/>
                <w:sz w:val="21"/>
                <w:szCs w:val="21"/>
                <w:highlight w:val="none"/>
              </w:rPr>
            </w:pPr>
          </w:p>
        </w:tc>
        <w:tc>
          <w:tcPr>
            <w:tcW w:w="1220" w:type="pct"/>
            <w:tcBorders>
              <w:left w:val="single" w:color="auto" w:sz="6" w:space="0"/>
            </w:tcBorders>
            <w:noWrap w:val="0"/>
            <w:vAlign w:val="center"/>
          </w:tcPr>
          <w:p w14:paraId="378BD27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3F582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47" w:type="pct"/>
            <w:noWrap w:val="0"/>
            <w:vAlign w:val="center"/>
          </w:tcPr>
          <w:p w14:paraId="63E8FCEC">
            <w:pPr>
              <w:pStyle w:val="169"/>
              <w:numPr>
                <w:ilvl w:val="0"/>
                <w:numId w:val="95"/>
              </w:numPr>
              <w:spacing w:line="400" w:lineRule="exact"/>
              <w:ind w:firstLineChars="0"/>
              <w:jc w:val="center"/>
              <w:rPr>
                <w:rFonts w:hint="eastAsia" w:ascii="宋体" w:hAnsi="宋体" w:eastAsia="宋体" w:cs="宋体"/>
                <w:color w:val="auto"/>
                <w:sz w:val="21"/>
                <w:szCs w:val="21"/>
                <w:highlight w:val="none"/>
              </w:rPr>
            </w:pPr>
          </w:p>
        </w:tc>
        <w:tc>
          <w:tcPr>
            <w:tcW w:w="481" w:type="pct"/>
            <w:noWrap w:val="0"/>
            <w:vAlign w:val="center"/>
          </w:tcPr>
          <w:p w14:paraId="699410F2">
            <w:pPr>
              <w:spacing w:line="400" w:lineRule="exact"/>
              <w:jc w:val="center"/>
              <w:rPr>
                <w:rFonts w:hint="eastAsia" w:ascii="宋体" w:hAnsi="宋体" w:eastAsia="宋体" w:cs="宋体"/>
                <w:color w:val="auto"/>
                <w:sz w:val="21"/>
                <w:szCs w:val="21"/>
                <w:highlight w:val="none"/>
              </w:rPr>
            </w:pPr>
          </w:p>
        </w:tc>
        <w:tc>
          <w:tcPr>
            <w:tcW w:w="401" w:type="pct"/>
            <w:noWrap w:val="0"/>
            <w:vAlign w:val="center"/>
          </w:tcPr>
          <w:p w14:paraId="7B05D521">
            <w:pPr>
              <w:spacing w:line="400" w:lineRule="exact"/>
              <w:jc w:val="center"/>
              <w:rPr>
                <w:rFonts w:hint="eastAsia" w:ascii="宋体" w:hAnsi="宋体" w:eastAsia="宋体" w:cs="宋体"/>
                <w:color w:val="auto"/>
                <w:sz w:val="21"/>
                <w:szCs w:val="21"/>
                <w:highlight w:val="none"/>
              </w:rPr>
            </w:pPr>
          </w:p>
        </w:tc>
        <w:tc>
          <w:tcPr>
            <w:tcW w:w="501" w:type="pct"/>
            <w:noWrap w:val="0"/>
            <w:vAlign w:val="center"/>
          </w:tcPr>
          <w:p w14:paraId="36D332C5">
            <w:pPr>
              <w:spacing w:line="400" w:lineRule="exact"/>
              <w:jc w:val="center"/>
              <w:rPr>
                <w:rFonts w:hint="eastAsia" w:ascii="宋体" w:hAnsi="宋体" w:eastAsia="宋体" w:cs="宋体"/>
                <w:color w:val="auto"/>
                <w:sz w:val="21"/>
                <w:szCs w:val="21"/>
                <w:highlight w:val="none"/>
              </w:rPr>
            </w:pPr>
          </w:p>
        </w:tc>
        <w:tc>
          <w:tcPr>
            <w:tcW w:w="534" w:type="pct"/>
            <w:noWrap w:val="0"/>
            <w:vAlign w:val="center"/>
          </w:tcPr>
          <w:p w14:paraId="76E80A30">
            <w:pPr>
              <w:spacing w:line="400" w:lineRule="exact"/>
              <w:jc w:val="center"/>
              <w:rPr>
                <w:rFonts w:hint="eastAsia" w:ascii="宋体" w:hAnsi="宋体" w:eastAsia="宋体" w:cs="宋体"/>
                <w:color w:val="auto"/>
                <w:sz w:val="21"/>
                <w:szCs w:val="21"/>
                <w:highlight w:val="none"/>
              </w:rPr>
            </w:pPr>
          </w:p>
        </w:tc>
        <w:tc>
          <w:tcPr>
            <w:tcW w:w="622" w:type="pct"/>
            <w:tcBorders>
              <w:right w:val="single" w:color="auto" w:sz="4" w:space="0"/>
            </w:tcBorders>
            <w:noWrap w:val="0"/>
            <w:vAlign w:val="center"/>
          </w:tcPr>
          <w:p w14:paraId="52F89E7B">
            <w:pPr>
              <w:spacing w:line="400" w:lineRule="exact"/>
              <w:jc w:val="center"/>
              <w:rPr>
                <w:rFonts w:hint="eastAsia" w:ascii="宋体" w:hAnsi="宋体" w:eastAsia="宋体" w:cs="宋体"/>
                <w:color w:val="auto"/>
                <w:sz w:val="21"/>
                <w:szCs w:val="21"/>
                <w:highlight w:val="none"/>
              </w:rPr>
            </w:pPr>
          </w:p>
        </w:tc>
        <w:tc>
          <w:tcPr>
            <w:tcW w:w="889" w:type="pct"/>
            <w:tcBorders>
              <w:left w:val="single" w:color="auto" w:sz="4" w:space="0"/>
              <w:right w:val="single" w:color="auto" w:sz="6" w:space="0"/>
            </w:tcBorders>
            <w:noWrap w:val="0"/>
            <w:vAlign w:val="center"/>
          </w:tcPr>
          <w:p w14:paraId="64F857C7">
            <w:pPr>
              <w:spacing w:line="400" w:lineRule="exact"/>
              <w:jc w:val="center"/>
              <w:rPr>
                <w:rFonts w:hint="eastAsia" w:ascii="宋体" w:hAnsi="宋体" w:eastAsia="宋体" w:cs="宋体"/>
                <w:color w:val="auto"/>
                <w:sz w:val="21"/>
                <w:szCs w:val="21"/>
                <w:highlight w:val="none"/>
              </w:rPr>
            </w:pPr>
          </w:p>
        </w:tc>
        <w:tc>
          <w:tcPr>
            <w:tcW w:w="1220" w:type="pct"/>
            <w:tcBorders>
              <w:left w:val="single" w:color="auto" w:sz="6" w:space="0"/>
            </w:tcBorders>
            <w:noWrap w:val="0"/>
            <w:vAlign w:val="center"/>
          </w:tcPr>
          <w:p w14:paraId="765F8A0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3C2855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47" w:type="pct"/>
            <w:noWrap w:val="0"/>
            <w:vAlign w:val="center"/>
          </w:tcPr>
          <w:p w14:paraId="777D8E40">
            <w:pPr>
              <w:pStyle w:val="169"/>
              <w:numPr>
                <w:ilvl w:val="0"/>
                <w:numId w:val="95"/>
              </w:numPr>
              <w:spacing w:line="400" w:lineRule="exact"/>
              <w:ind w:firstLineChars="0"/>
              <w:jc w:val="center"/>
              <w:rPr>
                <w:rFonts w:hint="eastAsia" w:ascii="宋体" w:hAnsi="宋体" w:eastAsia="宋体" w:cs="宋体"/>
                <w:color w:val="auto"/>
                <w:sz w:val="21"/>
                <w:szCs w:val="21"/>
                <w:highlight w:val="none"/>
              </w:rPr>
            </w:pPr>
          </w:p>
        </w:tc>
        <w:tc>
          <w:tcPr>
            <w:tcW w:w="481" w:type="pct"/>
            <w:noWrap w:val="0"/>
            <w:vAlign w:val="center"/>
          </w:tcPr>
          <w:p w14:paraId="18114A8C">
            <w:pPr>
              <w:spacing w:line="400" w:lineRule="exact"/>
              <w:jc w:val="center"/>
              <w:rPr>
                <w:rFonts w:hint="eastAsia" w:ascii="宋体" w:hAnsi="宋体" w:eastAsia="宋体" w:cs="宋体"/>
                <w:color w:val="auto"/>
                <w:sz w:val="21"/>
                <w:szCs w:val="21"/>
                <w:highlight w:val="none"/>
              </w:rPr>
            </w:pPr>
          </w:p>
        </w:tc>
        <w:tc>
          <w:tcPr>
            <w:tcW w:w="401" w:type="pct"/>
            <w:noWrap w:val="0"/>
            <w:vAlign w:val="center"/>
          </w:tcPr>
          <w:p w14:paraId="64DAF29D">
            <w:pPr>
              <w:spacing w:line="400" w:lineRule="exact"/>
              <w:jc w:val="center"/>
              <w:rPr>
                <w:rFonts w:hint="eastAsia" w:ascii="宋体" w:hAnsi="宋体" w:eastAsia="宋体" w:cs="宋体"/>
                <w:color w:val="auto"/>
                <w:sz w:val="21"/>
                <w:szCs w:val="21"/>
                <w:highlight w:val="none"/>
              </w:rPr>
            </w:pPr>
          </w:p>
        </w:tc>
        <w:tc>
          <w:tcPr>
            <w:tcW w:w="501" w:type="pct"/>
            <w:noWrap w:val="0"/>
            <w:vAlign w:val="center"/>
          </w:tcPr>
          <w:p w14:paraId="1723971C">
            <w:pPr>
              <w:spacing w:line="400" w:lineRule="exact"/>
              <w:jc w:val="center"/>
              <w:rPr>
                <w:rFonts w:hint="eastAsia" w:ascii="宋体" w:hAnsi="宋体" w:eastAsia="宋体" w:cs="宋体"/>
                <w:color w:val="auto"/>
                <w:sz w:val="21"/>
                <w:szCs w:val="21"/>
                <w:highlight w:val="none"/>
              </w:rPr>
            </w:pPr>
          </w:p>
        </w:tc>
        <w:tc>
          <w:tcPr>
            <w:tcW w:w="534" w:type="pct"/>
            <w:noWrap w:val="0"/>
            <w:vAlign w:val="center"/>
          </w:tcPr>
          <w:p w14:paraId="73A4EF06">
            <w:pPr>
              <w:spacing w:line="400" w:lineRule="exact"/>
              <w:jc w:val="center"/>
              <w:rPr>
                <w:rFonts w:hint="eastAsia" w:ascii="宋体" w:hAnsi="宋体" w:eastAsia="宋体" w:cs="宋体"/>
                <w:color w:val="auto"/>
                <w:sz w:val="21"/>
                <w:szCs w:val="21"/>
                <w:highlight w:val="none"/>
              </w:rPr>
            </w:pPr>
          </w:p>
        </w:tc>
        <w:tc>
          <w:tcPr>
            <w:tcW w:w="622" w:type="pct"/>
            <w:tcBorders>
              <w:right w:val="single" w:color="auto" w:sz="4" w:space="0"/>
            </w:tcBorders>
            <w:noWrap w:val="0"/>
            <w:vAlign w:val="center"/>
          </w:tcPr>
          <w:p w14:paraId="0703B8A7">
            <w:pPr>
              <w:spacing w:line="400" w:lineRule="exact"/>
              <w:jc w:val="center"/>
              <w:rPr>
                <w:rFonts w:hint="eastAsia" w:ascii="宋体" w:hAnsi="宋体" w:eastAsia="宋体" w:cs="宋体"/>
                <w:color w:val="auto"/>
                <w:sz w:val="21"/>
                <w:szCs w:val="21"/>
                <w:highlight w:val="none"/>
              </w:rPr>
            </w:pPr>
          </w:p>
        </w:tc>
        <w:tc>
          <w:tcPr>
            <w:tcW w:w="889" w:type="pct"/>
            <w:tcBorders>
              <w:left w:val="single" w:color="auto" w:sz="4" w:space="0"/>
              <w:right w:val="single" w:color="auto" w:sz="6" w:space="0"/>
            </w:tcBorders>
            <w:noWrap w:val="0"/>
            <w:vAlign w:val="center"/>
          </w:tcPr>
          <w:p w14:paraId="268FCAF4">
            <w:pPr>
              <w:spacing w:line="400" w:lineRule="exact"/>
              <w:jc w:val="center"/>
              <w:rPr>
                <w:rFonts w:hint="eastAsia" w:ascii="宋体" w:hAnsi="宋体" w:eastAsia="宋体" w:cs="宋体"/>
                <w:color w:val="auto"/>
                <w:sz w:val="21"/>
                <w:szCs w:val="21"/>
                <w:highlight w:val="none"/>
              </w:rPr>
            </w:pPr>
          </w:p>
        </w:tc>
        <w:tc>
          <w:tcPr>
            <w:tcW w:w="1220" w:type="pct"/>
            <w:tcBorders>
              <w:left w:val="single" w:color="auto" w:sz="6" w:space="0"/>
            </w:tcBorders>
            <w:noWrap w:val="0"/>
            <w:vAlign w:val="center"/>
          </w:tcPr>
          <w:p w14:paraId="37D83B4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58AE4C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47" w:type="pct"/>
            <w:noWrap w:val="0"/>
            <w:vAlign w:val="center"/>
          </w:tcPr>
          <w:p w14:paraId="3E127172">
            <w:pPr>
              <w:pStyle w:val="169"/>
              <w:numPr>
                <w:ilvl w:val="0"/>
                <w:numId w:val="95"/>
              </w:numPr>
              <w:spacing w:line="400" w:lineRule="exact"/>
              <w:ind w:firstLineChars="0"/>
              <w:jc w:val="center"/>
              <w:rPr>
                <w:rFonts w:hint="eastAsia" w:ascii="宋体" w:hAnsi="宋体" w:eastAsia="宋体" w:cs="宋体"/>
                <w:color w:val="auto"/>
                <w:sz w:val="21"/>
                <w:szCs w:val="21"/>
                <w:highlight w:val="none"/>
              </w:rPr>
            </w:pPr>
          </w:p>
        </w:tc>
        <w:tc>
          <w:tcPr>
            <w:tcW w:w="481" w:type="pct"/>
            <w:noWrap w:val="0"/>
            <w:vAlign w:val="center"/>
          </w:tcPr>
          <w:p w14:paraId="4C83306F">
            <w:pPr>
              <w:spacing w:line="400" w:lineRule="exact"/>
              <w:jc w:val="center"/>
              <w:rPr>
                <w:rFonts w:hint="eastAsia" w:ascii="宋体" w:hAnsi="宋体" w:eastAsia="宋体" w:cs="宋体"/>
                <w:color w:val="auto"/>
                <w:sz w:val="21"/>
                <w:szCs w:val="21"/>
                <w:highlight w:val="none"/>
              </w:rPr>
            </w:pPr>
          </w:p>
        </w:tc>
        <w:tc>
          <w:tcPr>
            <w:tcW w:w="401" w:type="pct"/>
            <w:noWrap w:val="0"/>
            <w:vAlign w:val="center"/>
          </w:tcPr>
          <w:p w14:paraId="16EDB323">
            <w:pPr>
              <w:spacing w:line="400" w:lineRule="exact"/>
              <w:jc w:val="center"/>
              <w:rPr>
                <w:rFonts w:hint="eastAsia" w:ascii="宋体" w:hAnsi="宋体" w:eastAsia="宋体" w:cs="宋体"/>
                <w:color w:val="auto"/>
                <w:sz w:val="21"/>
                <w:szCs w:val="21"/>
                <w:highlight w:val="none"/>
              </w:rPr>
            </w:pPr>
          </w:p>
        </w:tc>
        <w:tc>
          <w:tcPr>
            <w:tcW w:w="501" w:type="pct"/>
            <w:noWrap w:val="0"/>
            <w:vAlign w:val="center"/>
          </w:tcPr>
          <w:p w14:paraId="60B55764">
            <w:pPr>
              <w:spacing w:line="400" w:lineRule="exact"/>
              <w:jc w:val="center"/>
              <w:rPr>
                <w:rFonts w:hint="eastAsia" w:ascii="宋体" w:hAnsi="宋体" w:eastAsia="宋体" w:cs="宋体"/>
                <w:color w:val="auto"/>
                <w:sz w:val="21"/>
                <w:szCs w:val="21"/>
                <w:highlight w:val="none"/>
              </w:rPr>
            </w:pPr>
          </w:p>
        </w:tc>
        <w:tc>
          <w:tcPr>
            <w:tcW w:w="534" w:type="pct"/>
            <w:noWrap w:val="0"/>
            <w:vAlign w:val="center"/>
          </w:tcPr>
          <w:p w14:paraId="7243719B">
            <w:pPr>
              <w:spacing w:line="400" w:lineRule="exact"/>
              <w:jc w:val="center"/>
              <w:rPr>
                <w:rFonts w:hint="eastAsia" w:ascii="宋体" w:hAnsi="宋体" w:eastAsia="宋体" w:cs="宋体"/>
                <w:color w:val="auto"/>
                <w:sz w:val="21"/>
                <w:szCs w:val="21"/>
                <w:highlight w:val="none"/>
              </w:rPr>
            </w:pPr>
          </w:p>
        </w:tc>
        <w:tc>
          <w:tcPr>
            <w:tcW w:w="622" w:type="pct"/>
            <w:tcBorders>
              <w:right w:val="single" w:color="auto" w:sz="4" w:space="0"/>
            </w:tcBorders>
            <w:noWrap w:val="0"/>
            <w:vAlign w:val="center"/>
          </w:tcPr>
          <w:p w14:paraId="731C749B">
            <w:pPr>
              <w:spacing w:line="400" w:lineRule="exact"/>
              <w:jc w:val="center"/>
              <w:rPr>
                <w:rFonts w:hint="eastAsia" w:ascii="宋体" w:hAnsi="宋体" w:eastAsia="宋体" w:cs="宋体"/>
                <w:color w:val="auto"/>
                <w:sz w:val="21"/>
                <w:szCs w:val="21"/>
                <w:highlight w:val="none"/>
              </w:rPr>
            </w:pPr>
          </w:p>
        </w:tc>
        <w:tc>
          <w:tcPr>
            <w:tcW w:w="889" w:type="pct"/>
            <w:tcBorders>
              <w:left w:val="single" w:color="auto" w:sz="4" w:space="0"/>
              <w:right w:val="single" w:color="auto" w:sz="6" w:space="0"/>
            </w:tcBorders>
            <w:noWrap w:val="0"/>
            <w:vAlign w:val="center"/>
          </w:tcPr>
          <w:p w14:paraId="544D5CBB">
            <w:pPr>
              <w:spacing w:line="400" w:lineRule="exact"/>
              <w:jc w:val="center"/>
              <w:rPr>
                <w:rFonts w:hint="eastAsia" w:ascii="宋体" w:hAnsi="宋体" w:eastAsia="宋体" w:cs="宋体"/>
                <w:color w:val="auto"/>
                <w:sz w:val="21"/>
                <w:szCs w:val="21"/>
                <w:highlight w:val="none"/>
              </w:rPr>
            </w:pPr>
          </w:p>
        </w:tc>
        <w:tc>
          <w:tcPr>
            <w:tcW w:w="1220" w:type="pct"/>
            <w:tcBorders>
              <w:left w:val="single" w:color="auto" w:sz="6" w:space="0"/>
            </w:tcBorders>
            <w:noWrap w:val="0"/>
            <w:vAlign w:val="center"/>
          </w:tcPr>
          <w:p w14:paraId="72E89CD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14:paraId="22362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47" w:type="pct"/>
            <w:noWrap w:val="0"/>
            <w:vAlign w:val="center"/>
          </w:tcPr>
          <w:p w14:paraId="065025D4">
            <w:pPr>
              <w:pStyle w:val="169"/>
              <w:numPr>
                <w:ilvl w:val="0"/>
                <w:numId w:val="0"/>
              </w:numPr>
              <w:spacing w:line="400" w:lineRule="exact"/>
              <w:ind w:leftChars="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481" w:type="pct"/>
            <w:noWrap w:val="0"/>
            <w:vAlign w:val="center"/>
          </w:tcPr>
          <w:p w14:paraId="2CCEECE6">
            <w:pPr>
              <w:spacing w:line="400" w:lineRule="exact"/>
              <w:jc w:val="center"/>
              <w:rPr>
                <w:rFonts w:hint="eastAsia" w:ascii="宋体" w:hAnsi="宋体" w:eastAsia="宋体" w:cs="宋体"/>
                <w:color w:val="auto"/>
                <w:sz w:val="21"/>
                <w:szCs w:val="21"/>
                <w:highlight w:val="none"/>
              </w:rPr>
            </w:pPr>
          </w:p>
        </w:tc>
        <w:tc>
          <w:tcPr>
            <w:tcW w:w="401" w:type="pct"/>
            <w:noWrap w:val="0"/>
            <w:vAlign w:val="center"/>
          </w:tcPr>
          <w:p w14:paraId="309F7397">
            <w:pPr>
              <w:spacing w:line="400" w:lineRule="exact"/>
              <w:jc w:val="center"/>
              <w:rPr>
                <w:rFonts w:hint="eastAsia" w:ascii="宋体" w:hAnsi="宋体" w:eastAsia="宋体" w:cs="宋体"/>
                <w:color w:val="auto"/>
                <w:sz w:val="21"/>
                <w:szCs w:val="21"/>
                <w:highlight w:val="none"/>
              </w:rPr>
            </w:pPr>
          </w:p>
        </w:tc>
        <w:tc>
          <w:tcPr>
            <w:tcW w:w="501" w:type="pct"/>
            <w:noWrap w:val="0"/>
            <w:vAlign w:val="center"/>
          </w:tcPr>
          <w:p w14:paraId="03C40AFE">
            <w:pPr>
              <w:spacing w:line="400" w:lineRule="exact"/>
              <w:jc w:val="center"/>
              <w:rPr>
                <w:rFonts w:hint="eastAsia" w:ascii="宋体" w:hAnsi="宋体" w:eastAsia="宋体" w:cs="宋体"/>
                <w:color w:val="auto"/>
                <w:sz w:val="21"/>
                <w:szCs w:val="21"/>
                <w:highlight w:val="none"/>
              </w:rPr>
            </w:pPr>
          </w:p>
        </w:tc>
        <w:tc>
          <w:tcPr>
            <w:tcW w:w="534" w:type="pct"/>
            <w:noWrap w:val="0"/>
            <w:vAlign w:val="center"/>
          </w:tcPr>
          <w:p w14:paraId="6D207BD2">
            <w:pPr>
              <w:spacing w:line="400" w:lineRule="exact"/>
              <w:jc w:val="center"/>
              <w:rPr>
                <w:rFonts w:hint="eastAsia" w:ascii="宋体" w:hAnsi="宋体" w:eastAsia="宋体" w:cs="宋体"/>
                <w:color w:val="auto"/>
                <w:sz w:val="21"/>
                <w:szCs w:val="21"/>
                <w:highlight w:val="none"/>
              </w:rPr>
            </w:pPr>
          </w:p>
        </w:tc>
        <w:tc>
          <w:tcPr>
            <w:tcW w:w="622" w:type="pct"/>
            <w:tcBorders>
              <w:right w:val="single" w:color="auto" w:sz="4" w:space="0"/>
            </w:tcBorders>
            <w:noWrap w:val="0"/>
            <w:vAlign w:val="center"/>
          </w:tcPr>
          <w:p w14:paraId="37FDD912">
            <w:pPr>
              <w:spacing w:line="400" w:lineRule="exact"/>
              <w:jc w:val="center"/>
              <w:rPr>
                <w:rFonts w:hint="eastAsia" w:ascii="宋体" w:hAnsi="宋体" w:eastAsia="宋体" w:cs="宋体"/>
                <w:color w:val="auto"/>
                <w:sz w:val="21"/>
                <w:szCs w:val="21"/>
                <w:highlight w:val="none"/>
              </w:rPr>
            </w:pPr>
          </w:p>
        </w:tc>
        <w:tc>
          <w:tcPr>
            <w:tcW w:w="889" w:type="pct"/>
            <w:tcBorders>
              <w:left w:val="single" w:color="auto" w:sz="4" w:space="0"/>
              <w:right w:val="single" w:color="auto" w:sz="6" w:space="0"/>
            </w:tcBorders>
            <w:noWrap w:val="0"/>
            <w:vAlign w:val="center"/>
          </w:tcPr>
          <w:p w14:paraId="00CDE83A">
            <w:pPr>
              <w:spacing w:line="400" w:lineRule="exact"/>
              <w:jc w:val="center"/>
              <w:rPr>
                <w:rFonts w:hint="eastAsia" w:ascii="宋体" w:hAnsi="宋体" w:eastAsia="宋体" w:cs="宋体"/>
                <w:color w:val="auto"/>
                <w:sz w:val="21"/>
                <w:szCs w:val="21"/>
                <w:highlight w:val="none"/>
              </w:rPr>
            </w:pPr>
          </w:p>
        </w:tc>
        <w:tc>
          <w:tcPr>
            <w:tcW w:w="1220" w:type="pct"/>
            <w:tcBorders>
              <w:left w:val="single" w:color="auto" w:sz="6" w:space="0"/>
            </w:tcBorders>
            <w:noWrap w:val="0"/>
            <w:vAlign w:val="center"/>
          </w:tcPr>
          <w:p w14:paraId="53CEA23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bl>
    <w:p w14:paraId="0A621796">
      <w:pPr>
        <w:spacing w:line="5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r>
        <w:rPr>
          <w:rFonts w:hint="eastAsia" w:ascii="宋体" w:hAnsi="宋体" w:eastAsia="宋体" w:cs="宋体"/>
          <w:color w:val="auto"/>
          <w:sz w:val="21"/>
          <w:szCs w:val="21"/>
          <w:highlight w:val="none"/>
          <w:lang w:eastAsia="zh-CN"/>
        </w:rPr>
        <w:t>根据遴选文件要求提交相关证明材料</w:t>
      </w:r>
      <w:r>
        <w:rPr>
          <w:rFonts w:hint="eastAsia" w:ascii="宋体" w:hAnsi="宋体" w:eastAsia="宋体" w:cs="宋体"/>
          <w:bCs/>
          <w:color w:val="auto"/>
          <w:sz w:val="21"/>
          <w:szCs w:val="21"/>
          <w:highlight w:val="none"/>
        </w:rPr>
        <w:t>。</w:t>
      </w:r>
    </w:p>
    <w:p w14:paraId="331D1116">
      <w:pPr>
        <w:spacing w:line="500" w:lineRule="exact"/>
        <w:ind w:firstLine="436" w:firstLineChars="200"/>
        <w:rPr>
          <w:rFonts w:hint="eastAsia" w:ascii="宋体" w:hAnsi="宋体" w:eastAsia="宋体" w:cs="宋体"/>
          <w:color w:val="auto"/>
          <w:spacing w:val="4"/>
          <w:sz w:val="21"/>
          <w:szCs w:val="21"/>
          <w:highlight w:val="none"/>
        </w:rPr>
      </w:pPr>
    </w:p>
    <w:p w14:paraId="065E63F1">
      <w:pPr>
        <w:spacing w:line="5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pacing w:val="4"/>
          <w:sz w:val="21"/>
          <w:szCs w:val="21"/>
          <w:highlight w:val="none"/>
          <w:lang w:eastAsia="zh-CN"/>
        </w:rPr>
        <w:t>参选人</w:t>
      </w:r>
      <w:r>
        <w:rPr>
          <w:rFonts w:hint="eastAsia" w:ascii="宋体" w:hAnsi="宋体" w:eastAsia="宋体" w:cs="宋体"/>
          <w:color w:val="auto"/>
          <w:spacing w:val="4"/>
          <w:sz w:val="21"/>
          <w:szCs w:val="21"/>
          <w:highlight w:val="none"/>
        </w:rPr>
        <w:t>名称（盖公章）：</w:t>
      </w:r>
      <w:r>
        <w:rPr>
          <w:rFonts w:hint="eastAsia" w:ascii="宋体" w:hAnsi="宋体" w:eastAsia="宋体" w:cs="宋体"/>
          <w:color w:val="auto"/>
          <w:spacing w:val="4"/>
          <w:sz w:val="21"/>
          <w:szCs w:val="21"/>
          <w:highlight w:val="none"/>
          <w:u w:val="single"/>
        </w:rPr>
        <w:t xml:space="preserve">                   </w:t>
      </w:r>
    </w:p>
    <w:p w14:paraId="23C44393">
      <w:pPr>
        <w:rPr>
          <w:rFonts w:hint="eastAsia" w:ascii="宋体" w:hAnsi="宋体" w:eastAsia="宋体" w:cs="宋体"/>
          <w:color w:val="auto"/>
          <w:spacing w:val="4"/>
          <w:sz w:val="21"/>
          <w:szCs w:val="21"/>
          <w:highlight w:val="none"/>
        </w:rPr>
      </w:pPr>
    </w:p>
    <w:p w14:paraId="265A044F">
      <w:pPr>
        <w:spacing w:line="520" w:lineRule="exact"/>
        <w:rPr>
          <w:rFonts w:hint="eastAsia" w:ascii="宋体" w:hAnsi="宋体" w:eastAsia="宋体" w:cs="宋体"/>
          <w:color w:val="auto"/>
          <w:spacing w:val="4"/>
          <w:sz w:val="21"/>
          <w:szCs w:val="21"/>
          <w:highlight w:val="none"/>
          <w:u w:val="single"/>
        </w:rPr>
      </w:pPr>
      <w:r>
        <w:rPr>
          <w:rFonts w:hint="eastAsia" w:ascii="宋体" w:hAnsi="宋体" w:eastAsia="宋体" w:cs="宋体"/>
          <w:color w:val="auto"/>
          <w:spacing w:val="4"/>
          <w:sz w:val="21"/>
          <w:szCs w:val="21"/>
          <w:highlight w:val="none"/>
        </w:rPr>
        <w:t>日期：</w:t>
      </w:r>
      <w:r>
        <w:rPr>
          <w:rFonts w:hint="eastAsia" w:ascii="宋体" w:hAnsi="宋体" w:eastAsia="宋体" w:cs="宋体"/>
          <w:color w:val="auto"/>
          <w:spacing w:val="4"/>
          <w:sz w:val="21"/>
          <w:szCs w:val="21"/>
          <w:highlight w:val="none"/>
          <w:u w:val="single"/>
        </w:rPr>
        <w:t xml:space="preserve">                </w:t>
      </w:r>
    </w:p>
    <w:bookmarkEnd w:id="71"/>
    <w:p w14:paraId="1206464C">
      <w:pPr>
        <w:wordWrap/>
        <w:spacing w:line="360" w:lineRule="auto"/>
        <w:jc w:val="right"/>
        <w:rPr>
          <w:rFonts w:hint="eastAsia" w:ascii="宋体" w:hAnsi="宋体"/>
          <w:color w:val="auto"/>
          <w:spacing w:val="4"/>
          <w:szCs w:val="21"/>
          <w:highlight w:val="none"/>
          <w:u w:val="single"/>
        </w:rPr>
      </w:pPr>
    </w:p>
    <w:p w14:paraId="03703761">
      <w:pPr>
        <w:rPr>
          <w:rFonts w:hint="eastAsia" w:ascii="宋体" w:hAnsi="宋体" w:eastAsia="宋体"/>
          <w:color w:val="auto"/>
          <w:highlight w:val="none"/>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8ABA">
    <w:pPr>
      <w:pStyle w:val="22"/>
      <w:jc w:val="center"/>
    </w:pPr>
    <w:r>
      <w:fldChar w:fldCharType="begin"/>
    </w:r>
    <w:r>
      <w:instrText xml:space="preserve">PAGE   \* MERGEFORMAT</w:instrText>
    </w:r>
    <w:r>
      <w:fldChar w:fldCharType="separate"/>
    </w:r>
    <w:r>
      <w:rPr>
        <w:lang w:val="zh-CN"/>
      </w:rPr>
      <w:t>1</w:t>
    </w:r>
    <w:r>
      <w:fldChar w:fldCharType="end"/>
    </w:r>
  </w:p>
  <w:p w14:paraId="65CA8D8A">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8639">
    <w:pPr>
      <w:pStyle w:val="23"/>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3BE9F">
    <w:pPr>
      <w:pStyle w:val="23"/>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9ACA8"/>
    <w:multiLevelType w:val="singleLevel"/>
    <w:tmpl w:val="8599ACA8"/>
    <w:lvl w:ilvl="0" w:tentative="0">
      <w:start w:val="1"/>
      <w:numFmt w:val="lowerLetter"/>
      <w:lvlText w:val="%1."/>
      <w:lvlJc w:val="left"/>
      <w:pPr>
        <w:ind w:left="425" w:hanging="425"/>
      </w:pPr>
      <w:rPr>
        <w:rFonts w:hint="default"/>
        <w:sz w:val="21"/>
        <w:szCs w:val="21"/>
      </w:rPr>
    </w:lvl>
  </w:abstractNum>
  <w:abstractNum w:abstractNumId="1">
    <w:nsid w:val="873DADDF"/>
    <w:multiLevelType w:val="multilevel"/>
    <w:tmpl w:val="873DADDF"/>
    <w:lvl w:ilvl="0" w:tentative="0">
      <w:start w:val="1"/>
      <w:numFmt w:val="decimal"/>
      <w:suff w:val="space"/>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rPr>
        <w:rFonts w:hint="eastAsia"/>
      </w:rPr>
    </w:lvl>
    <w:lvl w:ilvl="2" w:tentative="0">
      <w:start w:val="1"/>
      <w:numFmt w:val="lowerRoman"/>
      <w:lvlText w:val="%3."/>
      <w:lvlJc w:val="right"/>
      <w:pPr>
        <w:ind w:left="976" w:hanging="420"/>
      </w:pPr>
      <w:rPr>
        <w:rFonts w:hint="eastAsia"/>
      </w:rPr>
    </w:lvl>
    <w:lvl w:ilvl="3" w:tentative="0">
      <w:start w:val="1"/>
      <w:numFmt w:val="decimal"/>
      <w:lvlText w:val="%4."/>
      <w:lvlJc w:val="left"/>
      <w:pPr>
        <w:ind w:left="1396" w:hanging="420"/>
      </w:pPr>
      <w:rPr>
        <w:rFonts w:hint="eastAsia"/>
      </w:rPr>
    </w:lvl>
    <w:lvl w:ilvl="4" w:tentative="0">
      <w:start w:val="1"/>
      <w:numFmt w:val="lowerLetter"/>
      <w:lvlText w:val="%5)"/>
      <w:lvlJc w:val="left"/>
      <w:pPr>
        <w:ind w:left="1816" w:hanging="420"/>
      </w:pPr>
      <w:rPr>
        <w:rFonts w:hint="eastAsia"/>
      </w:rPr>
    </w:lvl>
    <w:lvl w:ilvl="5" w:tentative="0">
      <w:start w:val="1"/>
      <w:numFmt w:val="lowerRoman"/>
      <w:lvlText w:val="%6."/>
      <w:lvlJc w:val="right"/>
      <w:pPr>
        <w:ind w:left="2236" w:hanging="420"/>
      </w:pPr>
      <w:rPr>
        <w:rFonts w:hint="eastAsia"/>
      </w:rPr>
    </w:lvl>
    <w:lvl w:ilvl="6" w:tentative="0">
      <w:start w:val="1"/>
      <w:numFmt w:val="decimal"/>
      <w:lvlText w:val="%7."/>
      <w:lvlJc w:val="left"/>
      <w:pPr>
        <w:ind w:left="2656" w:hanging="420"/>
      </w:pPr>
      <w:rPr>
        <w:rFonts w:hint="eastAsia"/>
      </w:rPr>
    </w:lvl>
    <w:lvl w:ilvl="7" w:tentative="0">
      <w:start w:val="1"/>
      <w:numFmt w:val="lowerLetter"/>
      <w:lvlText w:val="%8)"/>
      <w:lvlJc w:val="left"/>
      <w:pPr>
        <w:ind w:left="3076" w:hanging="420"/>
      </w:pPr>
      <w:rPr>
        <w:rFonts w:hint="eastAsia"/>
      </w:rPr>
    </w:lvl>
    <w:lvl w:ilvl="8" w:tentative="0">
      <w:start w:val="1"/>
      <w:numFmt w:val="lowerRoman"/>
      <w:lvlText w:val="%9."/>
      <w:lvlJc w:val="right"/>
      <w:pPr>
        <w:ind w:left="3496" w:hanging="420"/>
      </w:pPr>
      <w:rPr>
        <w:rFonts w:hint="eastAsia"/>
      </w:rPr>
    </w:lvl>
  </w:abstractNum>
  <w:abstractNum w:abstractNumId="2">
    <w:nsid w:val="88C3D1D2"/>
    <w:multiLevelType w:val="singleLevel"/>
    <w:tmpl w:val="88C3D1D2"/>
    <w:lvl w:ilvl="0" w:tentative="0">
      <w:start w:val="1"/>
      <w:numFmt w:val="lowerLetter"/>
      <w:lvlText w:val="%1."/>
      <w:lvlJc w:val="left"/>
      <w:pPr>
        <w:ind w:left="425" w:hanging="425"/>
      </w:pPr>
      <w:rPr>
        <w:rFonts w:hint="default"/>
        <w:sz w:val="21"/>
        <w:szCs w:val="21"/>
      </w:rPr>
    </w:lvl>
  </w:abstractNum>
  <w:abstractNum w:abstractNumId="3">
    <w:nsid w:val="895ECB0C"/>
    <w:multiLevelType w:val="singleLevel"/>
    <w:tmpl w:val="895ECB0C"/>
    <w:lvl w:ilvl="0" w:tentative="0">
      <w:start w:val="1"/>
      <w:numFmt w:val="decimal"/>
      <w:lvlText w:val="%1."/>
      <w:lvlJc w:val="left"/>
      <w:pPr>
        <w:ind w:left="425" w:hanging="425"/>
      </w:pPr>
      <w:rPr>
        <w:rFonts w:hint="default"/>
        <w:color w:val="auto"/>
        <w:sz w:val="21"/>
        <w:szCs w:val="21"/>
      </w:rPr>
    </w:lvl>
  </w:abstractNum>
  <w:abstractNum w:abstractNumId="4">
    <w:nsid w:val="8D54F989"/>
    <w:multiLevelType w:val="singleLevel"/>
    <w:tmpl w:val="8D54F989"/>
    <w:lvl w:ilvl="0" w:tentative="0">
      <w:start w:val="1"/>
      <w:numFmt w:val="decimal"/>
      <w:lvlText w:val="(%1)"/>
      <w:lvlJc w:val="left"/>
      <w:pPr>
        <w:ind w:left="425" w:hanging="425"/>
      </w:pPr>
      <w:rPr>
        <w:rFonts w:hint="default"/>
        <w:sz w:val="21"/>
        <w:szCs w:val="21"/>
      </w:rPr>
    </w:lvl>
  </w:abstractNum>
  <w:abstractNum w:abstractNumId="5">
    <w:nsid w:val="8D60AC4D"/>
    <w:multiLevelType w:val="singleLevel"/>
    <w:tmpl w:val="8D60AC4D"/>
    <w:lvl w:ilvl="0" w:tentative="0">
      <w:start w:val="1"/>
      <w:numFmt w:val="lowerLetter"/>
      <w:lvlText w:val="%1."/>
      <w:lvlJc w:val="left"/>
      <w:pPr>
        <w:ind w:left="425" w:hanging="425"/>
      </w:pPr>
      <w:rPr>
        <w:rFonts w:hint="default"/>
        <w:sz w:val="21"/>
        <w:szCs w:val="21"/>
      </w:rPr>
    </w:lvl>
  </w:abstractNum>
  <w:abstractNum w:abstractNumId="6">
    <w:nsid w:val="915FA98D"/>
    <w:multiLevelType w:val="singleLevel"/>
    <w:tmpl w:val="915FA98D"/>
    <w:lvl w:ilvl="0" w:tentative="0">
      <w:start w:val="1"/>
      <w:numFmt w:val="chineseCounting"/>
      <w:suff w:val="nothing"/>
      <w:lvlText w:val="%1、"/>
      <w:lvlJc w:val="left"/>
      <w:pPr>
        <w:ind w:left="0" w:firstLine="420"/>
      </w:pPr>
      <w:rPr>
        <w:rFonts w:hint="eastAsia"/>
      </w:rPr>
    </w:lvl>
  </w:abstractNum>
  <w:abstractNum w:abstractNumId="7">
    <w:nsid w:val="982B7521"/>
    <w:multiLevelType w:val="singleLevel"/>
    <w:tmpl w:val="982B7521"/>
    <w:lvl w:ilvl="0" w:tentative="0">
      <w:start w:val="1"/>
      <w:numFmt w:val="decimal"/>
      <w:lvlText w:val="(%1)"/>
      <w:lvlJc w:val="left"/>
      <w:pPr>
        <w:ind w:left="425" w:hanging="425"/>
      </w:pPr>
      <w:rPr>
        <w:rFonts w:hint="default"/>
        <w:sz w:val="21"/>
        <w:szCs w:val="21"/>
      </w:rPr>
    </w:lvl>
  </w:abstractNum>
  <w:abstractNum w:abstractNumId="8">
    <w:nsid w:val="999F4E9D"/>
    <w:multiLevelType w:val="multilevel"/>
    <w:tmpl w:val="999F4E9D"/>
    <w:lvl w:ilvl="0" w:tentative="0">
      <w:start w:val="1"/>
      <w:numFmt w:val="decimal"/>
      <w:lvlText w:val="%1、"/>
      <w:lvlJc w:val="left"/>
      <w:pPr>
        <w:ind w:left="1260"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9">
    <w:nsid w:val="9A654199"/>
    <w:multiLevelType w:val="singleLevel"/>
    <w:tmpl w:val="9A654199"/>
    <w:lvl w:ilvl="0" w:tentative="0">
      <w:start w:val="1"/>
      <w:numFmt w:val="decimal"/>
      <w:lvlText w:val="(%1)"/>
      <w:lvlJc w:val="left"/>
      <w:pPr>
        <w:ind w:left="425" w:hanging="425"/>
      </w:pPr>
      <w:rPr>
        <w:rFonts w:hint="default"/>
        <w:sz w:val="21"/>
        <w:szCs w:val="21"/>
      </w:rPr>
    </w:lvl>
  </w:abstractNum>
  <w:abstractNum w:abstractNumId="10">
    <w:nsid w:val="9E527E1B"/>
    <w:multiLevelType w:val="singleLevel"/>
    <w:tmpl w:val="9E527E1B"/>
    <w:lvl w:ilvl="0" w:tentative="0">
      <w:start w:val="1"/>
      <w:numFmt w:val="lowerLetter"/>
      <w:lvlText w:val="%1."/>
      <w:lvlJc w:val="left"/>
      <w:pPr>
        <w:ind w:left="425" w:hanging="425"/>
      </w:pPr>
      <w:rPr>
        <w:rFonts w:hint="default"/>
        <w:sz w:val="21"/>
        <w:szCs w:val="21"/>
      </w:rPr>
    </w:lvl>
  </w:abstractNum>
  <w:abstractNum w:abstractNumId="11">
    <w:nsid w:val="9F283AB0"/>
    <w:multiLevelType w:val="singleLevel"/>
    <w:tmpl w:val="9F283AB0"/>
    <w:lvl w:ilvl="0" w:tentative="0">
      <w:start w:val="1"/>
      <w:numFmt w:val="decimal"/>
      <w:lvlText w:val="(%1)"/>
      <w:lvlJc w:val="left"/>
      <w:pPr>
        <w:ind w:left="425" w:hanging="425"/>
      </w:pPr>
      <w:rPr>
        <w:rFonts w:hint="default"/>
        <w:sz w:val="21"/>
        <w:szCs w:val="21"/>
      </w:rPr>
    </w:lvl>
  </w:abstractNum>
  <w:abstractNum w:abstractNumId="12">
    <w:nsid w:val="A0DA7DD4"/>
    <w:multiLevelType w:val="singleLevel"/>
    <w:tmpl w:val="A0DA7DD4"/>
    <w:lvl w:ilvl="0" w:tentative="0">
      <w:start w:val="1"/>
      <w:numFmt w:val="decimal"/>
      <w:lvlText w:val="(%1)"/>
      <w:lvlJc w:val="left"/>
      <w:pPr>
        <w:ind w:left="425" w:hanging="425"/>
      </w:pPr>
      <w:rPr>
        <w:rFonts w:hint="default"/>
        <w:sz w:val="21"/>
        <w:szCs w:val="21"/>
      </w:rPr>
    </w:lvl>
  </w:abstractNum>
  <w:abstractNum w:abstractNumId="13">
    <w:nsid w:val="A11657B3"/>
    <w:multiLevelType w:val="singleLevel"/>
    <w:tmpl w:val="A11657B3"/>
    <w:lvl w:ilvl="0" w:tentative="0">
      <w:start w:val="1"/>
      <w:numFmt w:val="decimalEnclosedCircleChinese"/>
      <w:suff w:val="nothing"/>
      <w:lvlText w:val="%1　"/>
      <w:lvlJc w:val="left"/>
      <w:pPr>
        <w:ind w:left="0" w:firstLine="400"/>
      </w:pPr>
      <w:rPr>
        <w:rFonts w:hint="eastAsia"/>
        <w:sz w:val="21"/>
        <w:szCs w:val="21"/>
      </w:rPr>
    </w:lvl>
  </w:abstractNum>
  <w:abstractNum w:abstractNumId="14">
    <w:nsid w:val="A19182C4"/>
    <w:multiLevelType w:val="singleLevel"/>
    <w:tmpl w:val="A19182C4"/>
    <w:lvl w:ilvl="0" w:tentative="0">
      <w:start w:val="1"/>
      <w:numFmt w:val="lowerLetter"/>
      <w:lvlText w:val="%1."/>
      <w:lvlJc w:val="left"/>
      <w:pPr>
        <w:ind w:left="425" w:hanging="425"/>
      </w:pPr>
      <w:rPr>
        <w:rFonts w:hint="default"/>
        <w:sz w:val="21"/>
        <w:szCs w:val="21"/>
      </w:rPr>
    </w:lvl>
  </w:abstractNum>
  <w:abstractNum w:abstractNumId="15">
    <w:nsid w:val="A2E09AD4"/>
    <w:multiLevelType w:val="singleLevel"/>
    <w:tmpl w:val="A2E09AD4"/>
    <w:lvl w:ilvl="0" w:tentative="0">
      <w:start w:val="1"/>
      <w:numFmt w:val="decimalEnclosedCircleChinese"/>
      <w:suff w:val="nothing"/>
      <w:lvlText w:val="%1　"/>
      <w:lvlJc w:val="left"/>
      <w:pPr>
        <w:ind w:left="0" w:firstLine="400"/>
      </w:pPr>
      <w:rPr>
        <w:rFonts w:hint="eastAsia"/>
        <w:sz w:val="21"/>
        <w:szCs w:val="21"/>
      </w:rPr>
    </w:lvl>
  </w:abstractNum>
  <w:abstractNum w:abstractNumId="16">
    <w:nsid w:val="A3EB99EC"/>
    <w:multiLevelType w:val="singleLevel"/>
    <w:tmpl w:val="A3EB99EC"/>
    <w:lvl w:ilvl="0" w:tentative="0">
      <w:start w:val="1"/>
      <w:numFmt w:val="decimal"/>
      <w:lvlText w:val="(%1)"/>
      <w:lvlJc w:val="left"/>
      <w:pPr>
        <w:ind w:left="425" w:hanging="425"/>
      </w:pPr>
      <w:rPr>
        <w:rFonts w:hint="default"/>
        <w:sz w:val="21"/>
        <w:szCs w:val="21"/>
      </w:rPr>
    </w:lvl>
  </w:abstractNum>
  <w:abstractNum w:abstractNumId="17">
    <w:nsid w:val="AAC2FFEF"/>
    <w:multiLevelType w:val="singleLevel"/>
    <w:tmpl w:val="AAC2FFEF"/>
    <w:lvl w:ilvl="0" w:tentative="0">
      <w:start w:val="1"/>
      <w:numFmt w:val="decimal"/>
      <w:lvlText w:val="(%1)"/>
      <w:lvlJc w:val="left"/>
      <w:pPr>
        <w:ind w:left="425" w:hanging="425"/>
      </w:pPr>
      <w:rPr>
        <w:rFonts w:hint="default"/>
        <w:sz w:val="21"/>
        <w:szCs w:val="21"/>
      </w:rPr>
    </w:lvl>
  </w:abstractNum>
  <w:abstractNum w:abstractNumId="18">
    <w:nsid w:val="ADEF38D2"/>
    <w:multiLevelType w:val="singleLevel"/>
    <w:tmpl w:val="ADEF38D2"/>
    <w:lvl w:ilvl="0" w:tentative="0">
      <w:start w:val="1"/>
      <w:numFmt w:val="decimal"/>
      <w:lvlText w:val="(%1)"/>
      <w:lvlJc w:val="left"/>
      <w:pPr>
        <w:ind w:left="425" w:hanging="425"/>
      </w:pPr>
      <w:rPr>
        <w:rFonts w:hint="default"/>
        <w:sz w:val="21"/>
        <w:szCs w:val="21"/>
      </w:rPr>
    </w:lvl>
  </w:abstractNum>
  <w:abstractNum w:abstractNumId="19">
    <w:nsid w:val="B3DCCE67"/>
    <w:multiLevelType w:val="singleLevel"/>
    <w:tmpl w:val="B3DCCE67"/>
    <w:lvl w:ilvl="0" w:tentative="0">
      <w:start w:val="1"/>
      <w:numFmt w:val="decimal"/>
      <w:lvlText w:val="(%1)"/>
      <w:lvlJc w:val="left"/>
      <w:pPr>
        <w:ind w:left="425" w:hanging="425"/>
      </w:pPr>
      <w:rPr>
        <w:rFonts w:hint="default"/>
      </w:rPr>
    </w:lvl>
  </w:abstractNum>
  <w:abstractNum w:abstractNumId="20">
    <w:nsid w:val="B6716305"/>
    <w:multiLevelType w:val="singleLevel"/>
    <w:tmpl w:val="B6716305"/>
    <w:lvl w:ilvl="0" w:tentative="0">
      <w:start w:val="1"/>
      <w:numFmt w:val="decimal"/>
      <w:lvlText w:val="(%1)"/>
      <w:lvlJc w:val="left"/>
      <w:pPr>
        <w:ind w:left="425" w:hanging="425"/>
      </w:pPr>
      <w:rPr>
        <w:rFonts w:hint="default"/>
      </w:rPr>
    </w:lvl>
  </w:abstractNum>
  <w:abstractNum w:abstractNumId="21">
    <w:nsid w:val="B7A5252D"/>
    <w:multiLevelType w:val="singleLevel"/>
    <w:tmpl w:val="B7A5252D"/>
    <w:lvl w:ilvl="0" w:tentative="0">
      <w:start w:val="1"/>
      <w:numFmt w:val="decimal"/>
      <w:lvlText w:val="(%1)"/>
      <w:lvlJc w:val="left"/>
      <w:pPr>
        <w:ind w:left="425" w:hanging="425"/>
      </w:pPr>
      <w:rPr>
        <w:rFonts w:hint="default"/>
        <w:sz w:val="21"/>
        <w:szCs w:val="21"/>
      </w:rPr>
    </w:lvl>
  </w:abstractNum>
  <w:abstractNum w:abstractNumId="22">
    <w:nsid w:val="C07171E0"/>
    <w:multiLevelType w:val="singleLevel"/>
    <w:tmpl w:val="C07171E0"/>
    <w:lvl w:ilvl="0" w:tentative="0">
      <w:start w:val="1"/>
      <w:numFmt w:val="decimal"/>
      <w:lvlText w:val="%1."/>
      <w:lvlJc w:val="left"/>
      <w:pPr>
        <w:ind w:left="425" w:hanging="425"/>
      </w:pPr>
      <w:rPr>
        <w:rFonts w:hint="default"/>
        <w:color w:val="auto"/>
        <w:sz w:val="21"/>
        <w:szCs w:val="21"/>
      </w:rPr>
    </w:lvl>
  </w:abstractNum>
  <w:abstractNum w:abstractNumId="23">
    <w:nsid w:val="C2F6BEF5"/>
    <w:multiLevelType w:val="multilevel"/>
    <w:tmpl w:val="C2F6BEF5"/>
    <w:lvl w:ilvl="0" w:tentative="0">
      <w:start w:val="1"/>
      <w:numFmt w:val="decimal"/>
      <w:lvlText w:val="%1、"/>
      <w:lvlJc w:val="left"/>
      <w:pPr>
        <w:ind w:left="1260"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24">
    <w:nsid w:val="D1FC9F63"/>
    <w:multiLevelType w:val="singleLevel"/>
    <w:tmpl w:val="D1FC9F63"/>
    <w:lvl w:ilvl="0" w:tentative="0">
      <w:start w:val="1"/>
      <w:numFmt w:val="decimal"/>
      <w:suff w:val="nothing"/>
      <w:lvlText w:val="（%1）"/>
      <w:lvlJc w:val="left"/>
    </w:lvl>
  </w:abstractNum>
  <w:abstractNum w:abstractNumId="25">
    <w:nsid w:val="D485180F"/>
    <w:multiLevelType w:val="singleLevel"/>
    <w:tmpl w:val="D485180F"/>
    <w:lvl w:ilvl="0" w:tentative="0">
      <w:start w:val="1"/>
      <w:numFmt w:val="decimal"/>
      <w:lvlText w:val="(%1)"/>
      <w:lvlJc w:val="left"/>
      <w:pPr>
        <w:ind w:left="425" w:hanging="425"/>
      </w:pPr>
      <w:rPr>
        <w:rFonts w:hint="default"/>
      </w:rPr>
    </w:lvl>
  </w:abstractNum>
  <w:abstractNum w:abstractNumId="26">
    <w:nsid w:val="D4F6FA65"/>
    <w:multiLevelType w:val="singleLevel"/>
    <w:tmpl w:val="D4F6FA65"/>
    <w:lvl w:ilvl="0" w:tentative="0">
      <w:start w:val="1"/>
      <w:numFmt w:val="decimal"/>
      <w:lvlText w:val="%1."/>
      <w:lvlJc w:val="left"/>
      <w:pPr>
        <w:ind w:left="425" w:hanging="425"/>
      </w:pPr>
      <w:rPr>
        <w:rFonts w:hint="default"/>
        <w:color w:val="auto"/>
        <w:sz w:val="21"/>
        <w:szCs w:val="21"/>
      </w:rPr>
    </w:lvl>
  </w:abstractNum>
  <w:abstractNum w:abstractNumId="27">
    <w:nsid w:val="D557945B"/>
    <w:multiLevelType w:val="singleLevel"/>
    <w:tmpl w:val="D557945B"/>
    <w:lvl w:ilvl="0" w:tentative="0">
      <w:start w:val="1"/>
      <w:numFmt w:val="chineseCounting"/>
      <w:suff w:val="nothing"/>
      <w:lvlText w:val="（%1）"/>
      <w:lvlJc w:val="left"/>
      <w:pPr>
        <w:ind w:left="0" w:firstLine="420"/>
      </w:pPr>
      <w:rPr>
        <w:rFonts w:hint="eastAsia"/>
      </w:rPr>
    </w:lvl>
  </w:abstractNum>
  <w:abstractNum w:abstractNumId="28">
    <w:nsid w:val="D652B46B"/>
    <w:multiLevelType w:val="singleLevel"/>
    <w:tmpl w:val="D652B46B"/>
    <w:lvl w:ilvl="0" w:tentative="0">
      <w:start w:val="1"/>
      <w:numFmt w:val="chineseCounting"/>
      <w:suff w:val="nothing"/>
      <w:lvlText w:val="（%1）"/>
      <w:lvlJc w:val="left"/>
      <w:pPr>
        <w:ind w:left="0" w:firstLine="420"/>
      </w:pPr>
      <w:rPr>
        <w:rFonts w:hint="eastAsia"/>
      </w:rPr>
    </w:lvl>
  </w:abstractNum>
  <w:abstractNum w:abstractNumId="29">
    <w:nsid w:val="D78D1DD9"/>
    <w:multiLevelType w:val="multilevel"/>
    <w:tmpl w:val="D78D1DD9"/>
    <w:lvl w:ilvl="0" w:tentative="0">
      <w:start w:val="1"/>
      <w:numFmt w:val="decimal"/>
      <w:suff w:val="space"/>
      <w:lvlText w:val="%1."/>
      <w:lvlJc w:val="left"/>
      <w:pPr>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DA4B4086"/>
    <w:multiLevelType w:val="singleLevel"/>
    <w:tmpl w:val="DA4B4086"/>
    <w:lvl w:ilvl="0" w:tentative="0">
      <w:start w:val="1"/>
      <w:numFmt w:val="decimal"/>
      <w:lvlText w:val="(%1)"/>
      <w:lvlJc w:val="left"/>
      <w:pPr>
        <w:ind w:left="425" w:hanging="425"/>
      </w:pPr>
      <w:rPr>
        <w:rFonts w:hint="default"/>
      </w:rPr>
    </w:lvl>
  </w:abstractNum>
  <w:abstractNum w:abstractNumId="31">
    <w:nsid w:val="E92C0DF3"/>
    <w:multiLevelType w:val="multilevel"/>
    <w:tmpl w:val="E92C0DF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ED8849D1"/>
    <w:multiLevelType w:val="singleLevel"/>
    <w:tmpl w:val="ED8849D1"/>
    <w:lvl w:ilvl="0" w:tentative="0">
      <w:start w:val="1"/>
      <w:numFmt w:val="decimal"/>
      <w:lvlText w:val="(%1)"/>
      <w:lvlJc w:val="left"/>
      <w:pPr>
        <w:ind w:left="425" w:hanging="425"/>
      </w:pPr>
      <w:rPr>
        <w:rFonts w:hint="default"/>
        <w:sz w:val="21"/>
        <w:szCs w:val="21"/>
      </w:rPr>
    </w:lvl>
  </w:abstractNum>
  <w:abstractNum w:abstractNumId="33">
    <w:nsid w:val="F435FD6D"/>
    <w:multiLevelType w:val="singleLevel"/>
    <w:tmpl w:val="F435FD6D"/>
    <w:lvl w:ilvl="0" w:tentative="0">
      <w:start w:val="1"/>
      <w:numFmt w:val="decimalEnclosedCircleChinese"/>
      <w:suff w:val="nothing"/>
      <w:lvlText w:val="%1　"/>
      <w:lvlJc w:val="left"/>
      <w:pPr>
        <w:ind w:left="0" w:firstLine="400"/>
      </w:pPr>
      <w:rPr>
        <w:rFonts w:hint="eastAsia"/>
      </w:rPr>
    </w:lvl>
  </w:abstractNum>
  <w:abstractNum w:abstractNumId="34">
    <w:nsid w:val="F633D083"/>
    <w:multiLevelType w:val="singleLevel"/>
    <w:tmpl w:val="F633D083"/>
    <w:lvl w:ilvl="0" w:tentative="0">
      <w:start w:val="1"/>
      <w:numFmt w:val="decimalEnclosedCircleChinese"/>
      <w:suff w:val="nothing"/>
      <w:lvlText w:val="%1　"/>
      <w:lvlJc w:val="left"/>
      <w:pPr>
        <w:ind w:left="0" w:firstLine="400"/>
      </w:pPr>
      <w:rPr>
        <w:rFonts w:hint="eastAsia"/>
        <w:sz w:val="21"/>
        <w:szCs w:val="21"/>
      </w:rPr>
    </w:lvl>
  </w:abstractNum>
  <w:abstractNum w:abstractNumId="35">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48"/>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018285E3"/>
    <w:multiLevelType w:val="singleLevel"/>
    <w:tmpl w:val="018285E3"/>
    <w:lvl w:ilvl="0" w:tentative="0">
      <w:start w:val="1"/>
      <w:numFmt w:val="decimalEnclosedCircleChinese"/>
      <w:suff w:val="nothing"/>
      <w:lvlText w:val="%1　"/>
      <w:lvlJc w:val="left"/>
      <w:pPr>
        <w:ind w:left="0" w:firstLine="400"/>
      </w:pPr>
      <w:rPr>
        <w:rFonts w:hint="eastAsia"/>
        <w:sz w:val="21"/>
        <w:szCs w:val="21"/>
      </w:rPr>
    </w:lvl>
  </w:abstractNum>
  <w:abstractNum w:abstractNumId="37">
    <w:nsid w:val="04AD10DA"/>
    <w:multiLevelType w:val="multilevel"/>
    <w:tmpl w:val="04AD10DA"/>
    <w:lvl w:ilvl="0" w:tentative="0">
      <w:start w:val="1"/>
      <w:numFmt w:val="lowerLetter"/>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8">
    <w:nsid w:val="059A147F"/>
    <w:multiLevelType w:val="multilevel"/>
    <w:tmpl w:val="059A147F"/>
    <w:lvl w:ilvl="0" w:tentative="0">
      <w:start w:val="1"/>
      <w:numFmt w:val="decimal"/>
      <w:lvlText w:val="%1."/>
      <w:lvlJc w:val="left"/>
      <w:pPr>
        <w:ind w:left="420" w:hanging="420"/>
      </w:pPr>
      <w:rPr>
        <w:rFonts w:hint="default"/>
        <w:b w:val="0"/>
        <w:bCs w:val="0"/>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072A42C4"/>
    <w:multiLevelType w:val="singleLevel"/>
    <w:tmpl w:val="072A42C4"/>
    <w:lvl w:ilvl="0" w:tentative="0">
      <w:start w:val="1"/>
      <w:numFmt w:val="decimal"/>
      <w:lvlText w:val="(%1)"/>
      <w:lvlJc w:val="left"/>
      <w:pPr>
        <w:ind w:left="425" w:hanging="425"/>
      </w:pPr>
      <w:rPr>
        <w:rFonts w:hint="default"/>
        <w:sz w:val="21"/>
        <w:szCs w:val="21"/>
      </w:rPr>
    </w:lvl>
  </w:abstractNum>
  <w:abstractNum w:abstractNumId="40">
    <w:nsid w:val="09673ABC"/>
    <w:multiLevelType w:val="singleLevel"/>
    <w:tmpl w:val="09673ABC"/>
    <w:lvl w:ilvl="0" w:tentative="0">
      <w:start w:val="1"/>
      <w:numFmt w:val="decimalEnclosedCircleChinese"/>
      <w:suff w:val="nothing"/>
      <w:lvlText w:val="%1　"/>
      <w:lvlJc w:val="left"/>
      <w:pPr>
        <w:ind w:left="0" w:firstLine="400"/>
      </w:pPr>
      <w:rPr>
        <w:rFonts w:hint="eastAsia"/>
      </w:rPr>
    </w:lvl>
  </w:abstractNum>
  <w:abstractNum w:abstractNumId="41">
    <w:nsid w:val="09FF207D"/>
    <w:multiLevelType w:val="multilevel"/>
    <w:tmpl w:val="09FF207D"/>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2">
    <w:nsid w:val="0B8B92FB"/>
    <w:multiLevelType w:val="singleLevel"/>
    <w:tmpl w:val="0B8B92FB"/>
    <w:lvl w:ilvl="0" w:tentative="0">
      <w:start w:val="1"/>
      <w:numFmt w:val="decimalEnclosedCircleChinese"/>
      <w:suff w:val="nothing"/>
      <w:lvlText w:val="%1　"/>
      <w:lvlJc w:val="left"/>
      <w:pPr>
        <w:ind w:left="0" w:firstLine="400"/>
      </w:pPr>
      <w:rPr>
        <w:rFonts w:hint="eastAsia"/>
      </w:rPr>
    </w:lvl>
  </w:abstractNum>
  <w:abstractNum w:abstractNumId="43">
    <w:nsid w:val="0BEB759F"/>
    <w:multiLevelType w:val="multilevel"/>
    <w:tmpl w:val="0BEB759F"/>
    <w:lvl w:ilvl="0" w:tentative="0">
      <w:start w:val="1"/>
      <w:numFmt w:val="chineseCountingThousand"/>
      <w:suff w:val="nothing"/>
      <w:lvlText w:val="(%1)"/>
      <w:lvlJc w:val="left"/>
      <w:pPr>
        <w:ind w:left="420" w:hanging="420"/>
      </w:pPr>
      <w:rPr>
        <w:rFonts w:hint="eastAsia"/>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4">
    <w:nsid w:val="0FB41704"/>
    <w:multiLevelType w:val="multilevel"/>
    <w:tmpl w:val="0FB41704"/>
    <w:lvl w:ilvl="0" w:tentative="0">
      <w:start w:val="1"/>
      <w:numFmt w:val="decimal"/>
      <w:lvlText w:val="%1."/>
      <w:lvlJc w:val="left"/>
      <w:pPr>
        <w:ind w:left="840" w:hanging="420"/>
      </w:pPr>
      <w:rPr>
        <w:rFonts w:hint="default"/>
        <w:sz w:val="21"/>
        <w:szCs w:val="21"/>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5">
    <w:nsid w:val="0FCD4355"/>
    <w:multiLevelType w:val="singleLevel"/>
    <w:tmpl w:val="0FCD4355"/>
    <w:lvl w:ilvl="0" w:tentative="0">
      <w:start w:val="1"/>
      <w:numFmt w:val="decimal"/>
      <w:lvlText w:val="(%1)"/>
      <w:lvlJc w:val="left"/>
      <w:pPr>
        <w:ind w:left="425" w:hanging="425"/>
      </w:pPr>
      <w:rPr>
        <w:rFonts w:hint="default"/>
        <w:sz w:val="21"/>
        <w:szCs w:val="21"/>
      </w:rPr>
    </w:lvl>
  </w:abstractNum>
  <w:abstractNum w:abstractNumId="46">
    <w:nsid w:val="125214F2"/>
    <w:multiLevelType w:val="multilevel"/>
    <w:tmpl w:val="125214F2"/>
    <w:lvl w:ilvl="0" w:tentative="0">
      <w:start w:val="1"/>
      <w:numFmt w:val="decimal"/>
      <w:suff w:val="nothing"/>
      <w:lvlText w:val="%1)"/>
      <w:lvlJc w:val="left"/>
      <w:pPr>
        <w:ind w:left="840" w:hanging="420"/>
      </w:pPr>
      <w:rPr>
        <w:rFonts w:hint="eastAsia"/>
        <w:color w:val="auto"/>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7">
    <w:nsid w:val="140A6B21"/>
    <w:multiLevelType w:val="multilevel"/>
    <w:tmpl w:val="140A6B2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8">
    <w:nsid w:val="1D196C2A"/>
    <w:multiLevelType w:val="multilevel"/>
    <w:tmpl w:val="1D196C2A"/>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49">
    <w:nsid w:val="1EB2C048"/>
    <w:multiLevelType w:val="singleLevel"/>
    <w:tmpl w:val="1EB2C048"/>
    <w:lvl w:ilvl="0" w:tentative="0">
      <w:start w:val="1"/>
      <w:numFmt w:val="decimal"/>
      <w:lvlText w:val="(%1)"/>
      <w:lvlJc w:val="left"/>
      <w:pPr>
        <w:ind w:left="425" w:hanging="425"/>
      </w:pPr>
      <w:rPr>
        <w:rFonts w:hint="default"/>
        <w:sz w:val="21"/>
        <w:szCs w:val="21"/>
      </w:rPr>
    </w:lvl>
  </w:abstractNum>
  <w:abstractNum w:abstractNumId="50">
    <w:nsid w:val="1EBB4006"/>
    <w:multiLevelType w:val="singleLevel"/>
    <w:tmpl w:val="1EBB4006"/>
    <w:lvl w:ilvl="0" w:tentative="0">
      <w:start w:val="1"/>
      <w:numFmt w:val="chineseCounting"/>
      <w:suff w:val="nothing"/>
      <w:lvlText w:val="（%1）"/>
      <w:lvlJc w:val="left"/>
      <w:pPr>
        <w:ind w:left="0" w:firstLine="420"/>
      </w:pPr>
      <w:rPr>
        <w:rFonts w:hint="eastAsia"/>
      </w:rPr>
    </w:lvl>
  </w:abstractNum>
  <w:abstractNum w:abstractNumId="51">
    <w:nsid w:val="1FC82762"/>
    <w:multiLevelType w:val="singleLevel"/>
    <w:tmpl w:val="1FC82762"/>
    <w:lvl w:ilvl="0" w:tentative="0">
      <w:start w:val="1"/>
      <w:numFmt w:val="decimal"/>
      <w:lvlText w:val="%1."/>
      <w:lvlJc w:val="left"/>
      <w:pPr>
        <w:ind w:left="425" w:hanging="425"/>
      </w:pPr>
      <w:rPr>
        <w:rFonts w:hint="default"/>
        <w:sz w:val="21"/>
        <w:szCs w:val="21"/>
      </w:rPr>
    </w:lvl>
  </w:abstractNum>
  <w:abstractNum w:abstractNumId="52">
    <w:nsid w:val="26C14332"/>
    <w:multiLevelType w:val="singleLevel"/>
    <w:tmpl w:val="26C14332"/>
    <w:lvl w:ilvl="0" w:tentative="0">
      <w:start w:val="1"/>
      <w:numFmt w:val="lowerLetter"/>
      <w:lvlText w:val="%1."/>
      <w:lvlJc w:val="left"/>
      <w:pPr>
        <w:ind w:left="425" w:hanging="425"/>
      </w:pPr>
      <w:rPr>
        <w:rFonts w:hint="default"/>
        <w:sz w:val="21"/>
        <w:szCs w:val="21"/>
      </w:rPr>
    </w:lvl>
  </w:abstractNum>
  <w:abstractNum w:abstractNumId="53">
    <w:nsid w:val="2BF994A4"/>
    <w:multiLevelType w:val="singleLevel"/>
    <w:tmpl w:val="2BF994A4"/>
    <w:lvl w:ilvl="0" w:tentative="0">
      <w:start w:val="1"/>
      <w:numFmt w:val="decimal"/>
      <w:lvlText w:val="(%1)"/>
      <w:lvlJc w:val="left"/>
      <w:pPr>
        <w:ind w:left="425" w:hanging="425"/>
      </w:pPr>
      <w:rPr>
        <w:rFonts w:hint="default"/>
        <w:sz w:val="21"/>
        <w:szCs w:val="21"/>
      </w:rPr>
    </w:lvl>
  </w:abstractNum>
  <w:abstractNum w:abstractNumId="54">
    <w:nsid w:val="2F474396"/>
    <w:multiLevelType w:val="singleLevel"/>
    <w:tmpl w:val="2F474396"/>
    <w:lvl w:ilvl="0" w:tentative="0">
      <w:start w:val="1"/>
      <w:numFmt w:val="decimalEnclosedCircleChinese"/>
      <w:suff w:val="nothing"/>
      <w:lvlText w:val="%1　"/>
      <w:lvlJc w:val="left"/>
      <w:pPr>
        <w:ind w:left="0" w:firstLine="400"/>
      </w:pPr>
      <w:rPr>
        <w:rFonts w:hint="eastAsia"/>
        <w:sz w:val="21"/>
        <w:szCs w:val="21"/>
      </w:rPr>
    </w:lvl>
  </w:abstractNum>
  <w:abstractNum w:abstractNumId="55">
    <w:nsid w:val="31791BDB"/>
    <w:multiLevelType w:val="singleLevel"/>
    <w:tmpl w:val="31791BDB"/>
    <w:lvl w:ilvl="0" w:tentative="0">
      <w:start w:val="1"/>
      <w:numFmt w:val="chineseCounting"/>
      <w:suff w:val="nothing"/>
      <w:lvlText w:val="（%1）"/>
      <w:lvlJc w:val="left"/>
      <w:pPr>
        <w:ind w:left="0" w:firstLine="420"/>
      </w:pPr>
      <w:rPr>
        <w:rFonts w:hint="eastAsia"/>
      </w:rPr>
    </w:lvl>
  </w:abstractNum>
  <w:abstractNum w:abstractNumId="56">
    <w:nsid w:val="338F5FA4"/>
    <w:multiLevelType w:val="multilevel"/>
    <w:tmpl w:val="338F5FA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3408D1E0"/>
    <w:multiLevelType w:val="singleLevel"/>
    <w:tmpl w:val="3408D1E0"/>
    <w:lvl w:ilvl="0" w:tentative="0">
      <w:start w:val="1"/>
      <w:numFmt w:val="decimalEnclosedCircleChinese"/>
      <w:suff w:val="nothing"/>
      <w:lvlText w:val="%1　"/>
      <w:lvlJc w:val="left"/>
      <w:pPr>
        <w:ind w:left="0" w:firstLine="400"/>
      </w:pPr>
      <w:rPr>
        <w:rFonts w:hint="eastAsia"/>
        <w:sz w:val="21"/>
        <w:szCs w:val="21"/>
      </w:rPr>
    </w:lvl>
  </w:abstractNum>
  <w:abstractNum w:abstractNumId="58">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59">
    <w:nsid w:val="391C35C9"/>
    <w:multiLevelType w:val="multilevel"/>
    <w:tmpl w:val="391C35C9"/>
    <w:lvl w:ilvl="0" w:tentative="0">
      <w:start w:val="1"/>
      <w:numFmt w:val="chineseCountingThousand"/>
      <w:pStyle w:val="169"/>
      <w:lvlText w:val="(%1)"/>
      <w:lvlJc w:val="left"/>
      <w:pPr>
        <w:ind w:left="440" w:hanging="440"/>
      </w:pPr>
      <w:rPr>
        <w:rFonts w:asciiTheme="minorEastAsia" w:hAnsiTheme="minorEastAsia" w:eastAsiaTheme="minorEastAsia"/>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0">
    <w:nsid w:val="394ECDA4"/>
    <w:multiLevelType w:val="multilevel"/>
    <w:tmpl w:val="394ECDA4"/>
    <w:lvl w:ilvl="0" w:tentative="0">
      <w:start w:val="1"/>
      <w:numFmt w:val="chineseCounting"/>
      <w:suff w:val="nothing"/>
      <w:lvlText w:val="%1、"/>
      <w:lvlJc w:val="left"/>
      <w:pPr>
        <w:ind w:left="0" w:firstLine="400"/>
      </w:pPr>
      <w:rPr>
        <w:rFonts w:hint="eastAsia"/>
        <w:b/>
        <w:bCs/>
        <w:sz w:val="21"/>
        <w:szCs w:val="21"/>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1">
    <w:nsid w:val="3C2358AE"/>
    <w:multiLevelType w:val="multilevel"/>
    <w:tmpl w:val="3C2358AE"/>
    <w:lvl w:ilvl="0" w:tentative="0">
      <w:start w:val="1"/>
      <w:numFmt w:val="chineseCountingThousand"/>
      <w:suff w:val="nothing"/>
      <w:lvlText w:val="%1、"/>
      <w:lvlJc w:val="left"/>
      <w:pPr>
        <w:ind w:left="440" w:hanging="440"/>
      </w:pPr>
      <w:rPr>
        <w:rFonts w:hint="eastAsia"/>
        <w:sz w:val="21"/>
        <w:szCs w:val="21"/>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2">
    <w:nsid w:val="3C3A3640"/>
    <w:multiLevelType w:val="multilevel"/>
    <w:tmpl w:val="3C3A3640"/>
    <w:lvl w:ilvl="0" w:tentative="0">
      <w:start w:val="1"/>
      <w:numFmt w:val="chineseCountingThousand"/>
      <w:suff w:val="space"/>
      <w:lvlText w:val="(%1)"/>
      <w:lvlJc w:val="left"/>
      <w:pPr>
        <w:ind w:left="0" w:firstLine="42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3">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4">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5">
    <w:nsid w:val="4128E7AC"/>
    <w:multiLevelType w:val="singleLevel"/>
    <w:tmpl w:val="4128E7AC"/>
    <w:lvl w:ilvl="0" w:tentative="0">
      <w:start w:val="2"/>
      <w:numFmt w:val="chineseCounting"/>
      <w:suff w:val="space"/>
      <w:lvlText w:val="第%1章"/>
      <w:lvlJc w:val="left"/>
      <w:rPr>
        <w:rFonts w:hint="eastAsia"/>
      </w:rPr>
    </w:lvl>
  </w:abstractNum>
  <w:abstractNum w:abstractNumId="66">
    <w:nsid w:val="42316896"/>
    <w:multiLevelType w:val="singleLevel"/>
    <w:tmpl w:val="42316896"/>
    <w:lvl w:ilvl="0" w:tentative="0">
      <w:start w:val="1"/>
      <w:numFmt w:val="lowerLetter"/>
      <w:lvlText w:val="%1."/>
      <w:lvlJc w:val="left"/>
      <w:pPr>
        <w:ind w:left="425" w:hanging="425"/>
      </w:pPr>
      <w:rPr>
        <w:rFonts w:hint="default"/>
        <w:sz w:val="21"/>
        <w:szCs w:val="21"/>
      </w:rPr>
    </w:lvl>
  </w:abstractNum>
  <w:abstractNum w:abstractNumId="67">
    <w:nsid w:val="423D5CB7"/>
    <w:multiLevelType w:val="multilevel"/>
    <w:tmpl w:val="423D5CB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42E39D6D"/>
    <w:multiLevelType w:val="singleLevel"/>
    <w:tmpl w:val="42E39D6D"/>
    <w:lvl w:ilvl="0" w:tentative="0">
      <w:start w:val="1"/>
      <w:numFmt w:val="lowerLetter"/>
      <w:lvlText w:val="%1."/>
      <w:lvlJc w:val="left"/>
      <w:pPr>
        <w:ind w:left="425" w:hanging="425"/>
      </w:pPr>
      <w:rPr>
        <w:rFonts w:hint="default"/>
      </w:rPr>
    </w:lvl>
  </w:abstractNum>
  <w:abstractNum w:abstractNumId="69">
    <w:nsid w:val="48E0061D"/>
    <w:multiLevelType w:val="multilevel"/>
    <w:tmpl w:val="48E0061D"/>
    <w:lvl w:ilvl="0" w:tentative="0">
      <w:start w:val="1"/>
      <w:numFmt w:val="decimal"/>
      <w:lvlText w:val="%1."/>
      <w:lvlJc w:val="left"/>
      <w:pPr>
        <w:ind w:left="420" w:hanging="420"/>
      </w:pPr>
      <w:rPr>
        <w:rFonts w:hint="default"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4BFB2705"/>
    <w:multiLevelType w:val="singleLevel"/>
    <w:tmpl w:val="4BFB2705"/>
    <w:lvl w:ilvl="0" w:tentative="0">
      <w:start w:val="1"/>
      <w:numFmt w:val="decimal"/>
      <w:lvlText w:val="(%1)"/>
      <w:lvlJc w:val="left"/>
      <w:pPr>
        <w:ind w:left="425" w:hanging="425"/>
      </w:pPr>
      <w:rPr>
        <w:rFonts w:hint="default"/>
      </w:rPr>
    </w:lvl>
  </w:abstractNum>
  <w:abstractNum w:abstractNumId="71">
    <w:nsid w:val="52008E65"/>
    <w:multiLevelType w:val="singleLevel"/>
    <w:tmpl w:val="52008E65"/>
    <w:lvl w:ilvl="0" w:tentative="0">
      <w:start w:val="1"/>
      <w:numFmt w:val="decimal"/>
      <w:lvlText w:val="%1."/>
      <w:lvlJc w:val="left"/>
      <w:pPr>
        <w:ind w:left="425" w:hanging="425"/>
      </w:pPr>
      <w:rPr>
        <w:rFonts w:hint="default"/>
        <w:sz w:val="21"/>
        <w:szCs w:val="21"/>
      </w:rPr>
    </w:lvl>
  </w:abstractNum>
  <w:abstractNum w:abstractNumId="72">
    <w:nsid w:val="55AD70E7"/>
    <w:multiLevelType w:val="singleLevel"/>
    <w:tmpl w:val="55AD70E7"/>
    <w:lvl w:ilvl="0" w:tentative="0">
      <w:start w:val="1"/>
      <w:numFmt w:val="decimal"/>
      <w:lvlText w:val="(%1)"/>
      <w:lvlJc w:val="left"/>
      <w:pPr>
        <w:ind w:left="425" w:hanging="425"/>
      </w:pPr>
      <w:rPr>
        <w:rFonts w:hint="default"/>
      </w:rPr>
    </w:lvl>
  </w:abstractNum>
  <w:abstractNum w:abstractNumId="73">
    <w:nsid w:val="576B594D"/>
    <w:multiLevelType w:val="multilevel"/>
    <w:tmpl w:val="576B594D"/>
    <w:lvl w:ilvl="0" w:tentative="0">
      <w:start w:val="1"/>
      <w:numFmt w:val="none"/>
      <w:pStyle w:val="183"/>
      <w:suff w:val="space"/>
      <w:lvlText w:val=""/>
      <w:lvlJc w:val="left"/>
      <w:pPr>
        <w:ind w:left="0" w:firstLine="0"/>
      </w:pPr>
      <w:rPr>
        <w:rFonts w:hint="eastAsia"/>
      </w:rPr>
    </w:lvl>
    <w:lvl w:ilvl="1" w:tentative="0">
      <w:start w:val="1"/>
      <w:numFmt w:val="none"/>
      <w:pStyle w:val="182"/>
      <w:suff w:val="space"/>
      <w:lvlText w:val=""/>
      <w:lvlJc w:val="left"/>
      <w:pPr>
        <w:ind w:left="0" w:firstLine="0"/>
      </w:pPr>
      <w:rPr>
        <w:rFonts w:hint="eastAsia"/>
      </w:rPr>
    </w:lvl>
    <w:lvl w:ilvl="2" w:tentative="0">
      <w:start w:val="1"/>
      <w:numFmt w:val="none"/>
      <w:suff w:val="space"/>
      <w:lvlText w:val=""/>
      <w:lvlJc w:val="left"/>
      <w:pPr>
        <w:ind w:left="0" w:firstLine="0"/>
      </w:pPr>
      <w:rPr>
        <w:rFonts w:hint="eastAsia"/>
      </w:rPr>
    </w:lvl>
    <w:lvl w:ilvl="3" w:tentative="0">
      <w:start w:val="1"/>
      <w:numFmt w:val="none"/>
      <w:suff w:val="space"/>
      <w:lvlText w:val=""/>
      <w:lvlJc w:val="left"/>
      <w:pPr>
        <w:ind w:left="0" w:firstLine="0"/>
      </w:pPr>
      <w:rPr>
        <w:rFonts w:hint="eastAsia"/>
      </w:rPr>
    </w:lvl>
    <w:lvl w:ilvl="4" w:tentative="0">
      <w:start w:val="1"/>
      <w:numFmt w:val="none"/>
      <w:suff w:val="space"/>
      <w:lvlText w:val=""/>
      <w:lvlJc w:val="left"/>
      <w:pPr>
        <w:ind w:left="0" w:firstLine="0"/>
      </w:pPr>
      <w:rPr>
        <w:rFonts w:hint="eastAsia"/>
      </w:rPr>
    </w:lvl>
    <w:lvl w:ilvl="5" w:tentative="0">
      <w:start w:val="1"/>
      <w:numFmt w:val="none"/>
      <w:suff w:val="space"/>
      <w:lvlText w:val=""/>
      <w:lvlJc w:val="left"/>
      <w:pPr>
        <w:ind w:left="0" w:firstLine="0"/>
      </w:pPr>
      <w:rPr>
        <w:rFonts w:hint="eastAsia"/>
      </w:rPr>
    </w:lvl>
    <w:lvl w:ilvl="6" w:tentative="0">
      <w:start w:val="1"/>
      <w:numFmt w:val="none"/>
      <w:suff w:val="space"/>
      <w:lvlText w:val="%7%1"/>
      <w:lvlJc w:val="left"/>
      <w:pPr>
        <w:ind w:left="0" w:firstLine="0"/>
      </w:pPr>
      <w:rPr>
        <w:rFonts w:hint="eastAsia"/>
      </w:rPr>
    </w:lvl>
    <w:lvl w:ilvl="7" w:tentative="0">
      <w:start w:val="1"/>
      <w:numFmt w:val="none"/>
      <w:suff w:val="space"/>
      <w:lvlText w:val="%8%1"/>
      <w:lvlJc w:val="left"/>
      <w:pPr>
        <w:ind w:left="0" w:firstLine="0"/>
      </w:pPr>
      <w:rPr>
        <w:rFonts w:hint="eastAsia"/>
      </w:rPr>
    </w:lvl>
    <w:lvl w:ilvl="8" w:tentative="0">
      <w:start w:val="1"/>
      <w:numFmt w:val="none"/>
      <w:suff w:val="space"/>
      <w:lvlText w:val=""/>
      <w:lvlJc w:val="left"/>
      <w:pPr>
        <w:ind w:left="0" w:firstLine="0"/>
      </w:pPr>
      <w:rPr>
        <w:rFonts w:hint="eastAsia"/>
      </w:rPr>
    </w:lvl>
  </w:abstractNum>
  <w:abstractNum w:abstractNumId="74">
    <w:nsid w:val="59794862"/>
    <w:multiLevelType w:val="multilevel"/>
    <w:tmpl w:val="5979486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5">
    <w:nsid w:val="5BA6A259"/>
    <w:multiLevelType w:val="multilevel"/>
    <w:tmpl w:val="5BA6A25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5BB54A11"/>
    <w:multiLevelType w:val="singleLevel"/>
    <w:tmpl w:val="5BB54A11"/>
    <w:lvl w:ilvl="0" w:tentative="0">
      <w:start w:val="1"/>
      <w:numFmt w:val="lowerLetter"/>
      <w:lvlText w:val="%1."/>
      <w:lvlJc w:val="left"/>
      <w:pPr>
        <w:ind w:left="425" w:hanging="425"/>
      </w:pPr>
      <w:rPr>
        <w:rFonts w:hint="default"/>
        <w:sz w:val="21"/>
        <w:szCs w:val="21"/>
      </w:rPr>
    </w:lvl>
  </w:abstractNum>
  <w:abstractNum w:abstractNumId="77">
    <w:nsid w:val="5C7FB6AD"/>
    <w:multiLevelType w:val="singleLevel"/>
    <w:tmpl w:val="5C7FB6AD"/>
    <w:lvl w:ilvl="0" w:tentative="0">
      <w:start w:val="1"/>
      <w:numFmt w:val="lowerLetter"/>
      <w:lvlText w:val="%1."/>
      <w:lvlJc w:val="left"/>
      <w:pPr>
        <w:ind w:left="425" w:hanging="425"/>
      </w:pPr>
      <w:rPr>
        <w:rFonts w:hint="default"/>
        <w:b w:val="0"/>
        <w:bCs w:val="0"/>
        <w:sz w:val="21"/>
        <w:szCs w:val="21"/>
      </w:rPr>
    </w:lvl>
  </w:abstractNum>
  <w:abstractNum w:abstractNumId="78">
    <w:nsid w:val="5D1889A0"/>
    <w:multiLevelType w:val="multilevel"/>
    <w:tmpl w:val="5D1889A0"/>
    <w:lvl w:ilvl="0" w:tentative="0">
      <w:start w:val="1"/>
      <w:numFmt w:val="decimal"/>
      <w:suff w:val="space"/>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rPr>
        <w:rFonts w:hint="eastAsia"/>
      </w:rPr>
    </w:lvl>
    <w:lvl w:ilvl="2" w:tentative="0">
      <w:start w:val="1"/>
      <w:numFmt w:val="lowerRoman"/>
      <w:lvlText w:val="%3."/>
      <w:lvlJc w:val="right"/>
      <w:pPr>
        <w:ind w:left="976" w:hanging="420"/>
      </w:pPr>
      <w:rPr>
        <w:rFonts w:hint="eastAsia"/>
      </w:rPr>
    </w:lvl>
    <w:lvl w:ilvl="3" w:tentative="0">
      <w:start w:val="1"/>
      <w:numFmt w:val="decimal"/>
      <w:lvlText w:val="%4."/>
      <w:lvlJc w:val="left"/>
      <w:pPr>
        <w:ind w:left="1396" w:hanging="420"/>
      </w:pPr>
      <w:rPr>
        <w:rFonts w:hint="eastAsia"/>
      </w:rPr>
    </w:lvl>
    <w:lvl w:ilvl="4" w:tentative="0">
      <w:start w:val="1"/>
      <w:numFmt w:val="lowerLetter"/>
      <w:lvlText w:val="%5)"/>
      <w:lvlJc w:val="left"/>
      <w:pPr>
        <w:ind w:left="1816" w:hanging="420"/>
      </w:pPr>
      <w:rPr>
        <w:rFonts w:hint="eastAsia"/>
      </w:rPr>
    </w:lvl>
    <w:lvl w:ilvl="5" w:tentative="0">
      <w:start w:val="1"/>
      <w:numFmt w:val="lowerRoman"/>
      <w:lvlText w:val="%6."/>
      <w:lvlJc w:val="right"/>
      <w:pPr>
        <w:ind w:left="2236" w:hanging="420"/>
      </w:pPr>
      <w:rPr>
        <w:rFonts w:hint="eastAsia"/>
      </w:rPr>
    </w:lvl>
    <w:lvl w:ilvl="6" w:tentative="0">
      <w:start w:val="1"/>
      <w:numFmt w:val="decimal"/>
      <w:lvlText w:val="%7."/>
      <w:lvlJc w:val="left"/>
      <w:pPr>
        <w:ind w:left="2656" w:hanging="420"/>
      </w:pPr>
      <w:rPr>
        <w:rFonts w:hint="eastAsia"/>
      </w:rPr>
    </w:lvl>
    <w:lvl w:ilvl="7" w:tentative="0">
      <w:start w:val="1"/>
      <w:numFmt w:val="lowerLetter"/>
      <w:lvlText w:val="%8)"/>
      <w:lvlJc w:val="left"/>
      <w:pPr>
        <w:ind w:left="3076" w:hanging="420"/>
      </w:pPr>
      <w:rPr>
        <w:rFonts w:hint="eastAsia"/>
      </w:rPr>
    </w:lvl>
    <w:lvl w:ilvl="8" w:tentative="0">
      <w:start w:val="1"/>
      <w:numFmt w:val="lowerRoman"/>
      <w:lvlText w:val="%9."/>
      <w:lvlJc w:val="right"/>
      <w:pPr>
        <w:ind w:left="3496" w:hanging="420"/>
      </w:pPr>
      <w:rPr>
        <w:rFonts w:hint="eastAsia"/>
      </w:rPr>
    </w:lvl>
  </w:abstractNum>
  <w:abstractNum w:abstractNumId="79">
    <w:nsid w:val="5FEB78A1"/>
    <w:multiLevelType w:val="multilevel"/>
    <w:tmpl w:val="5FEB78A1"/>
    <w:lvl w:ilvl="0" w:tentative="0">
      <w:start w:val="1"/>
      <w:numFmt w:val="decimal"/>
      <w:lvlText w:val="%1."/>
      <w:lvlJc w:val="left"/>
      <w:pPr>
        <w:ind w:left="420" w:hanging="420"/>
      </w:pPr>
      <w:rPr>
        <w:rFonts w:hint="default"/>
        <w:b w:val="0"/>
        <w:bCs w:val="0"/>
        <w:sz w:val="21"/>
        <w:szCs w:val="21"/>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61A7E5A5"/>
    <w:multiLevelType w:val="singleLevel"/>
    <w:tmpl w:val="61A7E5A5"/>
    <w:lvl w:ilvl="0" w:tentative="0">
      <w:start w:val="1"/>
      <w:numFmt w:val="decimalEnclosedCircleChinese"/>
      <w:suff w:val="nothing"/>
      <w:lvlText w:val="%1　"/>
      <w:lvlJc w:val="left"/>
      <w:pPr>
        <w:ind w:left="0" w:firstLine="400"/>
      </w:pPr>
      <w:rPr>
        <w:rFonts w:hint="eastAsia"/>
      </w:rPr>
    </w:lvl>
  </w:abstractNum>
  <w:abstractNum w:abstractNumId="81">
    <w:nsid w:val="63784A10"/>
    <w:multiLevelType w:val="multilevel"/>
    <w:tmpl w:val="63784A10"/>
    <w:lvl w:ilvl="0" w:tentative="0">
      <w:start w:val="1"/>
      <w:numFmt w:val="chineseCountingThousand"/>
      <w:suff w:val="nothing"/>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6D1FB573"/>
    <w:multiLevelType w:val="singleLevel"/>
    <w:tmpl w:val="6D1FB573"/>
    <w:lvl w:ilvl="0" w:tentative="0">
      <w:start w:val="1"/>
      <w:numFmt w:val="decimal"/>
      <w:lvlText w:val="(%1)"/>
      <w:lvlJc w:val="left"/>
      <w:pPr>
        <w:ind w:left="425" w:hanging="425"/>
      </w:pPr>
      <w:rPr>
        <w:rFonts w:hint="default"/>
        <w:sz w:val="21"/>
        <w:szCs w:val="21"/>
      </w:rPr>
    </w:lvl>
  </w:abstractNum>
  <w:abstractNum w:abstractNumId="83">
    <w:nsid w:val="70BEE76B"/>
    <w:multiLevelType w:val="singleLevel"/>
    <w:tmpl w:val="70BEE76B"/>
    <w:lvl w:ilvl="0" w:tentative="0">
      <w:start w:val="1"/>
      <w:numFmt w:val="decimalEnclosedCircleChinese"/>
      <w:suff w:val="nothing"/>
      <w:lvlText w:val="%1　"/>
      <w:lvlJc w:val="left"/>
      <w:pPr>
        <w:ind w:left="0" w:firstLine="400"/>
      </w:pPr>
      <w:rPr>
        <w:rFonts w:hint="eastAsia"/>
        <w:sz w:val="21"/>
        <w:szCs w:val="21"/>
      </w:rPr>
    </w:lvl>
  </w:abstractNum>
  <w:abstractNum w:abstractNumId="84">
    <w:nsid w:val="7182CE05"/>
    <w:multiLevelType w:val="multilevel"/>
    <w:tmpl w:val="7182CE0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5">
    <w:nsid w:val="71BCA58D"/>
    <w:multiLevelType w:val="singleLevel"/>
    <w:tmpl w:val="71BCA58D"/>
    <w:lvl w:ilvl="0" w:tentative="0">
      <w:start w:val="1"/>
      <w:numFmt w:val="decimalEnclosedCircleChinese"/>
      <w:suff w:val="nothing"/>
      <w:lvlText w:val="%1　"/>
      <w:lvlJc w:val="left"/>
      <w:pPr>
        <w:ind w:left="0" w:firstLine="400"/>
      </w:pPr>
      <w:rPr>
        <w:rFonts w:hint="eastAsia"/>
        <w:sz w:val="21"/>
        <w:szCs w:val="21"/>
      </w:rPr>
    </w:lvl>
  </w:abstractNum>
  <w:abstractNum w:abstractNumId="86">
    <w:nsid w:val="73AE2123"/>
    <w:multiLevelType w:val="singleLevel"/>
    <w:tmpl w:val="73AE2123"/>
    <w:lvl w:ilvl="0" w:tentative="0">
      <w:start w:val="1"/>
      <w:numFmt w:val="decimal"/>
      <w:suff w:val="nothing"/>
      <w:lvlText w:val="（%1）"/>
      <w:lvlJc w:val="left"/>
    </w:lvl>
  </w:abstractNum>
  <w:abstractNum w:abstractNumId="87">
    <w:nsid w:val="75B4A240"/>
    <w:multiLevelType w:val="singleLevel"/>
    <w:tmpl w:val="75B4A240"/>
    <w:lvl w:ilvl="0" w:tentative="0">
      <w:start w:val="1"/>
      <w:numFmt w:val="decimal"/>
      <w:lvlText w:val="(%1)"/>
      <w:lvlJc w:val="left"/>
      <w:pPr>
        <w:ind w:left="425" w:hanging="425"/>
      </w:pPr>
      <w:rPr>
        <w:rFonts w:hint="default"/>
      </w:rPr>
    </w:lvl>
  </w:abstractNum>
  <w:abstractNum w:abstractNumId="88">
    <w:nsid w:val="76E92880"/>
    <w:multiLevelType w:val="multilevel"/>
    <w:tmpl w:val="76E92880"/>
    <w:lvl w:ilvl="0" w:tentative="0">
      <w:start w:val="1"/>
      <w:numFmt w:val="decimal"/>
      <w:suff w:val="nothing"/>
      <w:lvlText w:val="%1)"/>
      <w:lvlJc w:val="left"/>
      <w:pPr>
        <w:ind w:left="840" w:hanging="420"/>
      </w:pPr>
      <w:rPr>
        <w:rFonts w:hint="eastAsia"/>
        <w:color w:val="auto"/>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9">
    <w:nsid w:val="7867E200"/>
    <w:multiLevelType w:val="singleLevel"/>
    <w:tmpl w:val="7867E200"/>
    <w:lvl w:ilvl="0" w:tentative="0">
      <w:start w:val="1"/>
      <w:numFmt w:val="decimal"/>
      <w:lvlText w:val="(%1)"/>
      <w:lvlJc w:val="left"/>
      <w:pPr>
        <w:ind w:left="425" w:hanging="425"/>
      </w:pPr>
      <w:rPr>
        <w:rFonts w:hint="default"/>
        <w:sz w:val="21"/>
        <w:szCs w:val="21"/>
      </w:rPr>
    </w:lvl>
  </w:abstractNum>
  <w:abstractNum w:abstractNumId="90">
    <w:nsid w:val="78715BB6"/>
    <w:multiLevelType w:val="multilevel"/>
    <w:tmpl w:val="78715BB6"/>
    <w:lvl w:ilvl="0" w:tentative="0">
      <w:start w:val="1"/>
      <w:numFmt w:val="chineseCountingThousand"/>
      <w:suff w:val="nothing"/>
      <w:lvlText w:val="(%1)"/>
      <w:lvlJc w:val="left"/>
      <w:pPr>
        <w:ind w:left="981" w:hanging="981"/>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1">
    <w:nsid w:val="78C0CC9A"/>
    <w:multiLevelType w:val="singleLevel"/>
    <w:tmpl w:val="78C0CC9A"/>
    <w:lvl w:ilvl="0" w:tentative="0">
      <w:start w:val="1"/>
      <w:numFmt w:val="chineseCounting"/>
      <w:suff w:val="nothing"/>
      <w:lvlText w:val="（%1）"/>
      <w:lvlJc w:val="left"/>
      <w:pPr>
        <w:ind w:left="0" w:firstLine="420"/>
      </w:pPr>
      <w:rPr>
        <w:rFonts w:hint="eastAsia"/>
      </w:rPr>
    </w:lvl>
  </w:abstractNum>
  <w:abstractNum w:abstractNumId="92">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3">
    <w:nsid w:val="7B1F4838"/>
    <w:multiLevelType w:val="singleLevel"/>
    <w:tmpl w:val="7B1F4838"/>
    <w:lvl w:ilvl="0" w:tentative="0">
      <w:start w:val="1"/>
      <w:numFmt w:val="decimal"/>
      <w:suff w:val="nothing"/>
      <w:lvlText w:val="（%1）"/>
      <w:lvlJc w:val="left"/>
    </w:lvl>
  </w:abstractNum>
  <w:abstractNum w:abstractNumId="94">
    <w:nsid w:val="7FAB8907"/>
    <w:multiLevelType w:val="singleLevel"/>
    <w:tmpl w:val="7FAB8907"/>
    <w:lvl w:ilvl="0" w:tentative="0">
      <w:start w:val="1"/>
      <w:numFmt w:val="decimal"/>
      <w:lvlText w:val="(%1)"/>
      <w:lvlJc w:val="left"/>
      <w:pPr>
        <w:ind w:left="425" w:hanging="425"/>
      </w:pPr>
      <w:rPr>
        <w:rFonts w:hint="default"/>
        <w:sz w:val="21"/>
        <w:szCs w:val="21"/>
      </w:rPr>
    </w:lvl>
  </w:abstractNum>
  <w:num w:numId="1">
    <w:abstractNumId w:val="35"/>
  </w:num>
  <w:num w:numId="2">
    <w:abstractNumId w:val="59"/>
  </w:num>
  <w:num w:numId="3">
    <w:abstractNumId w:val="73"/>
  </w:num>
  <w:num w:numId="4">
    <w:abstractNumId w:val="81"/>
  </w:num>
  <w:num w:numId="5">
    <w:abstractNumId w:val="43"/>
  </w:num>
  <w:num w:numId="6">
    <w:abstractNumId w:val="63"/>
  </w:num>
  <w:num w:numId="7">
    <w:abstractNumId w:val="48"/>
  </w:num>
  <w:num w:numId="8">
    <w:abstractNumId w:val="88"/>
  </w:num>
  <w:num w:numId="9">
    <w:abstractNumId w:val="90"/>
  </w:num>
  <w:num w:numId="10">
    <w:abstractNumId w:val="62"/>
  </w:num>
  <w:num w:numId="11">
    <w:abstractNumId w:val="74"/>
  </w:num>
  <w:num w:numId="12">
    <w:abstractNumId w:val="44"/>
  </w:num>
  <w:num w:numId="13">
    <w:abstractNumId w:val="46"/>
  </w:num>
  <w:num w:numId="14">
    <w:abstractNumId w:val="64"/>
  </w:num>
  <w:num w:numId="15">
    <w:abstractNumId w:val="47"/>
  </w:num>
  <w:num w:numId="16">
    <w:abstractNumId w:val="37"/>
  </w:num>
  <w:num w:numId="17">
    <w:abstractNumId w:val="41"/>
  </w:num>
  <w:num w:numId="18">
    <w:abstractNumId w:val="65"/>
  </w:num>
  <w:num w:numId="19">
    <w:abstractNumId w:val="6"/>
  </w:num>
  <w:num w:numId="20">
    <w:abstractNumId w:val="61"/>
  </w:num>
  <w:num w:numId="21">
    <w:abstractNumId w:val="60"/>
  </w:num>
  <w:num w:numId="22">
    <w:abstractNumId w:val="55"/>
  </w:num>
  <w:num w:numId="23">
    <w:abstractNumId w:val="27"/>
  </w:num>
  <w:num w:numId="24">
    <w:abstractNumId w:val="50"/>
  </w:num>
  <w:num w:numId="25">
    <w:abstractNumId w:val="23"/>
  </w:num>
  <w:num w:numId="26">
    <w:abstractNumId w:val="4"/>
  </w:num>
  <w:num w:numId="27">
    <w:abstractNumId w:val="12"/>
  </w:num>
  <w:num w:numId="28">
    <w:abstractNumId w:val="89"/>
  </w:num>
  <w:num w:numId="29">
    <w:abstractNumId w:val="18"/>
  </w:num>
  <w:num w:numId="30">
    <w:abstractNumId w:val="32"/>
  </w:num>
  <w:num w:numId="31">
    <w:abstractNumId w:val="16"/>
  </w:num>
  <w:num w:numId="32">
    <w:abstractNumId w:val="82"/>
  </w:num>
  <w:num w:numId="33">
    <w:abstractNumId w:val="94"/>
  </w:num>
  <w:num w:numId="34">
    <w:abstractNumId w:val="28"/>
  </w:num>
  <w:num w:numId="35">
    <w:abstractNumId w:val="8"/>
  </w:num>
  <w:num w:numId="36">
    <w:abstractNumId w:val="49"/>
  </w:num>
  <w:num w:numId="37">
    <w:abstractNumId w:val="53"/>
  </w:num>
  <w:num w:numId="38">
    <w:abstractNumId w:val="21"/>
  </w:num>
  <w:num w:numId="39">
    <w:abstractNumId w:val="17"/>
  </w:num>
  <w:num w:numId="40">
    <w:abstractNumId w:val="45"/>
  </w:num>
  <w:num w:numId="41">
    <w:abstractNumId w:val="11"/>
  </w:num>
  <w:num w:numId="42">
    <w:abstractNumId w:val="9"/>
  </w:num>
  <w:num w:numId="43">
    <w:abstractNumId w:val="39"/>
  </w:num>
  <w:num w:numId="44">
    <w:abstractNumId w:val="91"/>
  </w:num>
  <w:num w:numId="45">
    <w:abstractNumId w:val="51"/>
  </w:num>
  <w:num w:numId="46">
    <w:abstractNumId w:val="7"/>
  </w:num>
  <w:num w:numId="47">
    <w:abstractNumId w:val="85"/>
  </w:num>
  <w:num w:numId="48">
    <w:abstractNumId w:val="10"/>
  </w:num>
  <w:num w:numId="49">
    <w:abstractNumId w:val="2"/>
  </w:num>
  <w:num w:numId="50">
    <w:abstractNumId w:val="76"/>
  </w:num>
  <w:num w:numId="51">
    <w:abstractNumId w:val="86"/>
  </w:num>
  <w:num w:numId="52">
    <w:abstractNumId w:val="93"/>
  </w:num>
  <w:num w:numId="53">
    <w:abstractNumId w:val="15"/>
  </w:num>
  <w:num w:numId="54">
    <w:abstractNumId w:val="24"/>
  </w:num>
  <w:num w:numId="55">
    <w:abstractNumId w:val="40"/>
  </w:num>
  <w:num w:numId="56">
    <w:abstractNumId w:val="25"/>
  </w:num>
  <w:num w:numId="57">
    <w:abstractNumId w:val="42"/>
  </w:num>
  <w:num w:numId="58">
    <w:abstractNumId w:val="68"/>
  </w:num>
  <w:num w:numId="59">
    <w:abstractNumId w:val="66"/>
  </w:num>
  <w:num w:numId="60">
    <w:abstractNumId w:val="33"/>
  </w:num>
  <w:num w:numId="61">
    <w:abstractNumId w:val="0"/>
  </w:num>
  <w:num w:numId="62">
    <w:abstractNumId w:val="5"/>
  </w:num>
  <w:num w:numId="63">
    <w:abstractNumId w:val="80"/>
  </w:num>
  <w:num w:numId="64">
    <w:abstractNumId w:val="77"/>
  </w:num>
  <w:num w:numId="65">
    <w:abstractNumId w:val="14"/>
  </w:num>
  <w:num w:numId="66">
    <w:abstractNumId w:val="19"/>
  </w:num>
  <w:num w:numId="67">
    <w:abstractNumId w:val="70"/>
  </w:num>
  <w:num w:numId="68">
    <w:abstractNumId w:val="52"/>
  </w:num>
  <w:num w:numId="69">
    <w:abstractNumId w:val="30"/>
  </w:num>
  <w:num w:numId="70">
    <w:abstractNumId w:val="71"/>
  </w:num>
  <w:num w:numId="71">
    <w:abstractNumId w:val="87"/>
  </w:num>
  <w:num w:numId="72">
    <w:abstractNumId w:val="36"/>
  </w:num>
  <w:num w:numId="73">
    <w:abstractNumId w:val="34"/>
  </w:num>
  <w:num w:numId="74">
    <w:abstractNumId w:val="57"/>
  </w:num>
  <w:num w:numId="75">
    <w:abstractNumId w:val="54"/>
  </w:num>
  <w:num w:numId="76">
    <w:abstractNumId w:val="72"/>
  </w:num>
  <w:num w:numId="77">
    <w:abstractNumId w:val="20"/>
  </w:num>
  <w:num w:numId="78">
    <w:abstractNumId w:val="83"/>
  </w:num>
  <w:num w:numId="79">
    <w:abstractNumId w:val="13"/>
  </w:num>
  <w:num w:numId="80">
    <w:abstractNumId w:val="26"/>
  </w:num>
  <w:num w:numId="81">
    <w:abstractNumId w:val="22"/>
  </w:num>
  <w:num w:numId="82">
    <w:abstractNumId w:val="3"/>
  </w:num>
  <w:num w:numId="83">
    <w:abstractNumId w:val="58"/>
  </w:num>
  <w:num w:numId="84">
    <w:abstractNumId w:val="67"/>
  </w:num>
  <w:num w:numId="85">
    <w:abstractNumId w:val="56"/>
  </w:num>
  <w:num w:numId="86">
    <w:abstractNumId w:val="1"/>
  </w:num>
  <w:num w:numId="87">
    <w:abstractNumId w:val="78"/>
  </w:num>
  <w:num w:numId="88">
    <w:abstractNumId w:val="29"/>
  </w:num>
  <w:num w:numId="89">
    <w:abstractNumId w:val="92"/>
  </w:num>
  <w:num w:numId="90">
    <w:abstractNumId w:val="69"/>
  </w:num>
  <w:num w:numId="91">
    <w:abstractNumId w:val="75"/>
  </w:num>
  <w:num w:numId="92">
    <w:abstractNumId w:val="31"/>
  </w:num>
  <w:num w:numId="93">
    <w:abstractNumId w:val="84"/>
  </w:num>
  <w:num w:numId="94">
    <w:abstractNumId w:val="79"/>
  </w:num>
  <w:num w:numId="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wZjFiZWNhMjRlZjI1ZDllNTk0ZWFhMzk0MzQ5ZDQifQ=="/>
  </w:docVars>
  <w:rsids>
    <w:rsidRoot w:val="00603670"/>
    <w:rsid w:val="0000298A"/>
    <w:rsid w:val="00003F81"/>
    <w:rsid w:val="00004935"/>
    <w:rsid w:val="00011692"/>
    <w:rsid w:val="00011A82"/>
    <w:rsid w:val="00012F14"/>
    <w:rsid w:val="000163AB"/>
    <w:rsid w:val="00027036"/>
    <w:rsid w:val="00031F11"/>
    <w:rsid w:val="00035EFD"/>
    <w:rsid w:val="000379D5"/>
    <w:rsid w:val="00042B6B"/>
    <w:rsid w:val="00042D8E"/>
    <w:rsid w:val="000431C9"/>
    <w:rsid w:val="00045E6F"/>
    <w:rsid w:val="00045F31"/>
    <w:rsid w:val="00050534"/>
    <w:rsid w:val="00053978"/>
    <w:rsid w:val="000550CE"/>
    <w:rsid w:val="000565F1"/>
    <w:rsid w:val="0006280A"/>
    <w:rsid w:val="00065888"/>
    <w:rsid w:val="00067297"/>
    <w:rsid w:val="00072D57"/>
    <w:rsid w:val="00075355"/>
    <w:rsid w:val="00075391"/>
    <w:rsid w:val="00080F6F"/>
    <w:rsid w:val="00081AE7"/>
    <w:rsid w:val="00082CDE"/>
    <w:rsid w:val="00086773"/>
    <w:rsid w:val="00091AC2"/>
    <w:rsid w:val="00097A83"/>
    <w:rsid w:val="000A31BA"/>
    <w:rsid w:val="000B040C"/>
    <w:rsid w:val="000B232D"/>
    <w:rsid w:val="000B25E1"/>
    <w:rsid w:val="000B3B11"/>
    <w:rsid w:val="000B3F59"/>
    <w:rsid w:val="000B43C7"/>
    <w:rsid w:val="000B6783"/>
    <w:rsid w:val="000C4086"/>
    <w:rsid w:val="000C5ABD"/>
    <w:rsid w:val="000D117F"/>
    <w:rsid w:val="000D1DD6"/>
    <w:rsid w:val="000E1199"/>
    <w:rsid w:val="000E4B3C"/>
    <w:rsid w:val="000E4F02"/>
    <w:rsid w:val="000F07C6"/>
    <w:rsid w:val="000F3FDB"/>
    <w:rsid w:val="000F423D"/>
    <w:rsid w:val="000F6241"/>
    <w:rsid w:val="00100C4D"/>
    <w:rsid w:val="0010342F"/>
    <w:rsid w:val="00107568"/>
    <w:rsid w:val="00107A2D"/>
    <w:rsid w:val="00107E2D"/>
    <w:rsid w:val="0011556A"/>
    <w:rsid w:val="00115C78"/>
    <w:rsid w:val="00116EDF"/>
    <w:rsid w:val="00117DCB"/>
    <w:rsid w:val="00123BEA"/>
    <w:rsid w:val="00124651"/>
    <w:rsid w:val="001268D7"/>
    <w:rsid w:val="001304CF"/>
    <w:rsid w:val="0013316C"/>
    <w:rsid w:val="00134590"/>
    <w:rsid w:val="00134E12"/>
    <w:rsid w:val="00140AD2"/>
    <w:rsid w:val="00150381"/>
    <w:rsid w:val="00151DA4"/>
    <w:rsid w:val="001547DB"/>
    <w:rsid w:val="00161305"/>
    <w:rsid w:val="0016171E"/>
    <w:rsid w:val="00161D4E"/>
    <w:rsid w:val="00162978"/>
    <w:rsid w:val="00163E55"/>
    <w:rsid w:val="001649AA"/>
    <w:rsid w:val="00166547"/>
    <w:rsid w:val="0016676B"/>
    <w:rsid w:val="001749B5"/>
    <w:rsid w:val="00174D2A"/>
    <w:rsid w:val="00175ECB"/>
    <w:rsid w:val="001800BC"/>
    <w:rsid w:val="00182BE9"/>
    <w:rsid w:val="00185776"/>
    <w:rsid w:val="001863E0"/>
    <w:rsid w:val="00186517"/>
    <w:rsid w:val="00186F8B"/>
    <w:rsid w:val="00187C7F"/>
    <w:rsid w:val="001929DB"/>
    <w:rsid w:val="001A0DDF"/>
    <w:rsid w:val="001A2333"/>
    <w:rsid w:val="001A769F"/>
    <w:rsid w:val="001A78E1"/>
    <w:rsid w:val="001B0A70"/>
    <w:rsid w:val="001B64B3"/>
    <w:rsid w:val="001B74DB"/>
    <w:rsid w:val="001C061A"/>
    <w:rsid w:val="001C071E"/>
    <w:rsid w:val="001C3D61"/>
    <w:rsid w:val="001C43C7"/>
    <w:rsid w:val="001C6BE3"/>
    <w:rsid w:val="001D1026"/>
    <w:rsid w:val="001D1504"/>
    <w:rsid w:val="001D33E6"/>
    <w:rsid w:val="001D39B5"/>
    <w:rsid w:val="001D41BD"/>
    <w:rsid w:val="001D6FEB"/>
    <w:rsid w:val="001E48AC"/>
    <w:rsid w:val="001E5C33"/>
    <w:rsid w:val="001F2BE4"/>
    <w:rsid w:val="001F3F8C"/>
    <w:rsid w:val="001F55A2"/>
    <w:rsid w:val="00201C00"/>
    <w:rsid w:val="002056C6"/>
    <w:rsid w:val="00217EFA"/>
    <w:rsid w:val="002206F1"/>
    <w:rsid w:val="00234D35"/>
    <w:rsid w:val="002379C7"/>
    <w:rsid w:val="00237FCC"/>
    <w:rsid w:val="0024390D"/>
    <w:rsid w:val="00245D8C"/>
    <w:rsid w:val="002461EB"/>
    <w:rsid w:val="00246950"/>
    <w:rsid w:val="00253352"/>
    <w:rsid w:val="002558A7"/>
    <w:rsid w:val="0026055B"/>
    <w:rsid w:val="00262D19"/>
    <w:rsid w:val="00262DAA"/>
    <w:rsid w:val="002632BD"/>
    <w:rsid w:val="0026399A"/>
    <w:rsid w:val="002647B5"/>
    <w:rsid w:val="00266428"/>
    <w:rsid w:val="00270E13"/>
    <w:rsid w:val="002739DA"/>
    <w:rsid w:val="00283853"/>
    <w:rsid w:val="00283A1B"/>
    <w:rsid w:val="00287655"/>
    <w:rsid w:val="0029036B"/>
    <w:rsid w:val="002913F8"/>
    <w:rsid w:val="0029195D"/>
    <w:rsid w:val="002920CA"/>
    <w:rsid w:val="002A0D71"/>
    <w:rsid w:val="002A1FE5"/>
    <w:rsid w:val="002A50F6"/>
    <w:rsid w:val="002B0A8A"/>
    <w:rsid w:val="002B2992"/>
    <w:rsid w:val="002B2F0E"/>
    <w:rsid w:val="002B4077"/>
    <w:rsid w:val="002B45AC"/>
    <w:rsid w:val="002B4667"/>
    <w:rsid w:val="002B4DF8"/>
    <w:rsid w:val="002B6EEB"/>
    <w:rsid w:val="002C0683"/>
    <w:rsid w:val="002C3257"/>
    <w:rsid w:val="002C626A"/>
    <w:rsid w:val="002C7CC8"/>
    <w:rsid w:val="002D4EBD"/>
    <w:rsid w:val="002D7770"/>
    <w:rsid w:val="002E0263"/>
    <w:rsid w:val="002E2059"/>
    <w:rsid w:val="002E61D3"/>
    <w:rsid w:val="002E66A9"/>
    <w:rsid w:val="002E675D"/>
    <w:rsid w:val="002F171B"/>
    <w:rsid w:val="002F17D7"/>
    <w:rsid w:val="002F352E"/>
    <w:rsid w:val="002F477C"/>
    <w:rsid w:val="002F4913"/>
    <w:rsid w:val="002F5E67"/>
    <w:rsid w:val="0030701C"/>
    <w:rsid w:val="003117B1"/>
    <w:rsid w:val="00315D96"/>
    <w:rsid w:val="00317E94"/>
    <w:rsid w:val="003258A8"/>
    <w:rsid w:val="003275CC"/>
    <w:rsid w:val="00327C22"/>
    <w:rsid w:val="00333B35"/>
    <w:rsid w:val="00336508"/>
    <w:rsid w:val="00337296"/>
    <w:rsid w:val="00342E19"/>
    <w:rsid w:val="00345BB6"/>
    <w:rsid w:val="00355F34"/>
    <w:rsid w:val="003565F3"/>
    <w:rsid w:val="00361283"/>
    <w:rsid w:val="003616F1"/>
    <w:rsid w:val="003628BF"/>
    <w:rsid w:val="003665F3"/>
    <w:rsid w:val="00366797"/>
    <w:rsid w:val="00366F3E"/>
    <w:rsid w:val="003677BC"/>
    <w:rsid w:val="0037095C"/>
    <w:rsid w:val="00370D21"/>
    <w:rsid w:val="003717A5"/>
    <w:rsid w:val="00381846"/>
    <w:rsid w:val="003818F2"/>
    <w:rsid w:val="00383905"/>
    <w:rsid w:val="00384480"/>
    <w:rsid w:val="00385019"/>
    <w:rsid w:val="00392847"/>
    <w:rsid w:val="00393D24"/>
    <w:rsid w:val="00394537"/>
    <w:rsid w:val="00395A64"/>
    <w:rsid w:val="00395C9C"/>
    <w:rsid w:val="0039720C"/>
    <w:rsid w:val="003A386B"/>
    <w:rsid w:val="003B02D4"/>
    <w:rsid w:val="003B080E"/>
    <w:rsid w:val="003B0A20"/>
    <w:rsid w:val="003B2DB4"/>
    <w:rsid w:val="003B2F30"/>
    <w:rsid w:val="003B3E44"/>
    <w:rsid w:val="003B48C0"/>
    <w:rsid w:val="003B534A"/>
    <w:rsid w:val="003B57C8"/>
    <w:rsid w:val="003B68CB"/>
    <w:rsid w:val="003C13BD"/>
    <w:rsid w:val="003C28FA"/>
    <w:rsid w:val="003C419C"/>
    <w:rsid w:val="003D2DE8"/>
    <w:rsid w:val="003D79B3"/>
    <w:rsid w:val="003E273C"/>
    <w:rsid w:val="003E339B"/>
    <w:rsid w:val="003F38D5"/>
    <w:rsid w:val="00403AB2"/>
    <w:rsid w:val="00406793"/>
    <w:rsid w:val="00407C2A"/>
    <w:rsid w:val="00412749"/>
    <w:rsid w:val="004176A4"/>
    <w:rsid w:val="004210A4"/>
    <w:rsid w:val="004211A3"/>
    <w:rsid w:val="0042693D"/>
    <w:rsid w:val="00431DBE"/>
    <w:rsid w:val="00433B9F"/>
    <w:rsid w:val="00436919"/>
    <w:rsid w:val="004469CF"/>
    <w:rsid w:val="0045631F"/>
    <w:rsid w:val="0045760A"/>
    <w:rsid w:val="004577B6"/>
    <w:rsid w:val="00457966"/>
    <w:rsid w:val="004610D7"/>
    <w:rsid w:val="0046111D"/>
    <w:rsid w:val="004613B9"/>
    <w:rsid w:val="004625E0"/>
    <w:rsid w:val="00466533"/>
    <w:rsid w:val="00466F3D"/>
    <w:rsid w:val="0047081D"/>
    <w:rsid w:val="0047568A"/>
    <w:rsid w:val="0047589A"/>
    <w:rsid w:val="004765F8"/>
    <w:rsid w:val="00476745"/>
    <w:rsid w:val="00485734"/>
    <w:rsid w:val="00486911"/>
    <w:rsid w:val="00490A4D"/>
    <w:rsid w:val="00492B35"/>
    <w:rsid w:val="00493336"/>
    <w:rsid w:val="00493A15"/>
    <w:rsid w:val="0049417B"/>
    <w:rsid w:val="00494623"/>
    <w:rsid w:val="00496883"/>
    <w:rsid w:val="00497B40"/>
    <w:rsid w:val="004A1E42"/>
    <w:rsid w:val="004A36A8"/>
    <w:rsid w:val="004A4D11"/>
    <w:rsid w:val="004A5F39"/>
    <w:rsid w:val="004B2744"/>
    <w:rsid w:val="004B4136"/>
    <w:rsid w:val="004B57DA"/>
    <w:rsid w:val="004B59F1"/>
    <w:rsid w:val="004B7182"/>
    <w:rsid w:val="004C0870"/>
    <w:rsid w:val="004C08E1"/>
    <w:rsid w:val="004C28AA"/>
    <w:rsid w:val="004C5531"/>
    <w:rsid w:val="004D2165"/>
    <w:rsid w:val="004D2A3E"/>
    <w:rsid w:val="004D2CF0"/>
    <w:rsid w:val="004D40F3"/>
    <w:rsid w:val="004D42A9"/>
    <w:rsid w:val="004D6D34"/>
    <w:rsid w:val="004D6D3F"/>
    <w:rsid w:val="004E3790"/>
    <w:rsid w:val="004E69D6"/>
    <w:rsid w:val="004E6F4C"/>
    <w:rsid w:val="004F1479"/>
    <w:rsid w:val="00501F2E"/>
    <w:rsid w:val="005025F6"/>
    <w:rsid w:val="0050564B"/>
    <w:rsid w:val="00516637"/>
    <w:rsid w:val="005169AB"/>
    <w:rsid w:val="00521996"/>
    <w:rsid w:val="00522280"/>
    <w:rsid w:val="005316BD"/>
    <w:rsid w:val="00531C4B"/>
    <w:rsid w:val="00533B92"/>
    <w:rsid w:val="00533C03"/>
    <w:rsid w:val="00534F6E"/>
    <w:rsid w:val="00535EEC"/>
    <w:rsid w:val="005363EC"/>
    <w:rsid w:val="00537D65"/>
    <w:rsid w:val="00540877"/>
    <w:rsid w:val="005412C1"/>
    <w:rsid w:val="0054363D"/>
    <w:rsid w:val="005462F7"/>
    <w:rsid w:val="005521A5"/>
    <w:rsid w:val="0055285A"/>
    <w:rsid w:val="00553A75"/>
    <w:rsid w:val="005553EE"/>
    <w:rsid w:val="00555B34"/>
    <w:rsid w:val="00565168"/>
    <w:rsid w:val="005656FE"/>
    <w:rsid w:val="005709C2"/>
    <w:rsid w:val="00573E96"/>
    <w:rsid w:val="00575647"/>
    <w:rsid w:val="00580465"/>
    <w:rsid w:val="0058333F"/>
    <w:rsid w:val="005838C3"/>
    <w:rsid w:val="00583B2E"/>
    <w:rsid w:val="00584994"/>
    <w:rsid w:val="00585A83"/>
    <w:rsid w:val="00591BC0"/>
    <w:rsid w:val="00597E9C"/>
    <w:rsid w:val="005A1F97"/>
    <w:rsid w:val="005A6A60"/>
    <w:rsid w:val="005A78C4"/>
    <w:rsid w:val="005B1D70"/>
    <w:rsid w:val="005B325A"/>
    <w:rsid w:val="005B5927"/>
    <w:rsid w:val="005C064C"/>
    <w:rsid w:val="005C3A40"/>
    <w:rsid w:val="005C4F9D"/>
    <w:rsid w:val="005D20AD"/>
    <w:rsid w:val="005D72B7"/>
    <w:rsid w:val="005D796C"/>
    <w:rsid w:val="005E3AB0"/>
    <w:rsid w:val="005E4015"/>
    <w:rsid w:val="005E748F"/>
    <w:rsid w:val="005E7D58"/>
    <w:rsid w:val="005F0098"/>
    <w:rsid w:val="005F287A"/>
    <w:rsid w:val="005F60D6"/>
    <w:rsid w:val="005F6D53"/>
    <w:rsid w:val="00603670"/>
    <w:rsid w:val="006059D5"/>
    <w:rsid w:val="00611525"/>
    <w:rsid w:val="00612B0B"/>
    <w:rsid w:val="006133D4"/>
    <w:rsid w:val="00615FFA"/>
    <w:rsid w:val="00616532"/>
    <w:rsid w:val="0061687C"/>
    <w:rsid w:val="00616AE3"/>
    <w:rsid w:val="00623D80"/>
    <w:rsid w:val="006242F8"/>
    <w:rsid w:val="00627F1C"/>
    <w:rsid w:val="006363CC"/>
    <w:rsid w:val="00636BC8"/>
    <w:rsid w:val="00642E2B"/>
    <w:rsid w:val="00643165"/>
    <w:rsid w:val="00645DFD"/>
    <w:rsid w:val="0064715C"/>
    <w:rsid w:val="006613A3"/>
    <w:rsid w:val="0066306A"/>
    <w:rsid w:val="00666E95"/>
    <w:rsid w:val="00670802"/>
    <w:rsid w:val="00673532"/>
    <w:rsid w:val="00677F67"/>
    <w:rsid w:val="00680069"/>
    <w:rsid w:val="00680244"/>
    <w:rsid w:val="006817FD"/>
    <w:rsid w:val="006923B3"/>
    <w:rsid w:val="00693DFD"/>
    <w:rsid w:val="00695D4E"/>
    <w:rsid w:val="006A12E7"/>
    <w:rsid w:val="006A42A9"/>
    <w:rsid w:val="006A5771"/>
    <w:rsid w:val="006A61C8"/>
    <w:rsid w:val="006B07B5"/>
    <w:rsid w:val="006B1BFB"/>
    <w:rsid w:val="006B2344"/>
    <w:rsid w:val="006B62F2"/>
    <w:rsid w:val="006B764E"/>
    <w:rsid w:val="006C29F2"/>
    <w:rsid w:val="006D213E"/>
    <w:rsid w:val="006D4EE2"/>
    <w:rsid w:val="006D5C67"/>
    <w:rsid w:val="006D5FC6"/>
    <w:rsid w:val="006D7E04"/>
    <w:rsid w:val="006E35BC"/>
    <w:rsid w:val="006E6C0E"/>
    <w:rsid w:val="006F0349"/>
    <w:rsid w:val="006F4C90"/>
    <w:rsid w:val="006F685D"/>
    <w:rsid w:val="00700C51"/>
    <w:rsid w:val="00704031"/>
    <w:rsid w:val="0070462C"/>
    <w:rsid w:val="007056A1"/>
    <w:rsid w:val="0071097B"/>
    <w:rsid w:val="007128C2"/>
    <w:rsid w:val="007128F1"/>
    <w:rsid w:val="00713BF5"/>
    <w:rsid w:val="00715D44"/>
    <w:rsid w:val="00716914"/>
    <w:rsid w:val="00717FA5"/>
    <w:rsid w:val="007214B0"/>
    <w:rsid w:val="00722A48"/>
    <w:rsid w:val="007230D1"/>
    <w:rsid w:val="00724E13"/>
    <w:rsid w:val="00725801"/>
    <w:rsid w:val="007265CD"/>
    <w:rsid w:val="00726EDF"/>
    <w:rsid w:val="007277EE"/>
    <w:rsid w:val="007301C5"/>
    <w:rsid w:val="007316EF"/>
    <w:rsid w:val="007342B9"/>
    <w:rsid w:val="007344DB"/>
    <w:rsid w:val="00734C34"/>
    <w:rsid w:val="00734FF2"/>
    <w:rsid w:val="007422FB"/>
    <w:rsid w:val="007440B0"/>
    <w:rsid w:val="007470DA"/>
    <w:rsid w:val="00752380"/>
    <w:rsid w:val="007606F2"/>
    <w:rsid w:val="00761F9F"/>
    <w:rsid w:val="00764754"/>
    <w:rsid w:val="00766478"/>
    <w:rsid w:val="007667A9"/>
    <w:rsid w:val="00766BD6"/>
    <w:rsid w:val="00771AD6"/>
    <w:rsid w:val="00774A14"/>
    <w:rsid w:val="00776217"/>
    <w:rsid w:val="007769C5"/>
    <w:rsid w:val="0077773E"/>
    <w:rsid w:val="00781957"/>
    <w:rsid w:val="00783B9B"/>
    <w:rsid w:val="0078704E"/>
    <w:rsid w:val="00790604"/>
    <w:rsid w:val="00794683"/>
    <w:rsid w:val="00794A86"/>
    <w:rsid w:val="00796705"/>
    <w:rsid w:val="007A0556"/>
    <w:rsid w:val="007A1F8D"/>
    <w:rsid w:val="007B06E7"/>
    <w:rsid w:val="007B2BA4"/>
    <w:rsid w:val="007B3965"/>
    <w:rsid w:val="007B654B"/>
    <w:rsid w:val="007B72FA"/>
    <w:rsid w:val="007C0172"/>
    <w:rsid w:val="007C0286"/>
    <w:rsid w:val="007C1F8B"/>
    <w:rsid w:val="007C2B91"/>
    <w:rsid w:val="007C5792"/>
    <w:rsid w:val="007D0B49"/>
    <w:rsid w:val="007D6733"/>
    <w:rsid w:val="007E26FA"/>
    <w:rsid w:val="007E2C93"/>
    <w:rsid w:val="007E3EDE"/>
    <w:rsid w:val="007E4288"/>
    <w:rsid w:val="007F26F4"/>
    <w:rsid w:val="007F38FC"/>
    <w:rsid w:val="007F4C88"/>
    <w:rsid w:val="007F6B25"/>
    <w:rsid w:val="007F7FEA"/>
    <w:rsid w:val="0080065E"/>
    <w:rsid w:val="008023D2"/>
    <w:rsid w:val="00803248"/>
    <w:rsid w:val="008034FC"/>
    <w:rsid w:val="00803518"/>
    <w:rsid w:val="008057FB"/>
    <w:rsid w:val="00811255"/>
    <w:rsid w:val="00811E08"/>
    <w:rsid w:val="00812470"/>
    <w:rsid w:val="008124C1"/>
    <w:rsid w:val="008136DD"/>
    <w:rsid w:val="0081388C"/>
    <w:rsid w:val="00825FF0"/>
    <w:rsid w:val="00830919"/>
    <w:rsid w:val="00831C44"/>
    <w:rsid w:val="00832D7E"/>
    <w:rsid w:val="008432DA"/>
    <w:rsid w:val="00845EE4"/>
    <w:rsid w:val="00847407"/>
    <w:rsid w:val="008537C7"/>
    <w:rsid w:val="00854E7B"/>
    <w:rsid w:val="008556E4"/>
    <w:rsid w:val="00856F2F"/>
    <w:rsid w:val="008615CB"/>
    <w:rsid w:val="008679A3"/>
    <w:rsid w:val="008712DA"/>
    <w:rsid w:val="008714E5"/>
    <w:rsid w:val="00874416"/>
    <w:rsid w:val="0087466A"/>
    <w:rsid w:val="00875023"/>
    <w:rsid w:val="00880BBF"/>
    <w:rsid w:val="00881257"/>
    <w:rsid w:val="00882269"/>
    <w:rsid w:val="008931F3"/>
    <w:rsid w:val="008A3FCA"/>
    <w:rsid w:val="008A5110"/>
    <w:rsid w:val="008A7093"/>
    <w:rsid w:val="008A75A4"/>
    <w:rsid w:val="008A7FA5"/>
    <w:rsid w:val="008B375F"/>
    <w:rsid w:val="008B6707"/>
    <w:rsid w:val="008B7BAC"/>
    <w:rsid w:val="008B7C71"/>
    <w:rsid w:val="008C0460"/>
    <w:rsid w:val="008C2AB1"/>
    <w:rsid w:val="008C3917"/>
    <w:rsid w:val="008C4CA9"/>
    <w:rsid w:val="008C64B6"/>
    <w:rsid w:val="008C6ACF"/>
    <w:rsid w:val="008C7105"/>
    <w:rsid w:val="008C7245"/>
    <w:rsid w:val="008D0947"/>
    <w:rsid w:val="008E1D74"/>
    <w:rsid w:val="008E3CD8"/>
    <w:rsid w:val="008E477B"/>
    <w:rsid w:val="008E49E5"/>
    <w:rsid w:val="008E6EDC"/>
    <w:rsid w:val="008F3BD8"/>
    <w:rsid w:val="008F3E0F"/>
    <w:rsid w:val="008F3F79"/>
    <w:rsid w:val="008F480D"/>
    <w:rsid w:val="009012C7"/>
    <w:rsid w:val="009012FE"/>
    <w:rsid w:val="00904D13"/>
    <w:rsid w:val="0090520F"/>
    <w:rsid w:val="009074E6"/>
    <w:rsid w:val="00915450"/>
    <w:rsid w:val="0091760C"/>
    <w:rsid w:val="00920750"/>
    <w:rsid w:val="009227C3"/>
    <w:rsid w:val="0092421F"/>
    <w:rsid w:val="00926377"/>
    <w:rsid w:val="009279CB"/>
    <w:rsid w:val="009306CA"/>
    <w:rsid w:val="00932E40"/>
    <w:rsid w:val="00937F4D"/>
    <w:rsid w:val="009418F5"/>
    <w:rsid w:val="00944ACA"/>
    <w:rsid w:val="00945FC8"/>
    <w:rsid w:val="00947348"/>
    <w:rsid w:val="009500CB"/>
    <w:rsid w:val="00950D89"/>
    <w:rsid w:val="0095114D"/>
    <w:rsid w:val="00951FD8"/>
    <w:rsid w:val="00962375"/>
    <w:rsid w:val="00963E65"/>
    <w:rsid w:val="0096593E"/>
    <w:rsid w:val="00966193"/>
    <w:rsid w:val="009665E4"/>
    <w:rsid w:val="009666D4"/>
    <w:rsid w:val="00966BC8"/>
    <w:rsid w:val="00970F0E"/>
    <w:rsid w:val="00971650"/>
    <w:rsid w:val="00975137"/>
    <w:rsid w:val="00977403"/>
    <w:rsid w:val="00981FCF"/>
    <w:rsid w:val="00986728"/>
    <w:rsid w:val="009877F1"/>
    <w:rsid w:val="00990253"/>
    <w:rsid w:val="009957FF"/>
    <w:rsid w:val="009977CC"/>
    <w:rsid w:val="009A1B71"/>
    <w:rsid w:val="009A21C0"/>
    <w:rsid w:val="009A4B03"/>
    <w:rsid w:val="009A4BF3"/>
    <w:rsid w:val="009A7CC0"/>
    <w:rsid w:val="009B17F7"/>
    <w:rsid w:val="009B315C"/>
    <w:rsid w:val="009B4D41"/>
    <w:rsid w:val="009B5D9A"/>
    <w:rsid w:val="009C2D78"/>
    <w:rsid w:val="009C3C85"/>
    <w:rsid w:val="009D0859"/>
    <w:rsid w:val="009D0A06"/>
    <w:rsid w:val="009D2933"/>
    <w:rsid w:val="009D4FC9"/>
    <w:rsid w:val="009D7B75"/>
    <w:rsid w:val="009E1294"/>
    <w:rsid w:val="009E5075"/>
    <w:rsid w:val="009E5603"/>
    <w:rsid w:val="009E5F7B"/>
    <w:rsid w:val="009E60C3"/>
    <w:rsid w:val="009F050D"/>
    <w:rsid w:val="009F15AC"/>
    <w:rsid w:val="009F22AA"/>
    <w:rsid w:val="009F4B4D"/>
    <w:rsid w:val="00A03820"/>
    <w:rsid w:val="00A042E3"/>
    <w:rsid w:val="00A0461C"/>
    <w:rsid w:val="00A0472A"/>
    <w:rsid w:val="00A062D1"/>
    <w:rsid w:val="00A12D8A"/>
    <w:rsid w:val="00A12E71"/>
    <w:rsid w:val="00A13120"/>
    <w:rsid w:val="00A13934"/>
    <w:rsid w:val="00A16824"/>
    <w:rsid w:val="00A16C1A"/>
    <w:rsid w:val="00A17A7E"/>
    <w:rsid w:val="00A22185"/>
    <w:rsid w:val="00A239DB"/>
    <w:rsid w:val="00A25B3A"/>
    <w:rsid w:val="00A30C64"/>
    <w:rsid w:val="00A356AD"/>
    <w:rsid w:val="00A37EC0"/>
    <w:rsid w:val="00A44B31"/>
    <w:rsid w:val="00A44F08"/>
    <w:rsid w:val="00A45A6D"/>
    <w:rsid w:val="00A50749"/>
    <w:rsid w:val="00A603D8"/>
    <w:rsid w:val="00A66601"/>
    <w:rsid w:val="00A67832"/>
    <w:rsid w:val="00A70C50"/>
    <w:rsid w:val="00A71ED6"/>
    <w:rsid w:val="00A762EE"/>
    <w:rsid w:val="00A82740"/>
    <w:rsid w:val="00A90B0D"/>
    <w:rsid w:val="00A96BAA"/>
    <w:rsid w:val="00AA55F9"/>
    <w:rsid w:val="00AB543B"/>
    <w:rsid w:val="00AB6105"/>
    <w:rsid w:val="00AB7727"/>
    <w:rsid w:val="00AB7C63"/>
    <w:rsid w:val="00AC2AF9"/>
    <w:rsid w:val="00AC55AC"/>
    <w:rsid w:val="00AC5CDD"/>
    <w:rsid w:val="00AD08E8"/>
    <w:rsid w:val="00AD3A84"/>
    <w:rsid w:val="00AD3C05"/>
    <w:rsid w:val="00AD6219"/>
    <w:rsid w:val="00AD7162"/>
    <w:rsid w:val="00AD7B4E"/>
    <w:rsid w:val="00AE0282"/>
    <w:rsid w:val="00AE1DAE"/>
    <w:rsid w:val="00AE270A"/>
    <w:rsid w:val="00AE2F9E"/>
    <w:rsid w:val="00AE487E"/>
    <w:rsid w:val="00AE57AF"/>
    <w:rsid w:val="00AF1D6C"/>
    <w:rsid w:val="00AF2CC7"/>
    <w:rsid w:val="00AF4372"/>
    <w:rsid w:val="00AF586B"/>
    <w:rsid w:val="00AF7365"/>
    <w:rsid w:val="00AF7667"/>
    <w:rsid w:val="00B0099A"/>
    <w:rsid w:val="00B02B3C"/>
    <w:rsid w:val="00B04C02"/>
    <w:rsid w:val="00B062DA"/>
    <w:rsid w:val="00B06AE0"/>
    <w:rsid w:val="00B11176"/>
    <w:rsid w:val="00B13BD4"/>
    <w:rsid w:val="00B16927"/>
    <w:rsid w:val="00B244F7"/>
    <w:rsid w:val="00B36169"/>
    <w:rsid w:val="00B41B70"/>
    <w:rsid w:val="00B41D4A"/>
    <w:rsid w:val="00B44587"/>
    <w:rsid w:val="00B4687C"/>
    <w:rsid w:val="00B50F6F"/>
    <w:rsid w:val="00B517C4"/>
    <w:rsid w:val="00B5406D"/>
    <w:rsid w:val="00B54F2E"/>
    <w:rsid w:val="00B56245"/>
    <w:rsid w:val="00B617FE"/>
    <w:rsid w:val="00B61B0A"/>
    <w:rsid w:val="00B6276D"/>
    <w:rsid w:val="00B70607"/>
    <w:rsid w:val="00B70A8F"/>
    <w:rsid w:val="00B72328"/>
    <w:rsid w:val="00B7395A"/>
    <w:rsid w:val="00B761B0"/>
    <w:rsid w:val="00B84211"/>
    <w:rsid w:val="00B85FC9"/>
    <w:rsid w:val="00B86076"/>
    <w:rsid w:val="00B93973"/>
    <w:rsid w:val="00B9732A"/>
    <w:rsid w:val="00BA1245"/>
    <w:rsid w:val="00BA2D7C"/>
    <w:rsid w:val="00BA37B5"/>
    <w:rsid w:val="00BA578C"/>
    <w:rsid w:val="00BA6011"/>
    <w:rsid w:val="00BA6CB2"/>
    <w:rsid w:val="00BB1611"/>
    <w:rsid w:val="00BB2787"/>
    <w:rsid w:val="00BB3060"/>
    <w:rsid w:val="00BB30B7"/>
    <w:rsid w:val="00BB45E3"/>
    <w:rsid w:val="00BB4A4F"/>
    <w:rsid w:val="00BB4C3D"/>
    <w:rsid w:val="00BB566D"/>
    <w:rsid w:val="00BB625E"/>
    <w:rsid w:val="00BB6522"/>
    <w:rsid w:val="00BB67EB"/>
    <w:rsid w:val="00BB777D"/>
    <w:rsid w:val="00BC4505"/>
    <w:rsid w:val="00BD182B"/>
    <w:rsid w:val="00BD3301"/>
    <w:rsid w:val="00BD4CD9"/>
    <w:rsid w:val="00BE0384"/>
    <w:rsid w:val="00BE79AD"/>
    <w:rsid w:val="00BF04FE"/>
    <w:rsid w:val="00BF0EA7"/>
    <w:rsid w:val="00BF28B1"/>
    <w:rsid w:val="00BF568B"/>
    <w:rsid w:val="00C00098"/>
    <w:rsid w:val="00C02598"/>
    <w:rsid w:val="00C04ADE"/>
    <w:rsid w:val="00C07938"/>
    <w:rsid w:val="00C10EE3"/>
    <w:rsid w:val="00C10F3F"/>
    <w:rsid w:val="00C11035"/>
    <w:rsid w:val="00C11CB1"/>
    <w:rsid w:val="00C14076"/>
    <w:rsid w:val="00C16268"/>
    <w:rsid w:val="00C172FA"/>
    <w:rsid w:val="00C2026A"/>
    <w:rsid w:val="00C2034C"/>
    <w:rsid w:val="00C21B82"/>
    <w:rsid w:val="00C27820"/>
    <w:rsid w:val="00C30909"/>
    <w:rsid w:val="00C31252"/>
    <w:rsid w:val="00C343D5"/>
    <w:rsid w:val="00C368FE"/>
    <w:rsid w:val="00C40805"/>
    <w:rsid w:val="00C41F6C"/>
    <w:rsid w:val="00C434E5"/>
    <w:rsid w:val="00C45049"/>
    <w:rsid w:val="00C476C2"/>
    <w:rsid w:val="00C50CF1"/>
    <w:rsid w:val="00C51514"/>
    <w:rsid w:val="00C51D2A"/>
    <w:rsid w:val="00C526F7"/>
    <w:rsid w:val="00C55126"/>
    <w:rsid w:val="00C569A8"/>
    <w:rsid w:val="00C61DC3"/>
    <w:rsid w:val="00C64B8C"/>
    <w:rsid w:val="00C65789"/>
    <w:rsid w:val="00C672B3"/>
    <w:rsid w:val="00C72CD4"/>
    <w:rsid w:val="00C74BEB"/>
    <w:rsid w:val="00C766B5"/>
    <w:rsid w:val="00C776A4"/>
    <w:rsid w:val="00C85127"/>
    <w:rsid w:val="00C90DA1"/>
    <w:rsid w:val="00CA090A"/>
    <w:rsid w:val="00CA0FD7"/>
    <w:rsid w:val="00CA1BEB"/>
    <w:rsid w:val="00CB25C7"/>
    <w:rsid w:val="00CB52AA"/>
    <w:rsid w:val="00CB7FB6"/>
    <w:rsid w:val="00CC587C"/>
    <w:rsid w:val="00CD04F7"/>
    <w:rsid w:val="00CD143C"/>
    <w:rsid w:val="00CD17C1"/>
    <w:rsid w:val="00CD38FF"/>
    <w:rsid w:val="00CD57F2"/>
    <w:rsid w:val="00CE1225"/>
    <w:rsid w:val="00CF2666"/>
    <w:rsid w:val="00CF5E33"/>
    <w:rsid w:val="00D002F2"/>
    <w:rsid w:val="00D015A2"/>
    <w:rsid w:val="00D02A64"/>
    <w:rsid w:val="00D0334B"/>
    <w:rsid w:val="00D037DD"/>
    <w:rsid w:val="00D10E67"/>
    <w:rsid w:val="00D11729"/>
    <w:rsid w:val="00D1433F"/>
    <w:rsid w:val="00D2020D"/>
    <w:rsid w:val="00D221DD"/>
    <w:rsid w:val="00D221F4"/>
    <w:rsid w:val="00D24487"/>
    <w:rsid w:val="00D25B14"/>
    <w:rsid w:val="00D26892"/>
    <w:rsid w:val="00D31E08"/>
    <w:rsid w:val="00D32910"/>
    <w:rsid w:val="00D36A69"/>
    <w:rsid w:val="00D40DB7"/>
    <w:rsid w:val="00D467C0"/>
    <w:rsid w:val="00D501F8"/>
    <w:rsid w:val="00D50384"/>
    <w:rsid w:val="00D533FC"/>
    <w:rsid w:val="00D61271"/>
    <w:rsid w:val="00D638E3"/>
    <w:rsid w:val="00D65587"/>
    <w:rsid w:val="00D66A1C"/>
    <w:rsid w:val="00D71004"/>
    <w:rsid w:val="00D7179D"/>
    <w:rsid w:val="00D71805"/>
    <w:rsid w:val="00D735C3"/>
    <w:rsid w:val="00D74B46"/>
    <w:rsid w:val="00D8277B"/>
    <w:rsid w:val="00D82EF0"/>
    <w:rsid w:val="00D83E72"/>
    <w:rsid w:val="00D916F0"/>
    <w:rsid w:val="00D9501D"/>
    <w:rsid w:val="00D953AB"/>
    <w:rsid w:val="00D95FC8"/>
    <w:rsid w:val="00D96CBE"/>
    <w:rsid w:val="00DA2D72"/>
    <w:rsid w:val="00DA31AE"/>
    <w:rsid w:val="00DA46CF"/>
    <w:rsid w:val="00DA5447"/>
    <w:rsid w:val="00DB19D7"/>
    <w:rsid w:val="00DB4EA8"/>
    <w:rsid w:val="00DC2449"/>
    <w:rsid w:val="00DC2A7E"/>
    <w:rsid w:val="00DC36DB"/>
    <w:rsid w:val="00DD1F0C"/>
    <w:rsid w:val="00DD285F"/>
    <w:rsid w:val="00DD3557"/>
    <w:rsid w:val="00DD4221"/>
    <w:rsid w:val="00DD5BFD"/>
    <w:rsid w:val="00DD7DBE"/>
    <w:rsid w:val="00DE27FA"/>
    <w:rsid w:val="00DE7BB9"/>
    <w:rsid w:val="00DF46FC"/>
    <w:rsid w:val="00E00DEC"/>
    <w:rsid w:val="00E01F9F"/>
    <w:rsid w:val="00E06F98"/>
    <w:rsid w:val="00E07AB9"/>
    <w:rsid w:val="00E10A46"/>
    <w:rsid w:val="00E11559"/>
    <w:rsid w:val="00E127FA"/>
    <w:rsid w:val="00E12E6D"/>
    <w:rsid w:val="00E13645"/>
    <w:rsid w:val="00E17756"/>
    <w:rsid w:val="00E300EB"/>
    <w:rsid w:val="00E324A0"/>
    <w:rsid w:val="00E32ED6"/>
    <w:rsid w:val="00E33E2A"/>
    <w:rsid w:val="00E3421A"/>
    <w:rsid w:val="00E43DC7"/>
    <w:rsid w:val="00E4552F"/>
    <w:rsid w:val="00E553B6"/>
    <w:rsid w:val="00E70313"/>
    <w:rsid w:val="00E71139"/>
    <w:rsid w:val="00E716FB"/>
    <w:rsid w:val="00E7431F"/>
    <w:rsid w:val="00E7475B"/>
    <w:rsid w:val="00E75B35"/>
    <w:rsid w:val="00E81F84"/>
    <w:rsid w:val="00E84F37"/>
    <w:rsid w:val="00E91982"/>
    <w:rsid w:val="00E94CA4"/>
    <w:rsid w:val="00E96562"/>
    <w:rsid w:val="00EA08B8"/>
    <w:rsid w:val="00EA0C60"/>
    <w:rsid w:val="00EA130C"/>
    <w:rsid w:val="00EA431A"/>
    <w:rsid w:val="00EB03A3"/>
    <w:rsid w:val="00EB3E5D"/>
    <w:rsid w:val="00EB73EA"/>
    <w:rsid w:val="00EC00EB"/>
    <w:rsid w:val="00EC4F8F"/>
    <w:rsid w:val="00EC598A"/>
    <w:rsid w:val="00EC6A4D"/>
    <w:rsid w:val="00EC6B71"/>
    <w:rsid w:val="00ED24C3"/>
    <w:rsid w:val="00ED507C"/>
    <w:rsid w:val="00ED5181"/>
    <w:rsid w:val="00EE203B"/>
    <w:rsid w:val="00EE22B8"/>
    <w:rsid w:val="00EE2CA7"/>
    <w:rsid w:val="00EE2D9E"/>
    <w:rsid w:val="00EE48EC"/>
    <w:rsid w:val="00EE6332"/>
    <w:rsid w:val="00EE7439"/>
    <w:rsid w:val="00EF0E91"/>
    <w:rsid w:val="00EF1B95"/>
    <w:rsid w:val="00EF3AA1"/>
    <w:rsid w:val="00EF3E3E"/>
    <w:rsid w:val="00EF5F21"/>
    <w:rsid w:val="00F00318"/>
    <w:rsid w:val="00F00566"/>
    <w:rsid w:val="00F11F4D"/>
    <w:rsid w:val="00F124EF"/>
    <w:rsid w:val="00F14A8B"/>
    <w:rsid w:val="00F1597E"/>
    <w:rsid w:val="00F15985"/>
    <w:rsid w:val="00F1651A"/>
    <w:rsid w:val="00F16A55"/>
    <w:rsid w:val="00F20CFF"/>
    <w:rsid w:val="00F21DD8"/>
    <w:rsid w:val="00F22192"/>
    <w:rsid w:val="00F2266D"/>
    <w:rsid w:val="00F264F6"/>
    <w:rsid w:val="00F31E19"/>
    <w:rsid w:val="00F402E2"/>
    <w:rsid w:val="00F40584"/>
    <w:rsid w:val="00F4381D"/>
    <w:rsid w:val="00F45D3F"/>
    <w:rsid w:val="00F4747C"/>
    <w:rsid w:val="00F5165D"/>
    <w:rsid w:val="00F523A2"/>
    <w:rsid w:val="00F55CA3"/>
    <w:rsid w:val="00F5777B"/>
    <w:rsid w:val="00F60610"/>
    <w:rsid w:val="00F61DA9"/>
    <w:rsid w:val="00F62CB9"/>
    <w:rsid w:val="00F6413F"/>
    <w:rsid w:val="00F64FAE"/>
    <w:rsid w:val="00F66CE8"/>
    <w:rsid w:val="00F67ABD"/>
    <w:rsid w:val="00F705B7"/>
    <w:rsid w:val="00F737F0"/>
    <w:rsid w:val="00F74564"/>
    <w:rsid w:val="00F74919"/>
    <w:rsid w:val="00F85826"/>
    <w:rsid w:val="00F8710A"/>
    <w:rsid w:val="00F8713B"/>
    <w:rsid w:val="00F8770A"/>
    <w:rsid w:val="00F96A49"/>
    <w:rsid w:val="00F97179"/>
    <w:rsid w:val="00FB20D3"/>
    <w:rsid w:val="00FB34AE"/>
    <w:rsid w:val="00FC6489"/>
    <w:rsid w:val="00FD0540"/>
    <w:rsid w:val="00FD12C6"/>
    <w:rsid w:val="00FD2818"/>
    <w:rsid w:val="00FD2C99"/>
    <w:rsid w:val="00FD56B9"/>
    <w:rsid w:val="00FD62F8"/>
    <w:rsid w:val="00FD6DCC"/>
    <w:rsid w:val="00FE01AD"/>
    <w:rsid w:val="00FE0FC4"/>
    <w:rsid w:val="00FE1170"/>
    <w:rsid w:val="00FF0085"/>
    <w:rsid w:val="00FF04E2"/>
    <w:rsid w:val="00FF3918"/>
    <w:rsid w:val="00FF424F"/>
    <w:rsid w:val="00FF5144"/>
    <w:rsid w:val="00FF631D"/>
    <w:rsid w:val="00FF76B2"/>
    <w:rsid w:val="014D3260"/>
    <w:rsid w:val="01660FF1"/>
    <w:rsid w:val="018E7169"/>
    <w:rsid w:val="01A15CAE"/>
    <w:rsid w:val="01AD1A04"/>
    <w:rsid w:val="01FE5CDC"/>
    <w:rsid w:val="024167D9"/>
    <w:rsid w:val="02C64B85"/>
    <w:rsid w:val="035B466C"/>
    <w:rsid w:val="03836A76"/>
    <w:rsid w:val="039F1373"/>
    <w:rsid w:val="03B64756"/>
    <w:rsid w:val="04073A28"/>
    <w:rsid w:val="049A2168"/>
    <w:rsid w:val="050D1043"/>
    <w:rsid w:val="050F05C1"/>
    <w:rsid w:val="052C3964"/>
    <w:rsid w:val="05752AAF"/>
    <w:rsid w:val="05AF3ED9"/>
    <w:rsid w:val="064047AA"/>
    <w:rsid w:val="06471FDD"/>
    <w:rsid w:val="06AB60C8"/>
    <w:rsid w:val="06CB6608"/>
    <w:rsid w:val="06D43123"/>
    <w:rsid w:val="07416A2C"/>
    <w:rsid w:val="0752263B"/>
    <w:rsid w:val="07B624C9"/>
    <w:rsid w:val="07EB3108"/>
    <w:rsid w:val="080C06D6"/>
    <w:rsid w:val="08121A69"/>
    <w:rsid w:val="093C56FD"/>
    <w:rsid w:val="09DC4E75"/>
    <w:rsid w:val="0B146314"/>
    <w:rsid w:val="0B1F0E32"/>
    <w:rsid w:val="0BB974D9"/>
    <w:rsid w:val="0BCD0346"/>
    <w:rsid w:val="0C067F00"/>
    <w:rsid w:val="0C375F99"/>
    <w:rsid w:val="0C3B7AE8"/>
    <w:rsid w:val="0C44225A"/>
    <w:rsid w:val="0C4B5C57"/>
    <w:rsid w:val="0C5D3093"/>
    <w:rsid w:val="0CD20F6E"/>
    <w:rsid w:val="0D073EC7"/>
    <w:rsid w:val="0DA9532B"/>
    <w:rsid w:val="0DC440D7"/>
    <w:rsid w:val="0E04661E"/>
    <w:rsid w:val="0E1F2F02"/>
    <w:rsid w:val="0E220BF7"/>
    <w:rsid w:val="0ED56299"/>
    <w:rsid w:val="0F5D69AE"/>
    <w:rsid w:val="10303AE2"/>
    <w:rsid w:val="10441BE8"/>
    <w:rsid w:val="104631BD"/>
    <w:rsid w:val="107E39A7"/>
    <w:rsid w:val="10CB7881"/>
    <w:rsid w:val="10F84E8C"/>
    <w:rsid w:val="11020FDA"/>
    <w:rsid w:val="120A59C7"/>
    <w:rsid w:val="125F223B"/>
    <w:rsid w:val="13075B4F"/>
    <w:rsid w:val="131928A2"/>
    <w:rsid w:val="1387798C"/>
    <w:rsid w:val="140A3D21"/>
    <w:rsid w:val="146D2E0F"/>
    <w:rsid w:val="14F15057"/>
    <w:rsid w:val="14F42DB5"/>
    <w:rsid w:val="158A77F0"/>
    <w:rsid w:val="15D13671"/>
    <w:rsid w:val="160D5411"/>
    <w:rsid w:val="16621BA4"/>
    <w:rsid w:val="16AE5760"/>
    <w:rsid w:val="16D03928"/>
    <w:rsid w:val="175E0F34"/>
    <w:rsid w:val="179D4150"/>
    <w:rsid w:val="17E21B65"/>
    <w:rsid w:val="186B659F"/>
    <w:rsid w:val="18941B29"/>
    <w:rsid w:val="1919351D"/>
    <w:rsid w:val="19355CC5"/>
    <w:rsid w:val="19502AFF"/>
    <w:rsid w:val="19525097"/>
    <w:rsid w:val="19805192"/>
    <w:rsid w:val="1A01797C"/>
    <w:rsid w:val="1AAF12B6"/>
    <w:rsid w:val="1AC76DF0"/>
    <w:rsid w:val="1B6120A9"/>
    <w:rsid w:val="1B8137FF"/>
    <w:rsid w:val="1BAB0CA3"/>
    <w:rsid w:val="1D2C1B49"/>
    <w:rsid w:val="1D440BCC"/>
    <w:rsid w:val="1D8C25D9"/>
    <w:rsid w:val="1DA17DCD"/>
    <w:rsid w:val="1DD71A40"/>
    <w:rsid w:val="1E2458FF"/>
    <w:rsid w:val="1E9E60BA"/>
    <w:rsid w:val="1EF34658"/>
    <w:rsid w:val="1F0F39BF"/>
    <w:rsid w:val="1F182311"/>
    <w:rsid w:val="1F3B26E6"/>
    <w:rsid w:val="1F530608"/>
    <w:rsid w:val="1F87235E"/>
    <w:rsid w:val="1F911769"/>
    <w:rsid w:val="1FA46D52"/>
    <w:rsid w:val="1FCF7A79"/>
    <w:rsid w:val="200771D3"/>
    <w:rsid w:val="202257B3"/>
    <w:rsid w:val="2030724D"/>
    <w:rsid w:val="20497DBD"/>
    <w:rsid w:val="206C691F"/>
    <w:rsid w:val="2079293B"/>
    <w:rsid w:val="20AA343C"/>
    <w:rsid w:val="21BB0D9B"/>
    <w:rsid w:val="21C422DC"/>
    <w:rsid w:val="21E645B7"/>
    <w:rsid w:val="21EE4E29"/>
    <w:rsid w:val="22853819"/>
    <w:rsid w:val="228850B7"/>
    <w:rsid w:val="23B048C6"/>
    <w:rsid w:val="240F5A90"/>
    <w:rsid w:val="249B3F2B"/>
    <w:rsid w:val="25082950"/>
    <w:rsid w:val="251033B9"/>
    <w:rsid w:val="253A3517"/>
    <w:rsid w:val="25A71CF8"/>
    <w:rsid w:val="25B61C38"/>
    <w:rsid w:val="25D90FCA"/>
    <w:rsid w:val="26171505"/>
    <w:rsid w:val="264803D1"/>
    <w:rsid w:val="266D4CF0"/>
    <w:rsid w:val="26B864EC"/>
    <w:rsid w:val="26F60889"/>
    <w:rsid w:val="272A787E"/>
    <w:rsid w:val="272C6959"/>
    <w:rsid w:val="27BD414A"/>
    <w:rsid w:val="27F50009"/>
    <w:rsid w:val="28976A4D"/>
    <w:rsid w:val="28CA642A"/>
    <w:rsid w:val="299F1664"/>
    <w:rsid w:val="29AB6069"/>
    <w:rsid w:val="2A0B1DFF"/>
    <w:rsid w:val="2ABE0EAE"/>
    <w:rsid w:val="2B005FDB"/>
    <w:rsid w:val="2B6356A4"/>
    <w:rsid w:val="2B971045"/>
    <w:rsid w:val="2C4B7881"/>
    <w:rsid w:val="2C792640"/>
    <w:rsid w:val="2C986D20"/>
    <w:rsid w:val="2CCB348D"/>
    <w:rsid w:val="2CED4E51"/>
    <w:rsid w:val="2D050537"/>
    <w:rsid w:val="2D894D0E"/>
    <w:rsid w:val="2DC96754"/>
    <w:rsid w:val="2DE31694"/>
    <w:rsid w:val="2DEE2BBA"/>
    <w:rsid w:val="2EBC331B"/>
    <w:rsid w:val="2ED0406E"/>
    <w:rsid w:val="2F452CAE"/>
    <w:rsid w:val="30A90A28"/>
    <w:rsid w:val="30F46739"/>
    <w:rsid w:val="31C7258F"/>
    <w:rsid w:val="32627A4B"/>
    <w:rsid w:val="329F3142"/>
    <w:rsid w:val="32D16607"/>
    <w:rsid w:val="32F52D9A"/>
    <w:rsid w:val="33010E7C"/>
    <w:rsid w:val="335A70C1"/>
    <w:rsid w:val="33BC68DA"/>
    <w:rsid w:val="343B1FE6"/>
    <w:rsid w:val="343E576A"/>
    <w:rsid w:val="34662404"/>
    <w:rsid w:val="348A55DF"/>
    <w:rsid w:val="348B0059"/>
    <w:rsid w:val="34AF6C40"/>
    <w:rsid w:val="34D90972"/>
    <w:rsid w:val="34DA64C3"/>
    <w:rsid w:val="353E35F1"/>
    <w:rsid w:val="35507CB7"/>
    <w:rsid w:val="357F6509"/>
    <w:rsid w:val="35CA1267"/>
    <w:rsid w:val="35E035A0"/>
    <w:rsid w:val="3603454F"/>
    <w:rsid w:val="367347FF"/>
    <w:rsid w:val="36735C80"/>
    <w:rsid w:val="36A1760F"/>
    <w:rsid w:val="36D922C1"/>
    <w:rsid w:val="36F44886"/>
    <w:rsid w:val="372262FF"/>
    <w:rsid w:val="3730052E"/>
    <w:rsid w:val="377537A5"/>
    <w:rsid w:val="37783FC2"/>
    <w:rsid w:val="388F790B"/>
    <w:rsid w:val="38C971BF"/>
    <w:rsid w:val="3955569C"/>
    <w:rsid w:val="398C44EC"/>
    <w:rsid w:val="39987E7E"/>
    <w:rsid w:val="39B123FD"/>
    <w:rsid w:val="39F03556"/>
    <w:rsid w:val="3A6255C0"/>
    <w:rsid w:val="3A7A47BA"/>
    <w:rsid w:val="3A9A07F1"/>
    <w:rsid w:val="3B2A0FAA"/>
    <w:rsid w:val="3B7B3A99"/>
    <w:rsid w:val="3B915FD6"/>
    <w:rsid w:val="3C9A5100"/>
    <w:rsid w:val="3D146CD2"/>
    <w:rsid w:val="3E640F03"/>
    <w:rsid w:val="3E940A69"/>
    <w:rsid w:val="3EB94FC3"/>
    <w:rsid w:val="3EBA4D58"/>
    <w:rsid w:val="3F0532BA"/>
    <w:rsid w:val="3F3F6E34"/>
    <w:rsid w:val="3F542A99"/>
    <w:rsid w:val="3FC0590E"/>
    <w:rsid w:val="3FC512A1"/>
    <w:rsid w:val="3FEE19E8"/>
    <w:rsid w:val="406E7B8B"/>
    <w:rsid w:val="408C7D1E"/>
    <w:rsid w:val="40D146A1"/>
    <w:rsid w:val="40EF52FB"/>
    <w:rsid w:val="41895D03"/>
    <w:rsid w:val="41AE541A"/>
    <w:rsid w:val="4226071D"/>
    <w:rsid w:val="429E4757"/>
    <w:rsid w:val="42BF2F00"/>
    <w:rsid w:val="43C264EB"/>
    <w:rsid w:val="43DC2959"/>
    <w:rsid w:val="44CA1F97"/>
    <w:rsid w:val="44D77AAC"/>
    <w:rsid w:val="44F7014F"/>
    <w:rsid w:val="45122B40"/>
    <w:rsid w:val="451E5FA1"/>
    <w:rsid w:val="4545122F"/>
    <w:rsid w:val="460A2104"/>
    <w:rsid w:val="46DC3513"/>
    <w:rsid w:val="476B0121"/>
    <w:rsid w:val="47BE7B39"/>
    <w:rsid w:val="47F52565"/>
    <w:rsid w:val="48356DDE"/>
    <w:rsid w:val="483B0352"/>
    <w:rsid w:val="489F62C6"/>
    <w:rsid w:val="492278C7"/>
    <w:rsid w:val="49725FF6"/>
    <w:rsid w:val="49953D39"/>
    <w:rsid w:val="49D21F69"/>
    <w:rsid w:val="4A6E35D7"/>
    <w:rsid w:val="4A9C4B8F"/>
    <w:rsid w:val="4ADB406F"/>
    <w:rsid w:val="4B0B31EE"/>
    <w:rsid w:val="4B257A89"/>
    <w:rsid w:val="4B586416"/>
    <w:rsid w:val="4BF47196"/>
    <w:rsid w:val="4C0C035A"/>
    <w:rsid w:val="4CED68E1"/>
    <w:rsid w:val="4D1E113D"/>
    <w:rsid w:val="4DD74F36"/>
    <w:rsid w:val="4E475EE0"/>
    <w:rsid w:val="4E521FA0"/>
    <w:rsid w:val="4E542FFA"/>
    <w:rsid w:val="4E9C5763"/>
    <w:rsid w:val="4F2204BE"/>
    <w:rsid w:val="4F2E0C11"/>
    <w:rsid w:val="4F3855EC"/>
    <w:rsid w:val="4F5A7C58"/>
    <w:rsid w:val="4FA7451F"/>
    <w:rsid w:val="503512D2"/>
    <w:rsid w:val="50597F0F"/>
    <w:rsid w:val="50772144"/>
    <w:rsid w:val="50A24757"/>
    <w:rsid w:val="50A373DC"/>
    <w:rsid w:val="50A37B1B"/>
    <w:rsid w:val="50C3388C"/>
    <w:rsid w:val="51AF329D"/>
    <w:rsid w:val="522105B9"/>
    <w:rsid w:val="52841A4E"/>
    <w:rsid w:val="52CD6993"/>
    <w:rsid w:val="52E067E6"/>
    <w:rsid w:val="52EA25BE"/>
    <w:rsid w:val="53577D34"/>
    <w:rsid w:val="536B245A"/>
    <w:rsid w:val="53D63625"/>
    <w:rsid w:val="54106B37"/>
    <w:rsid w:val="54B15980"/>
    <w:rsid w:val="54E3424B"/>
    <w:rsid w:val="553665D1"/>
    <w:rsid w:val="55705EE6"/>
    <w:rsid w:val="55D43B94"/>
    <w:rsid w:val="56654888"/>
    <w:rsid w:val="56BF7ADD"/>
    <w:rsid w:val="576D24F2"/>
    <w:rsid w:val="57A11E46"/>
    <w:rsid w:val="57BE4CE1"/>
    <w:rsid w:val="57C11AB4"/>
    <w:rsid w:val="57EF2F07"/>
    <w:rsid w:val="585E4277"/>
    <w:rsid w:val="58823D7B"/>
    <w:rsid w:val="59071BB4"/>
    <w:rsid w:val="59095F88"/>
    <w:rsid w:val="596A533F"/>
    <w:rsid w:val="59C7518E"/>
    <w:rsid w:val="5A223814"/>
    <w:rsid w:val="5ABA4608"/>
    <w:rsid w:val="5B214C4B"/>
    <w:rsid w:val="5B2E5A52"/>
    <w:rsid w:val="5B480E39"/>
    <w:rsid w:val="5B8146FF"/>
    <w:rsid w:val="5B865963"/>
    <w:rsid w:val="5B8838B8"/>
    <w:rsid w:val="5C293132"/>
    <w:rsid w:val="5C997FFF"/>
    <w:rsid w:val="5CB40D2C"/>
    <w:rsid w:val="5CB96256"/>
    <w:rsid w:val="5CE71796"/>
    <w:rsid w:val="5D0E00F4"/>
    <w:rsid w:val="5D761C1C"/>
    <w:rsid w:val="5DA344ED"/>
    <w:rsid w:val="5DC75C57"/>
    <w:rsid w:val="5ED254A1"/>
    <w:rsid w:val="5EF57607"/>
    <w:rsid w:val="5F1621D9"/>
    <w:rsid w:val="5F69359F"/>
    <w:rsid w:val="5FB30CE6"/>
    <w:rsid w:val="5FCC51F4"/>
    <w:rsid w:val="6021183B"/>
    <w:rsid w:val="60A947DF"/>
    <w:rsid w:val="614222FA"/>
    <w:rsid w:val="62183101"/>
    <w:rsid w:val="62A0377C"/>
    <w:rsid w:val="62C236F2"/>
    <w:rsid w:val="62EC69C1"/>
    <w:rsid w:val="632F57DF"/>
    <w:rsid w:val="63CE06F4"/>
    <w:rsid w:val="64A705F8"/>
    <w:rsid w:val="664560B8"/>
    <w:rsid w:val="664D383A"/>
    <w:rsid w:val="670562A3"/>
    <w:rsid w:val="67A72D18"/>
    <w:rsid w:val="67BC6BEA"/>
    <w:rsid w:val="67D71AB0"/>
    <w:rsid w:val="67E1553D"/>
    <w:rsid w:val="6818674F"/>
    <w:rsid w:val="68B827A5"/>
    <w:rsid w:val="68E5213C"/>
    <w:rsid w:val="694519D2"/>
    <w:rsid w:val="69605A13"/>
    <w:rsid w:val="69735746"/>
    <w:rsid w:val="69F10D61"/>
    <w:rsid w:val="6A3A6264"/>
    <w:rsid w:val="6A892D47"/>
    <w:rsid w:val="6A9F07BD"/>
    <w:rsid w:val="6AA33E09"/>
    <w:rsid w:val="6AB1523A"/>
    <w:rsid w:val="6AC55460"/>
    <w:rsid w:val="6BCE323B"/>
    <w:rsid w:val="6C086573"/>
    <w:rsid w:val="6C2076DB"/>
    <w:rsid w:val="6C214F48"/>
    <w:rsid w:val="6C947884"/>
    <w:rsid w:val="6D8947AA"/>
    <w:rsid w:val="6DE5298B"/>
    <w:rsid w:val="6E3D4575"/>
    <w:rsid w:val="6E82642B"/>
    <w:rsid w:val="6EC31935"/>
    <w:rsid w:val="6FC05060"/>
    <w:rsid w:val="6FF174B6"/>
    <w:rsid w:val="6FFE0EB1"/>
    <w:rsid w:val="706815AF"/>
    <w:rsid w:val="707C36E9"/>
    <w:rsid w:val="70D77925"/>
    <w:rsid w:val="712108BE"/>
    <w:rsid w:val="717C1467"/>
    <w:rsid w:val="7191477C"/>
    <w:rsid w:val="72903D43"/>
    <w:rsid w:val="72C608C2"/>
    <w:rsid w:val="72F378F8"/>
    <w:rsid w:val="73EA51A0"/>
    <w:rsid w:val="751B44CB"/>
    <w:rsid w:val="75974E2B"/>
    <w:rsid w:val="75C17ED7"/>
    <w:rsid w:val="766D18E0"/>
    <w:rsid w:val="7692450D"/>
    <w:rsid w:val="76B850E0"/>
    <w:rsid w:val="77862AE9"/>
    <w:rsid w:val="77972F48"/>
    <w:rsid w:val="78AD0549"/>
    <w:rsid w:val="78D47B51"/>
    <w:rsid w:val="78DE1007"/>
    <w:rsid w:val="79532E9E"/>
    <w:rsid w:val="79634646"/>
    <w:rsid w:val="79945A6C"/>
    <w:rsid w:val="79A80FC7"/>
    <w:rsid w:val="7A3902E6"/>
    <w:rsid w:val="7A6730A5"/>
    <w:rsid w:val="7A7D4CD7"/>
    <w:rsid w:val="7B4E4CD9"/>
    <w:rsid w:val="7B75534E"/>
    <w:rsid w:val="7B9E7940"/>
    <w:rsid w:val="7BA00179"/>
    <w:rsid w:val="7C584DA5"/>
    <w:rsid w:val="7C7E05B8"/>
    <w:rsid w:val="7CAF03B6"/>
    <w:rsid w:val="7CC85003"/>
    <w:rsid w:val="7CE70548"/>
    <w:rsid w:val="7D2C4132"/>
    <w:rsid w:val="7D494CE4"/>
    <w:rsid w:val="7D9C13D7"/>
    <w:rsid w:val="7DEE5872"/>
    <w:rsid w:val="7DEF096B"/>
    <w:rsid w:val="7E163BBC"/>
    <w:rsid w:val="7E2272E3"/>
    <w:rsid w:val="7EA85A3A"/>
    <w:rsid w:val="7F144E7E"/>
    <w:rsid w:val="7F45525F"/>
    <w:rsid w:val="7F463BFE"/>
    <w:rsid w:val="7FE02FB2"/>
    <w:rsid w:val="EBFFE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link w:val="122"/>
    <w:qFormat/>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123"/>
    <w:qFormat/>
    <w:uiPriority w:val="0"/>
    <w:pPr>
      <w:keepNext/>
      <w:outlineLvl w:val="2"/>
    </w:pPr>
    <w:rPr>
      <w:rFonts w:ascii="楷体_GB2312" w:hAnsi="宋体" w:eastAsia="楷体_GB2312" w:cs="Times New Roman"/>
      <w:b/>
      <w:bCs/>
      <w:sz w:val="32"/>
      <w:szCs w:val="24"/>
    </w:rPr>
  </w:style>
  <w:style w:type="paragraph" w:styleId="5">
    <w:name w:val="heading 4"/>
    <w:basedOn w:val="1"/>
    <w:next w:val="1"/>
    <w:link w:val="124"/>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125"/>
    <w:autoRedefine/>
    <w:qFormat/>
    <w:uiPriority w:val="0"/>
    <w:pPr>
      <w:keepNext/>
      <w:spacing w:line="360" w:lineRule="auto"/>
      <w:ind w:firstLine="502" w:firstLineChars="200"/>
      <w:outlineLvl w:val="4"/>
    </w:pPr>
    <w:rPr>
      <w:rFonts w:ascii="Courier New" w:hAnsi="Courier New" w:cs="Courier New"/>
      <w:b/>
      <w:bCs/>
      <w:spacing w:val="20"/>
      <w:szCs w:val="20"/>
    </w:rPr>
  </w:style>
  <w:style w:type="paragraph" w:styleId="7">
    <w:name w:val="heading 6"/>
    <w:basedOn w:val="1"/>
    <w:next w:val="1"/>
    <w:link w:val="126"/>
    <w:qFormat/>
    <w:uiPriority w:val="0"/>
    <w:pPr>
      <w:keepNext/>
      <w:spacing w:line="360" w:lineRule="auto"/>
      <w:ind w:firstLine="562" w:firstLineChars="200"/>
      <w:outlineLvl w:val="5"/>
    </w:pPr>
    <w:rPr>
      <w:rFonts w:ascii="Courier New" w:hAnsi="Courier New" w:cs="Courier New"/>
      <w:b/>
      <w:bCs/>
      <w:spacing w:val="20"/>
      <w:sz w:val="24"/>
      <w:szCs w:val="20"/>
    </w:rPr>
  </w:style>
  <w:style w:type="paragraph" w:styleId="8">
    <w:name w:val="heading 7"/>
    <w:basedOn w:val="1"/>
    <w:next w:val="9"/>
    <w:link w:val="128"/>
    <w:qFormat/>
    <w:uiPriority w:val="0"/>
    <w:pPr>
      <w:keepNext/>
      <w:keepLines/>
      <w:spacing w:before="240" w:after="64" w:line="320" w:lineRule="auto"/>
      <w:outlineLvl w:val="6"/>
    </w:pPr>
    <w:rPr>
      <w:rFonts w:ascii="Times New Roman" w:hAnsi="Times New Roman" w:cs="Times New Roman"/>
      <w:b/>
      <w:sz w:val="24"/>
      <w:szCs w:val="20"/>
    </w:rPr>
  </w:style>
  <w:style w:type="paragraph" w:styleId="10">
    <w:name w:val="heading 8"/>
    <w:basedOn w:val="1"/>
    <w:next w:val="9"/>
    <w:link w:val="129"/>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9"/>
    <w:link w:val="130"/>
    <w:qFormat/>
    <w:uiPriority w:val="0"/>
    <w:pPr>
      <w:keepNext/>
      <w:keepLines/>
      <w:spacing w:before="240" w:after="64" w:line="320" w:lineRule="auto"/>
      <w:outlineLvl w:val="8"/>
    </w:pPr>
    <w:rPr>
      <w:rFonts w:ascii="Arial" w:hAnsi="Arial" w:eastAsia="黑体" w:cs="Times New Roman"/>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7"/>
    <w:qFormat/>
    <w:uiPriority w:val="0"/>
    <w:pPr>
      <w:ind w:firstLine="420"/>
    </w:pPr>
    <w:rPr>
      <w:rFonts w:ascii="Times New Roman" w:hAnsi="Times New Roman" w:cs="Times New Roman"/>
      <w:szCs w:val="20"/>
    </w:rPr>
  </w:style>
  <w:style w:type="paragraph" w:styleId="12">
    <w:name w:val="Document Map"/>
    <w:basedOn w:val="1"/>
    <w:link w:val="147"/>
    <w:autoRedefine/>
    <w:semiHidden/>
    <w:qFormat/>
    <w:uiPriority w:val="0"/>
    <w:pPr>
      <w:shd w:val="clear" w:color="auto" w:fill="000080"/>
    </w:pPr>
    <w:rPr>
      <w:rFonts w:ascii="Times New Roman" w:hAnsi="Times New Roman" w:cs="Times New Roman"/>
      <w:szCs w:val="24"/>
    </w:rPr>
  </w:style>
  <w:style w:type="paragraph" w:styleId="13">
    <w:name w:val="annotation text"/>
    <w:basedOn w:val="1"/>
    <w:link w:val="134"/>
    <w:unhideWhenUsed/>
    <w:qFormat/>
    <w:uiPriority w:val="0"/>
    <w:pPr>
      <w:jc w:val="left"/>
    </w:pPr>
  </w:style>
  <w:style w:type="paragraph" w:styleId="14">
    <w:name w:val="Body Text"/>
    <w:basedOn w:val="1"/>
    <w:link w:val="140"/>
    <w:qFormat/>
    <w:uiPriority w:val="0"/>
    <w:pPr>
      <w:adjustRightInd w:val="0"/>
      <w:spacing w:after="120" w:line="360" w:lineRule="atLeast"/>
      <w:textAlignment w:val="baseline"/>
    </w:pPr>
    <w:rPr>
      <w:rFonts w:ascii="Times New Roman" w:hAnsi="Times New Roman" w:cs="Times New Roman"/>
      <w:kern w:val="0"/>
      <w:sz w:val="20"/>
      <w:szCs w:val="24"/>
    </w:rPr>
  </w:style>
  <w:style w:type="paragraph" w:styleId="15">
    <w:name w:val="Body Text Indent"/>
    <w:basedOn w:val="1"/>
    <w:link w:val="148"/>
    <w:autoRedefine/>
    <w:qFormat/>
    <w:uiPriority w:val="0"/>
    <w:pPr>
      <w:ind w:firstLine="570"/>
    </w:pPr>
    <w:rPr>
      <w:rFonts w:ascii="宋体" w:hAnsi="宋体" w:cs="Times New Roman"/>
      <w:sz w:val="28"/>
      <w:szCs w:val="20"/>
    </w:rPr>
  </w:style>
  <w:style w:type="paragraph" w:styleId="16">
    <w:name w:val="toc 3"/>
    <w:basedOn w:val="1"/>
    <w:next w:val="1"/>
    <w:qFormat/>
    <w:uiPriority w:val="39"/>
    <w:pPr>
      <w:ind w:left="420"/>
      <w:jc w:val="left"/>
    </w:pPr>
    <w:rPr>
      <w:rFonts w:ascii="Times New Roman" w:hAnsi="Times New Roman" w:cs="Times New Roman"/>
      <w:i/>
      <w:iCs/>
      <w:sz w:val="20"/>
      <w:szCs w:val="20"/>
    </w:rPr>
  </w:style>
  <w:style w:type="paragraph" w:styleId="17">
    <w:name w:val="Plain Text"/>
    <w:basedOn w:val="1"/>
    <w:next w:val="18"/>
    <w:link w:val="138"/>
    <w:autoRedefine/>
    <w:qFormat/>
    <w:uiPriority w:val="0"/>
    <w:pPr>
      <w:ind w:firstLine="420" w:firstLineChars="200"/>
    </w:pPr>
    <w:rPr>
      <w:rFonts w:ascii="宋体" w:hAnsi="Courier New" w:cs="Times New Roman"/>
      <w:kern w:val="0"/>
      <w:sz w:val="20"/>
      <w:szCs w:val="21"/>
    </w:rPr>
  </w:style>
  <w:style w:type="paragraph" w:customStyle="1" w:styleId="18">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9">
    <w:name w:val="Date"/>
    <w:basedOn w:val="1"/>
    <w:next w:val="1"/>
    <w:link w:val="149"/>
    <w:qFormat/>
    <w:uiPriority w:val="0"/>
    <w:pPr>
      <w:ind w:left="100" w:leftChars="2500"/>
    </w:pPr>
    <w:rPr>
      <w:rFonts w:ascii="Times New Roman" w:hAnsi="Times New Roman" w:cs="Times New Roman"/>
      <w:szCs w:val="24"/>
    </w:rPr>
  </w:style>
  <w:style w:type="paragraph" w:styleId="20">
    <w:name w:val="Body Text Indent 2"/>
    <w:basedOn w:val="1"/>
    <w:link w:val="150"/>
    <w:qFormat/>
    <w:uiPriority w:val="0"/>
    <w:pPr>
      <w:spacing w:after="120" w:line="480" w:lineRule="auto"/>
      <w:ind w:left="420" w:leftChars="200"/>
    </w:pPr>
    <w:rPr>
      <w:rFonts w:ascii="Times New Roman" w:hAnsi="Times New Roman" w:cs="Times New Roman"/>
      <w:szCs w:val="24"/>
    </w:rPr>
  </w:style>
  <w:style w:type="paragraph" w:styleId="21">
    <w:name w:val="Balloon Text"/>
    <w:basedOn w:val="1"/>
    <w:link w:val="135"/>
    <w:autoRedefine/>
    <w:unhideWhenUsed/>
    <w:qFormat/>
    <w:uiPriority w:val="0"/>
    <w:rPr>
      <w:sz w:val="18"/>
      <w:szCs w:val="18"/>
    </w:rPr>
  </w:style>
  <w:style w:type="paragraph" w:styleId="22">
    <w:name w:val="footer"/>
    <w:basedOn w:val="1"/>
    <w:link w:val="132"/>
    <w:unhideWhenUsed/>
    <w:qFormat/>
    <w:uiPriority w:val="99"/>
    <w:pPr>
      <w:tabs>
        <w:tab w:val="center" w:pos="4153"/>
        <w:tab w:val="right" w:pos="8306"/>
      </w:tabs>
      <w:snapToGrid w:val="0"/>
      <w:jc w:val="left"/>
    </w:pPr>
    <w:rPr>
      <w:sz w:val="18"/>
      <w:szCs w:val="18"/>
    </w:rPr>
  </w:style>
  <w:style w:type="paragraph" w:styleId="23">
    <w:name w:val="header"/>
    <w:basedOn w:val="1"/>
    <w:link w:val="13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left" w:pos="900"/>
        <w:tab w:val="right" w:leader="dot" w:pos="9671"/>
      </w:tabs>
      <w:spacing w:before="120" w:after="120" w:line="380" w:lineRule="exact"/>
      <w:ind w:left="173" w:leftChars="57" w:hanging="53" w:hangingChars="25"/>
      <w:jc w:val="left"/>
    </w:pPr>
    <w:rPr>
      <w:rFonts w:ascii="宋体" w:hAnsi="宋体" w:cs="Times New Roman"/>
      <w:bCs/>
      <w:caps/>
      <w:szCs w:val="20"/>
    </w:rPr>
  </w:style>
  <w:style w:type="paragraph" w:styleId="25">
    <w:name w:val="Body Text Indent 3"/>
    <w:basedOn w:val="1"/>
    <w:link w:val="151"/>
    <w:qFormat/>
    <w:uiPriority w:val="0"/>
    <w:pPr>
      <w:spacing w:line="360" w:lineRule="auto"/>
      <w:ind w:left="1260" w:leftChars="600"/>
    </w:pPr>
    <w:rPr>
      <w:rFonts w:ascii="宋体" w:hAnsi="宋体" w:cs="Times New Roman"/>
      <w:b/>
      <w:bCs/>
      <w:sz w:val="24"/>
      <w:szCs w:val="24"/>
    </w:rPr>
  </w:style>
  <w:style w:type="paragraph" w:styleId="26">
    <w:name w:val="toc 2"/>
    <w:basedOn w:val="1"/>
    <w:next w:val="1"/>
    <w:qFormat/>
    <w:uiPriority w:val="39"/>
    <w:pPr>
      <w:tabs>
        <w:tab w:val="right" w:leader="dot" w:pos="9671"/>
      </w:tabs>
      <w:spacing w:line="330" w:lineRule="exact"/>
      <w:ind w:left="-2" w:firstLine="1084" w:firstLineChars="514"/>
      <w:jc w:val="left"/>
    </w:pPr>
    <w:rPr>
      <w:rFonts w:ascii="宋体" w:hAnsi="宋体" w:cs="Times New Roman"/>
      <w:b/>
      <w:smallCaps/>
      <w:kern w:val="44"/>
      <w:szCs w:val="21"/>
    </w:rPr>
  </w:style>
  <w:style w:type="paragraph" w:styleId="27">
    <w:name w:val="HTML Preformatted"/>
    <w:basedOn w:val="1"/>
    <w:link w:val="15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9">
    <w:name w:val="index 1"/>
    <w:basedOn w:val="1"/>
    <w:next w:val="1"/>
    <w:autoRedefine/>
    <w:unhideWhenUsed/>
    <w:qFormat/>
    <w:uiPriority w:val="0"/>
  </w:style>
  <w:style w:type="paragraph" w:styleId="30">
    <w:name w:val="index 2"/>
    <w:basedOn w:val="1"/>
    <w:next w:val="1"/>
    <w:semiHidden/>
    <w:qFormat/>
    <w:uiPriority w:val="0"/>
    <w:pPr>
      <w:ind w:left="200" w:leftChars="200"/>
    </w:pPr>
    <w:rPr>
      <w:rFonts w:ascii="宋体" w:hAnsi="Times New Roman" w:cs="Times New Roman"/>
      <w:sz w:val="24"/>
      <w:szCs w:val="24"/>
    </w:rPr>
  </w:style>
  <w:style w:type="paragraph" w:styleId="31">
    <w:name w:val="Title"/>
    <w:basedOn w:val="1"/>
    <w:next w:val="1"/>
    <w:link w:val="137"/>
    <w:qFormat/>
    <w:uiPriority w:val="0"/>
    <w:pPr>
      <w:spacing w:before="240" w:after="60"/>
      <w:jc w:val="center"/>
      <w:outlineLvl w:val="0"/>
    </w:pPr>
    <w:rPr>
      <w:rFonts w:ascii="Cambria" w:hAnsi="Cambria"/>
      <w:b/>
      <w:bCs/>
      <w:sz w:val="32"/>
      <w:szCs w:val="32"/>
    </w:rPr>
  </w:style>
  <w:style w:type="paragraph" w:styleId="32">
    <w:name w:val="annotation subject"/>
    <w:basedOn w:val="13"/>
    <w:next w:val="13"/>
    <w:link w:val="136"/>
    <w:unhideWhenUsed/>
    <w:qFormat/>
    <w:uiPriority w:val="0"/>
    <w:rPr>
      <w:b/>
      <w:bCs/>
    </w:rPr>
  </w:style>
  <w:style w:type="paragraph" w:styleId="33">
    <w:name w:val="Body Text First Indent"/>
    <w:basedOn w:val="14"/>
    <w:link w:val="142"/>
    <w:autoRedefine/>
    <w:unhideWhenUsed/>
    <w:qFormat/>
    <w:uiPriority w:val="99"/>
    <w:pPr>
      <w:adjustRightInd/>
      <w:spacing w:line="240" w:lineRule="auto"/>
      <w:ind w:firstLine="420" w:firstLineChars="100"/>
      <w:textAlignment w:val="auto"/>
    </w:pPr>
    <w:rPr>
      <w:rFonts w:ascii="Calibri" w:hAnsi="Calibri" w:cs="黑体"/>
      <w:kern w:val="2"/>
      <w:sz w:val="21"/>
      <w:szCs w:val="22"/>
    </w:rPr>
  </w:style>
  <w:style w:type="paragraph" w:styleId="34">
    <w:name w:val="Body Text First Indent 2"/>
    <w:basedOn w:val="15"/>
    <w:qFormat/>
    <w:uiPriority w:val="99"/>
    <w:pPr>
      <w:ind w:firstLine="420" w:firstLineChars="200"/>
    </w:pPr>
    <w:rPr>
      <w:sz w:val="32"/>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22"/>
    <w:rPr>
      <w:b/>
      <w:bCs/>
    </w:rPr>
  </w:style>
  <w:style w:type="character" w:styleId="39">
    <w:name w:val="page number"/>
    <w:basedOn w:val="37"/>
    <w:autoRedefine/>
    <w:qFormat/>
    <w:uiPriority w:val="99"/>
    <w:rPr>
      <w:rFonts w:eastAsia="宋体"/>
      <w:kern w:val="2"/>
      <w:sz w:val="24"/>
      <w:szCs w:val="24"/>
      <w:lang w:val="en-US" w:eastAsia="zh-CN" w:bidi="ar-SA"/>
    </w:rPr>
  </w:style>
  <w:style w:type="character" w:styleId="40">
    <w:name w:val="FollowedHyperlink"/>
    <w:autoRedefine/>
    <w:qFormat/>
    <w:uiPriority w:val="0"/>
    <w:rPr>
      <w:rFonts w:eastAsia="宋体"/>
      <w:color w:val="800080"/>
      <w:kern w:val="2"/>
      <w:sz w:val="24"/>
      <w:szCs w:val="24"/>
      <w:u w:val="single"/>
      <w:lang w:val="en-US" w:eastAsia="zh-CN" w:bidi="ar-SA"/>
    </w:rPr>
  </w:style>
  <w:style w:type="character" w:styleId="41">
    <w:name w:val="Emphasis"/>
    <w:autoRedefine/>
    <w:qFormat/>
    <w:uiPriority w:val="0"/>
    <w:rPr>
      <w:rFonts w:eastAsia="宋体"/>
      <w:color w:val="CC0033"/>
      <w:kern w:val="2"/>
      <w:sz w:val="24"/>
      <w:szCs w:val="24"/>
      <w:lang w:val="en-US" w:eastAsia="zh-CN" w:bidi="ar-SA"/>
    </w:rPr>
  </w:style>
  <w:style w:type="character" w:styleId="42">
    <w:name w:val="Hyperlink"/>
    <w:autoRedefine/>
    <w:qFormat/>
    <w:uiPriority w:val="99"/>
    <w:rPr>
      <w:rFonts w:eastAsia="宋体"/>
      <w:color w:val="0000FF"/>
      <w:kern w:val="2"/>
      <w:sz w:val="24"/>
      <w:szCs w:val="24"/>
      <w:u w:val="single"/>
      <w:lang w:val="en-US" w:eastAsia="zh-CN" w:bidi="ar-SA"/>
    </w:rPr>
  </w:style>
  <w:style w:type="character" w:styleId="43">
    <w:name w:val="annotation reference"/>
    <w:basedOn w:val="37"/>
    <w:autoRedefine/>
    <w:unhideWhenUsed/>
    <w:qFormat/>
    <w:uiPriority w:val="0"/>
    <w:rPr>
      <w:sz w:val="21"/>
      <w:szCs w:val="21"/>
    </w:rPr>
  </w:style>
  <w:style w:type="character" w:customStyle="1" w:styleId="44">
    <w:name w:val="标题 2 字符"/>
    <w:basedOn w:val="37"/>
    <w:link w:val="3"/>
    <w:qFormat/>
    <w:uiPriority w:val="0"/>
    <w:rPr>
      <w:rFonts w:ascii="Arial" w:hAnsi="Arial" w:eastAsia="黑体" w:cs="Times New Roman"/>
      <w:b/>
      <w:bCs/>
      <w:sz w:val="32"/>
      <w:szCs w:val="32"/>
    </w:rPr>
  </w:style>
  <w:style w:type="paragraph" w:customStyle="1" w:styleId="45">
    <w:name w:val="正文正"/>
    <w:basedOn w:val="1"/>
    <w:qFormat/>
    <w:uiPriority w:val="0"/>
    <w:pPr>
      <w:spacing w:line="560" w:lineRule="exact"/>
      <w:ind w:firstLine="561"/>
    </w:pPr>
    <w:rPr>
      <w:rFonts w:ascii="Calibri" w:hAnsi="Calibri"/>
      <w:sz w:val="28"/>
      <w:szCs w:val="28"/>
    </w:rPr>
  </w:style>
  <w:style w:type="paragraph" w:customStyle="1" w:styleId="46">
    <w:name w:val="列出段落1"/>
    <w:basedOn w:val="1"/>
    <w:link w:val="133"/>
    <w:autoRedefine/>
    <w:qFormat/>
    <w:uiPriority w:val="34"/>
    <w:pPr>
      <w:ind w:firstLine="420" w:firstLineChars="200"/>
    </w:pPr>
  </w:style>
  <w:style w:type="paragraph" w:customStyle="1" w:styleId="47">
    <w:name w:val="图"/>
    <w:basedOn w:val="1"/>
    <w:autoRedefine/>
    <w:qFormat/>
    <w:uiPriority w:val="0"/>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48">
    <w:name w:val="样式4"/>
    <w:basedOn w:val="1"/>
    <w:autoRedefine/>
    <w:qFormat/>
    <w:uiPriority w:val="0"/>
    <w:pPr>
      <w:numPr>
        <w:ilvl w:val="3"/>
        <w:numId w:val="1"/>
      </w:numPr>
      <w:tabs>
        <w:tab w:val="left" w:pos="425"/>
        <w:tab w:val="left" w:pos="1984"/>
        <w:tab w:val="clear" w:pos="851"/>
      </w:tabs>
    </w:pPr>
    <w:rPr>
      <w:rFonts w:ascii="Times New Roman" w:hAnsi="Times New Roman" w:cs="Times New Roman"/>
      <w:szCs w:val="24"/>
    </w:rPr>
  </w:style>
  <w:style w:type="paragraph" w:customStyle="1" w:styleId="49">
    <w:name w:val="列出段落11"/>
    <w:basedOn w:val="1"/>
    <w:link w:val="139"/>
    <w:qFormat/>
    <w:uiPriority w:val="34"/>
    <w:pPr>
      <w:ind w:firstLine="420" w:firstLineChars="200"/>
    </w:pPr>
    <w:rPr>
      <w:rFonts w:ascii="Times New Roman" w:hAnsi="Times New Roman" w:cs="Times New Roman"/>
      <w:szCs w:val="21"/>
    </w:rPr>
  </w:style>
  <w:style w:type="paragraph" w:customStyle="1" w:styleId="50">
    <w:name w:val="_Style 121"/>
    <w:basedOn w:val="1"/>
    <w:next w:val="46"/>
    <w:qFormat/>
    <w:uiPriority w:val="34"/>
    <w:pPr>
      <w:ind w:firstLine="420" w:firstLineChars="200"/>
    </w:pPr>
    <w:rPr>
      <w:rFonts w:cs="Times New Roman"/>
    </w:rPr>
  </w:style>
  <w:style w:type="paragraph" w:customStyle="1" w:styleId="51">
    <w:name w:val="列出段落2"/>
    <w:basedOn w:val="1"/>
    <w:next w:val="46"/>
    <w:link w:val="141"/>
    <w:qFormat/>
    <w:uiPriority w:val="0"/>
    <w:pPr>
      <w:ind w:firstLine="420" w:firstLineChars="200"/>
    </w:pPr>
    <w:rPr>
      <w:rFonts w:eastAsia="黑体" w:cs="Times New Roman"/>
      <w:bCs/>
      <w:sz w:val="30"/>
      <w:szCs w:val="30"/>
    </w:rPr>
  </w:style>
  <w:style w:type="paragraph" w:customStyle="1" w:styleId="52">
    <w:name w:val="表格文字"/>
    <w:basedOn w:val="1"/>
    <w:link w:val="144"/>
    <w:qFormat/>
    <w:uiPriority w:val="99"/>
    <w:pPr>
      <w:spacing w:before="25" w:after="25"/>
      <w:jc w:val="left"/>
    </w:pPr>
    <w:rPr>
      <w:rFonts w:ascii="Times New Roman" w:hAnsi="Times New Roman" w:cs="Times New Roman"/>
      <w:spacing w:val="10"/>
      <w:kern w:val="0"/>
      <w:sz w:val="20"/>
      <w:szCs w:val="20"/>
    </w:rPr>
  </w:style>
  <w:style w:type="paragraph" w:customStyle="1" w:styleId="53">
    <w:name w:val="列表段落1"/>
    <w:basedOn w:val="1"/>
    <w:link w:val="145"/>
    <w:autoRedefine/>
    <w:qFormat/>
    <w:uiPriority w:val="0"/>
    <w:pPr>
      <w:ind w:firstLine="420" w:firstLineChars="200"/>
    </w:pPr>
  </w:style>
  <w:style w:type="paragraph" w:customStyle="1" w:styleId="54">
    <w:name w:val="Table Paragraph"/>
    <w:basedOn w:val="1"/>
    <w:autoRedefine/>
    <w:qFormat/>
    <w:uiPriority w:val="1"/>
    <w:rPr>
      <w:rFonts w:ascii="宋体" w:hAnsi="宋体" w:cs="宋体"/>
      <w:szCs w:val="24"/>
      <w:lang w:val="zh-CN" w:bidi="zh-CN"/>
    </w:rPr>
  </w:style>
  <w:style w:type="paragraph" w:customStyle="1" w:styleId="55">
    <w:name w:val="列出段落3"/>
    <w:basedOn w:val="1"/>
    <w:link w:val="146"/>
    <w:qFormat/>
    <w:uiPriority w:val="34"/>
    <w:pPr>
      <w:ind w:firstLine="420" w:firstLineChars="200"/>
    </w:pPr>
  </w:style>
  <w:style w:type="paragraph" w:customStyle="1" w:styleId="56">
    <w:name w:val="正文缩进_0"/>
    <w:basedOn w:val="57"/>
    <w:link w:val="165"/>
    <w:qFormat/>
    <w:uiPriority w:val="0"/>
    <w:pPr>
      <w:ind w:firstLine="420"/>
    </w:pPr>
    <w:rPr>
      <w:rFonts w:ascii="Calibri" w:hAnsi="Calibri" w:cs="黑体"/>
      <w:kern w:val="2"/>
      <w:szCs w:val="22"/>
    </w:rPr>
  </w:style>
  <w:style w:type="paragraph" w:customStyle="1" w:styleId="57">
    <w:name w:val="正文_1"/>
    <w:qFormat/>
    <w:uiPriority w:val="0"/>
    <w:rPr>
      <w:rFonts w:ascii="Times New Roman" w:hAnsi="Times New Roman" w:eastAsia="宋体" w:cs="Times New Roman"/>
      <w:sz w:val="21"/>
      <w:lang w:val="en-US" w:eastAsia="zh-CN" w:bidi="ar-SA"/>
    </w:rPr>
  </w:style>
  <w:style w:type="paragraph" w:customStyle="1" w:styleId="58">
    <w:name w:val="默认段落字体 Para Char"/>
    <w:basedOn w:val="1"/>
    <w:qFormat/>
    <w:uiPriority w:val="0"/>
    <w:rPr>
      <w:rFonts w:ascii="Times New Roman" w:hAnsi="Times New Roman" w:cs="Times New Roman"/>
      <w:sz w:val="24"/>
      <w:szCs w:val="24"/>
    </w:rPr>
  </w:style>
  <w:style w:type="paragraph" w:customStyle="1" w:styleId="59">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0">
    <w:name w:val="copytext3"/>
    <w:basedOn w:val="1"/>
    <w:autoRedefine/>
    <w:qFormat/>
    <w:uiPriority w:val="0"/>
    <w:pPr>
      <w:widowControl/>
      <w:pBdr>
        <w:right w:val="single" w:color="CCCCCC" w:sz="6" w:space="0"/>
      </w:pBdr>
      <w:shd w:val="clear" w:color="auto" w:fill="EFEFEF"/>
      <w:spacing w:before="100" w:beforeAutospacing="1" w:after="100" w:afterAutospacing="1"/>
      <w:jc w:val="left"/>
    </w:pPr>
    <w:rPr>
      <w:rFonts w:ascii="Tahoma" w:hAnsi="Tahoma" w:eastAsia="Arial Unicode MS" w:cs="Tahoma"/>
      <w:color w:val="666666"/>
      <w:kern w:val="0"/>
      <w:sz w:val="18"/>
      <w:szCs w:val="18"/>
    </w:rPr>
  </w:style>
  <w:style w:type="paragraph" w:customStyle="1" w:styleId="61">
    <w:name w:val="页眉1"/>
    <w:basedOn w:val="1"/>
    <w:qFormat/>
    <w:uiPriority w:val="0"/>
    <w:pPr>
      <w:widowControl/>
      <w:shd w:val="clear" w:color="auto" w:fill="0C8CE4"/>
      <w:spacing w:before="100" w:beforeAutospacing="1" w:after="100" w:afterAutospacing="1"/>
      <w:jc w:val="left"/>
    </w:pPr>
    <w:rPr>
      <w:rFonts w:ascii="Tahoma" w:hAnsi="Tahoma" w:eastAsia="Arial Unicode MS" w:cs="Tahoma"/>
      <w:b/>
      <w:bCs/>
      <w:color w:val="FFFFFF"/>
      <w:kern w:val="0"/>
      <w:sz w:val="18"/>
      <w:szCs w:val="18"/>
    </w:rPr>
  </w:style>
  <w:style w:type="paragraph" w:customStyle="1" w:styleId="62">
    <w:name w:val="style1"/>
    <w:basedOn w:val="1"/>
    <w:autoRedefine/>
    <w:qFormat/>
    <w:uiPriority w:val="0"/>
    <w:pPr>
      <w:widowControl/>
      <w:spacing w:before="100" w:beforeAutospacing="1" w:after="100" w:afterAutospacing="1"/>
      <w:jc w:val="left"/>
    </w:pPr>
    <w:rPr>
      <w:rFonts w:ascii="Arial Unicode MS" w:hAnsi="Arial Unicode MS" w:eastAsia="Arial Unicode MS" w:cs="Arial Unicode MS"/>
      <w:color w:val="FFFFFF"/>
      <w:kern w:val="0"/>
      <w:sz w:val="24"/>
      <w:szCs w:val="24"/>
    </w:rPr>
  </w:style>
  <w:style w:type="paragraph" w:customStyle="1" w:styleId="63">
    <w:name w:val="style26"/>
    <w:basedOn w:val="1"/>
    <w:qFormat/>
    <w:uiPriority w:val="0"/>
    <w:pPr>
      <w:widowControl/>
      <w:spacing w:before="100" w:beforeAutospacing="1" w:after="100" w:afterAutospacing="1"/>
      <w:jc w:val="left"/>
    </w:pPr>
    <w:rPr>
      <w:rFonts w:ascii="Arial Unicode MS" w:hAnsi="Arial Unicode MS" w:eastAsia="Arial Unicode MS" w:cs="Arial Unicode MS"/>
      <w:b/>
      <w:bCs/>
      <w:color w:val="FF0000"/>
      <w:kern w:val="0"/>
      <w:sz w:val="24"/>
      <w:szCs w:val="24"/>
    </w:rPr>
  </w:style>
  <w:style w:type="paragraph" w:customStyle="1" w:styleId="64">
    <w:name w:val="Char"/>
    <w:basedOn w:val="1"/>
    <w:autoRedefine/>
    <w:qFormat/>
    <w:locked/>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65">
    <w:name w:val="box"/>
    <w:basedOn w:val="1"/>
    <w:qFormat/>
    <w:uiPriority w:val="0"/>
    <w:pPr>
      <w:widowControl/>
      <w:pBdr>
        <w:top w:val="single" w:color="0C8CE4" w:sz="6" w:space="0"/>
        <w:left w:val="single" w:color="0C8CE4" w:sz="6" w:space="0"/>
        <w:bottom w:val="single" w:color="0C8CE4" w:sz="6" w:space="0"/>
        <w:right w:val="single" w:color="0C8CE4" w:sz="6" w:space="0"/>
      </w:pBdr>
      <w:shd w:val="clear" w:color="auto" w:fill="B7DDF7"/>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66">
    <w:name w:val="Char1"/>
    <w:basedOn w:val="1"/>
    <w:qFormat/>
    <w:uiPriority w:val="0"/>
    <w:pPr>
      <w:tabs>
        <w:tab w:val="left" w:pos="425"/>
        <w:tab w:val="left" w:pos="780"/>
      </w:tabs>
      <w:ind w:left="425" w:hanging="425"/>
    </w:pPr>
    <w:rPr>
      <w:rFonts w:ascii="Times New Roman" w:hAnsi="Times New Roman" w:cs="Times New Roman"/>
      <w:sz w:val="24"/>
      <w:szCs w:val="24"/>
    </w:rPr>
  </w:style>
  <w:style w:type="paragraph" w:customStyle="1" w:styleId="67">
    <w:name w:val="style48"/>
    <w:basedOn w:val="1"/>
    <w:qFormat/>
    <w:uiPriority w:val="0"/>
    <w:pPr>
      <w:widowControl/>
      <w:spacing w:before="100" w:beforeAutospacing="1" w:after="100" w:afterAutospacing="1"/>
      <w:jc w:val="left"/>
    </w:pPr>
    <w:rPr>
      <w:rFonts w:ascii="Arial Unicode MS" w:hAnsi="Arial Unicode MS" w:eastAsia="Arial Unicode MS" w:cs="Arial Unicode MS"/>
      <w:color w:val="FFFFFF"/>
      <w:kern w:val="0"/>
      <w:sz w:val="24"/>
      <w:szCs w:val="24"/>
    </w:rPr>
  </w:style>
  <w:style w:type="paragraph" w:customStyle="1" w:styleId="68">
    <w:name w:val="123"/>
    <w:basedOn w:val="1"/>
    <w:autoRedefine/>
    <w:qFormat/>
    <w:uiPriority w:val="0"/>
    <w:rPr>
      <w:rFonts w:ascii="Times New Roman" w:hAnsi="Times New Roman" w:cs="Times New Roman"/>
      <w:szCs w:val="24"/>
    </w:rPr>
  </w:style>
  <w:style w:type="paragraph" w:customStyle="1" w:styleId="69">
    <w:name w:val="copytext2"/>
    <w:basedOn w:val="1"/>
    <w:autoRedefine/>
    <w:qFormat/>
    <w:uiPriority w:val="0"/>
    <w:pPr>
      <w:widowControl/>
      <w:pBdr>
        <w:bottom w:val="single" w:color="0099E3" w:sz="6" w:space="0"/>
      </w:pBdr>
      <w:shd w:val="clear" w:color="auto" w:fill="CCF3FF"/>
      <w:spacing w:before="100" w:beforeAutospacing="1" w:after="100" w:afterAutospacing="1"/>
      <w:jc w:val="left"/>
    </w:pPr>
    <w:rPr>
      <w:rFonts w:ascii="Tahoma" w:hAnsi="Tahoma" w:eastAsia="Arial Unicode MS" w:cs="Tahoma"/>
      <w:color w:val="0066CC"/>
      <w:kern w:val="0"/>
      <w:sz w:val="18"/>
      <w:szCs w:val="18"/>
    </w:rPr>
  </w:style>
  <w:style w:type="paragraph" w:customStyle="1" w:styleId="70">
    <w:name w:val="copytext5"/>
    <w:basedOn w:val="1"/>
    <w:qFormat/>
    <w:uiPriority w:val="0"/>
    <w:pPr>
      <w:widowControl/>
      <w:pBdr>
        <w:bottom w:val="single" w:color="666666" w:sz="6" w:space="0"/>
      </w:pBdr>
      <w:shd w:val="clear" w:color="auto" w:fill="FFFFFF"/>
      <w:spacing w:before="100" w:beforeAutospacing="1" w:after="100" w:afterAutospacing="1"/>
      <w:jc w:val="left"/>
    </w:pPr>
    <w:rPr>
      <w:rFonts w:ascii="Tahoma" w:hAnsi="Tahoma" w:eastAsia="Arial Unicode MS" w:cs="Tahoma"/>
      <w:color w:val="666666"/>
      <w:kern w:val="0"/>
      <w:sz w:val="18"/>
      <w:szCs w:val="18"/>
    </w:rPr>
  </w:style>
  <w:style w:type="paragraph" w:customStyle="1" w:styleId="71">
    <w:name w:val="120"/>
    <w:basedOn w:val="1"/>
    <w:qFormat/>
    <w:uiPriority w:val="0"/>
    <w:pPr>
      <w:widowControl/>
      <w:spacing w:before="100" w:beforeAutospacing="1" w:after="100" w:afterAutospacing="1" w:line="360" w:lineRule="auto"/>
      <w:jc w:val="left"/>
    </w:pPr>
    <w:rPr>
      <w:rFonts w:ascii="Arial Unicode MS" w:hAnsi="Arial Unicode MS" w:eastAsia="Arial Unicode MS" w:cs="Arial Unicode MS"/>
      <w:kern w:val="0"/>
      <w:sz w:val="24"/>
      <w:szCs w:val="24"/>
    </w:rPr>
  </w:style>
  <w:style w:type="paragraph" w:customStyle="1" w:styleId="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textfeild"/>
    <w:basedOn w:val="1"/>
    <w:qFormat/>
    <w:uiPriority w:val="0"/>
    <w:pPr>
      <w:widowControl/>
      <w:shd w:val="clear" w:color="auto" w:fill="FFFFFF"/>
      <w:spacing w:before="15" w:after="15"/>
      <w:ind w:left="15" w:right="15"/>
      <w:jc w:val="left"/>
    </w:pPr>
    <w:rPr>
      <w:rFonts w:ascii="Arial Unicode MS" w:hAnsi="Arial Unicode MS" w:eastAsia="Arial Unicode MS" w:cs="Arial Unicode MS"/>
      <w:kern w:val="0"/>
      <w:sz w:val="24"/>
      <w:szCs w:val="24"/>
    </w:rPr>
  </w:style>
  <w:style w:type="paragraph" w:customStyle="1" w:styleId="74">
    <w:name w:val="td2line"/>
    <w:basedOn w:val="1"/>
    <w:qFormat/>
    <w:uiPriority w:val="0"/>
    <w:pPr>
      <w:widowControl/>
      <w:pBdr>
        <w:left w:val="dotted" w:color="CCCCCC" w:sz="6"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75">
    <w:name w:val="样式2"/>
    <w:basedOn w:val="1"/>
    <w:qFormat/>
    <w:uiPriority w:val="0"/>
    <w:pPr>
      <w:adjustRightInd w:val="0"/>
      <w:spacing w:after="60" w:line="400" w:lineRule="atLeast"/>
      <w:jc w:val="left"/>
      <w:textAlignment w:val="baseline"/>
    </w:pPr>
    <w:rPr>
      <w:rFonts w:ascii="Times New Roman" w:hAnsi="Times New Roman" w:cs="Times New Roman"/>
      <w:kern w:val="0"/>
      <w:sz w:val="28"/>
      <w:szCs w:val="20"/>
    </w:rPr>
  </w:style>
  <w:style w:type="paragraph" w:customStyle="1" w:styleId="76">
    <w:name w:val="inputbox"/>
    <w:basedOn w:val="1"/>
    <w:qFormat/>
    <w:uiPriority w:val="0"/>
    <w:pPr>
      <w:widowControl/>
      <w:pBdr>
        <w:top w:val="single" w:color="333333" w:sz="6" w:space="0"/>
        <w:left w:val="single" w:color="333333" w:sz="6" w:space="0"/>
        <w:bottom w:val="single" w:color="333333" w:sz="6" w:space="0"/>
        <w:right w:val="single" w:color="333333" w:sz="6"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77">
    <w:name w:val="TOC 标题1"/>
    <w:basedOn w:val="2"/>
    <w:next w:val="1"/>
    <w:autoRedefine/>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78">
    <w:name w:val="px14"/>
    <w:basedOn w:val="1"/>
    <w:qFormat/>
    <w:uiPriority w:val="0"/>
    <w:pPr>
      <w:widowControl/>
      <w:spacing w:before="100" w:beforeAutospacing="1" w:after="100" w:afterAutospacing="1"/>
      <w:jc w:val="left"/>
    </w:pPr>
    <w:rPr>
      <w:rFonts w:ascii="Arial Unicode MS" w:hAnsi="Arial Unicode MS" w:eastAsia="Arial Unicode MS" w:cs="Arial Unicode MS"/>
      <w:kern w:val="0"/>
      <w:szCs w:val="21"/>
    </w:rPr>
  </w:style>
  <w:style w:type="paragraph" w:customStyle="1" w:styleId="79">
    <w:name w:val="arial"/>
    <w:basedOn w:val="1"/>
    <w:autoRedefine/>
    <w:qFormat/>
    <w:uiPriority w:val="0"/>
    <w:pPr>
      <w:widowControl/>
      <w:spacing w:before="100" w:beforeAutospacing="1" w:after="100" w:afterAutospacing="1"/>
      <w:jc w:val="left"/>
    </w:pPr>
    <w:rPr>
      <w:rFonts w:ascii="Arial" w:hAnsi="Arial" w:eastAsia="Arial Unicode MS" w:cs="Arial"/>
      <w:kern w:val="0"/>
      <w:sz w:val="18"/>
      <w:szCs w:val="18"/>
    </w:rPr>
  </w:style>
  <w:style w:type="paragraph" w:customStyle="1" w:styleId="80">
    <w:name w:val="lrb"/>
    <w:basedOn w:val="1"/>
    <w:qFormat/>
    <w:uiPriority w:val="0"/>
    <w:pPr>
      <w:widowControl/>
      <w:pBdr>
        <w:left w:val="single" w:color="CCCCCC" w:sz="6" w:space="0"/>
        <w:bottom w:val="single" w:color="CCCCCC" w:sz="6" w:space="0"/>
        <w:right w:val="single" w:color="CCCCCC" w:sz="6"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
    <w:name w:val="Char Char Char"/>
    <w:basedOn w:val="1"/>
    <w:autoRedefine/>
    <w:qFormat/>
    <w:uiPriority w:val="0"/>
    <w:rPr>
      <w:rFonts w:ascii="Tahoma" w:hAnsi="Tahoma" w:cs="Times New Roman"/>
      <w:sz w:val="24"/>
      <w:szCs w:val="20"/>
    </w:rPr>
  </w:style>
  <w:style w:type="paragraph" w:customStyle="1" w:styleId="82">
    <w:name w:val="tableborder2"/>
    <w:basedOn w:val="1"/>
    <w:qFormat/>
    <w:uiPriority w:val="0"/>
    <w:pPr>
      <w:widowControl/>
      <w:pBdr>
        <w:top w:val="single" w:color="D7486B" w:sz="6" w:space="0"/>
        <w:left w:val="single" w:color="D7486B" w:sz="6" w:space="0"/>
        <w:bottom w:val="single" w:color="D7486B" w:sz="6" w:space="0"/>
        <w:right w:val="single" w:color="D7486B" w:sz="6" w:space="0"/>
      </w:pBdr>
      <w:shd w:val="clear" w:color="auto" w:fill="B7DDF7"/>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3">
    <w:name w:val="样式 样式 样式 样式 样式 样式 标题 1 + 段前: 1.2 行 段后: 0.8 行 + 段前: 1.2 行 段后: 0.8..."/>
    <w:basedOn w:val="1"/>
    <w:autoRedefine/>
    <w:qFormat/>
    <w:uiPriority w:val="0"/>
    <w:pPr>
      <w:keepNext/>
      <w:keepLines/>
      <w:widowControl/>
      <w:tabs>
        <w:tab w:val="left" w:pos="360"/>
      </w:tabs>
      <w:spacing w:beforeLines="50" w:afterLines="30" w:line="360" w:lineRule="auto"/>
      <w:ind w:left="420" w:hanging="420"/>
      <w:outlineLvl w:val="0"/>
    </w:pPr>
    <w:rPr>
      <w:rFonts w:ascii="Times New Roman" w:hAnsi="Times New Roman" w:cs="宋体"/>
      <w:b/>
      <w:bCs/>
      <w:kern w:val="44"/>
      <w:sz w:val="28"/>
      <w:szCs w:val="20"/>
    </w:rPr>
  </w:style>
  <w:style w:type="paragraph" w:customStyle="1" w:styleId="84">
    <w:name w:val="copytext"/>
    <w:basedOn w:val="1"/>
    <w:qFormat/>
    <w:uiPriority w:val="0"/>
    <w:pPr>
      <w:widowControl/>
      <w:pBdr>
        <w:bottom w:val="single" w:color="0099E3" w:sz="6" w:space="0"/>
      </w:pBdr>
      <w:shd w:val="clear" w:color="auto" w:fill="CCF3FF"/>
      <w:spacing w:before="100" w:beforeAutospacing="1" w:after="100" w:afterAutospacing="1"/>
      <w:jc w:val="left"/>
    </w:pPr>
    <w:rPr>
      <w:rFonts w:ascii="Tahoma" w:hAnsi="Tahoma" w:eastAsia="Arial Unicode MS" w:cs="Tahoma"/>
      <w:color w:val="000000"/>
      <w:kern w:val="0"/>
      <w:sz w:val="14"/>
      <w:szCs w:val="14"/>
    </w:rPr>
  </w:style>
  <w:style w:type="paragraph" w:customStyle="1" w:styleId="85">
    <w:name w:val="140"/>
    <w:basedOn w:val="1"/>
    <w:autoRedefine/>
    <w:qFormat/>
    <w:uiPriority w:val="0"/>
    <w:pPr>
      <w:widowControl/>
      <w:spacing w:before="100" w:beforeAutospacing="1" w:after="100" w:afterAutospacing="1" w:line="432" w:lineRule="auto"/>
      <w:jc w:val="left"/>
    </w:pPr>
    <w:rPr>
      <w:rFonts w:ascii="Arial Unicode MS" w:hAnsi="Arial Unicode MS" w:eastAsia="Arial Unicode MS" w:cs="Arial Unicode MS"/>
      <w:kern w:val="0"/>
      <w:sz w:val="24"/>
      <w:szCs w:val="24"/>
    </w:rPr>
  </w:style>
  <w:style w:type="paragraph" w:customStyle="1" w:styleId="86">
    <w:name w:val="Char Char Char Char"/>
    <w:basedOn w:val="1"/>
    <w:autoRedefine/>
    <w:qFormat/>
    <w:uiPriority w:val="0"/>
    <w:pPr>
      <w:tabs>
        <w:tab w:val="left" w:pos="425"/>
        <w:tab w:val="left" w:pos="780"/>
      </w:tabs>
      <w:ind w:left="425" w:hanging="425"/>
    </w:pPr>
    <w:rPr>
      <w:rFonts w:ascii="Times New Roman" w:hAnsi="Times New Roman" w:cs="Times New Roman"/>
      <w:sz w:val="24"/>
      <w:szCs w:val="24"/>
    </w:rPr>
  </w:style>
  <w:style w:type="paragraph" w:customStyle="1" w:styleId="87">
    <w:name w:val="style38"/>
    <w:basedOn w:val="1"/>
    <w:qFormat/>
    <w:uiPriority w:val="0"/>
    <w:pPr>
      <w:widowControl/>
      <w:spacing w:before="100" w:beforeAutospacing="1" w:after="100" w:afterAutospacing="1"/>
      <w:jc w:val="left"/>
    </w:pPr>
    <w:rPr>
      <w:rFonts w:ascii="Arial Unicode MS" w:hAnsi="Arial Unicode MS" w:eastAsia="Arial Unicode MS" w:cs="Arial Unicode MS"/>
      <w:color w:val="FF0000"/>
      <w:kern w:val="0"/>
      <w:sz w:val="24"/>
      <w:szCs w:val="24"/>
    </w:rPr>
  </w:style>
  <w:style w:type="paragraph" w:customStyle="1" w:styleId="88">
    <w:name w:val="_Style 1"/>
    <w:basedOn w:val="1"/>
    <w:autoRedefine/>
    <w:qFormat/>
    <w:uiPriority w:val="99"/>
    <w:pPr>
      <w:ind w:firstLine="420" w:firstLineChars="200"/>
    </w:pPr>
    <w:rPr>
      <w:rFonts w:cs="Times New Roman"/>
      <w:szCs w:val="24"/>
    </w:rPr>
  </w:style>
  <w:style w:type="paragraph" w:customStyle="1" w:styleId="89">
    <w:name w:val="bold"/>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szCs w:val="24"/>
    </w:rPr>
  </w:style>
  <w:style w:type="paragraph" w:customStyle="1" w:styleId="90">
    <w:name w:val="ÕýÎÄ"/>
    <w:autoRedefine/>
    <w:qFormat/>
    <w:uiPriority w:val="0"/>
    <w:pPr>
      <w:widowControl w:val="0"/>
      <w:overflowPunct w:val="0"/>
      <w:autoSpaceDE w:val="0"/>
      <w:autoSpaceDN w:val="0"/>
      <w:adjustRightInd w:val="0"/>
      <w:textAlignment w:val="baseline"/>
    </w:pPr>
    <w:rPr>
      <w:rFonts w:ascii="Arial" w:hAnsi="Arial" w:eastAsia="宋体" w:cs="Times New Roman"/>
      <w:lang w:val="en-US" w:eastAsia="zh-CN" w:bidi="ar-SA"/>
    </w:rPr>
  </w:style>
  <w:style w:type="paragraph" w:customStyle="1" w:styleId="91">
    <w:name w:val="shengming"/>
    <w:basedOn w:val="1"/>
    <w:autoRedefine/>
    <w:qFormat/>
    <w:uiPriority w:val="0"/>
    <w:pPr>
      <w:widowControl/>
      <w:spacing w:before="100" w:beforeAutospacing="1" w:after="100" w:afterAutospacing="1"/>
      <w:jc w:val="left"/>
    </w:pPr>
    <w:rPr>
      <w:rFonts w:ascii="Arial Unicode MS" w:hAnsi="Arial Unicode MS" w:eastAsia="Arial Unicode MS" w:cs="Arial Unicode MS"/>
      <w:color w:val="336600"/>
      <w:kern w:val="0"/>
      <w:szCs w:val="21"/>
    </w:rPr>
  </w:style>
  <w:style w:type="paragraph" w:customStyle="1" w:styleId="92">
    <w:name w:val="style15"/>
    <w:basedOn w:val="1"/>
    <w:qFormat/>
    <w:uiPriority w:val="0"/>
    <w:pPr>
      <w:widowControl/>
      <w:spacing w:before="100" w:beforeAutospacing="1" w:after="100" w:afterAutospacing="1"/>
      <w:jc w:val="left"/>
    </w:pPr>
    <w:rPr>
      <w:rFonts w:ascii="Arial Unicode MS" w:hAnsi="Arial Unicode MS" w:eastAsia="Arial Unicode MS" w:cs="Arial Unicode MS"/>
      <w:b/>
      <w:bCs/>
      <w:color w:val="333333"/>
      <w:kern w:val="0"/>
      <w:sz w:val="24"/>
      <w:szCs w:val="24"/>
    </w:rPr>
  </w:style>
  <w:style w:type="paragraph" w:customStyle="1" w:styleId="93">
    <w:name w:val="copytext4"/>
    <w:basedOn w:val="1"/>
    <w:autoRedefine/>
    <w:qFormat/>
    <w:uiPriority w:val="0"/>
    <w:pPr>
      <w:widowControl/>
      <w:pBdr>
        <w:top w:val="single" w:color="CCCCCC" w:sz="6" w:space="0"/>
      </w:pBdr>
      <w:shd w:val="clear" w:color="auto" w:fill="EFEFEF"/>
      <w:spacing w:before="100" w:beforeAutospacing="1" w:after="100" w:afterAutospacing="1"/>
      <w:jc w:val="left"/>
    </w:pPr>
    <w:rPr>
      <w:rFonts w:ascii="Tahoma" w:hAnsi="Tahoma" w:eastAsia="Arial Unicode MS" w:cs="Tahoma"/>
      <w:color w:val="666666"/>
      <w:kern w:val="0"/>
      <w:sz w:val="18"/>
      <w:szCs w:val="18"/>
    </w:rPr>
  </w:style>
  <w:style w:type="paragraph" w:customStyle="1" w:styleId="94">
    <w:name w:val="header3"/>
    <w:basedOn w:val="1"/>
    <w:qFormat/>
    <w:uiPriority w:val="0"/>
    <w:pPr>
      <w:widowControl/>
      <w:shd w:val="clear" w:color="auto" w:fill="D7486B"/>
      <w:spacing w:before="100" w:beforeAutospacing="1" w:after="100" w:afterAutospacing="1"/>
      <w:jc w:val="left"/>
    </w:pPr>
    <w:rPr>
      <w:rFonts w:ascii="Tahoma" w:hAnsi="Tahoma" w:eastAsia="Arial Unicode MS" w:cs="Tahoma"/>
      <w:b/>
      <w:bCs/>
      <w:color w:val="FFFFFF"/>
      <w:kern w:val="0"/>
      <w:sz w:val="18"/>
      <w:szCs w:val="18"/>
    </w:rPr>
  </w:style>
  <w:style w:type="paragraph" w:customStyle="1" w:styleId="95">
    <w:name w:val="公司标识"/>
    <w:basedOn w:val="1"/>
    <w:autoRedefine/>
    <w:qFormat/>
    <w:uiPriority w:val="0"/>
    <w:rPr>
      <w:rFonts w:ascii="Times New Roman" w:hAnsi="Times New Roman" w:cs="Times New Roman"/>
      <w:szCs w:val="20"/>
    </w:rPr>
  </w:style>
  <w:style w:type="paragraph" w:customStyle="1" w:styleId="96">
    <w:name w:val="文字"/>
    <w:basedOn w:val="1"/>
    <w:autoRedefine/>
    <w:qFormat/>
    <w:uiPriority w:val="0"/>
    <w:pPr>
      <w:tabs>
        <w:tab w:val="left" w:pos="8520"/>
      </w:tabs>
      <w:spacing w:line="312" w:lineRule="auto"/>
      <w:ind w:right="-210" w:firstLine="556"/>
    </w:pPr>
    <w:rPr>
      <w:rFonts w:ascii="楷体_GB2312" w:hAnsi="Times New Roman" w:eastAsia="楷体_GB2312" w:cs="Times New Roman"/>
      <w:sz w:val="28"/>
      <w:szCs w:val="20"/>
    </w:rPr>
  </w:style>
  <w:style w:type="paragraph" w:customStyle="1" w:styleId="97">
    <w:name w:val="a1"/>
    <w:basedOn w:val="1"/>
    <w:autoRedefine/>
    <w:qFormat/>
    <w:uiPriority w:val="0"/>
    <w:pPr>
      <w:widowControl/>
      <w:spacing w:before="100" w:beforeAutospacing="1" w:after="100" w:afterAutospacing="1" w:line="320" w:lineRule="atLeast"/>
      <w:jc w:val="left"/>
    </w:pPr>
    <w:rPr>
      <w:rFonts w:hint="eastAsia" w:ascii="宋体" w:hAnsi="宋体" w:cs="Arial Unicode MS"/>
      <w:color w:val="FFFFFF"/>
      <w:kern w:val="0"/>
      <w:sz w:val="18"/>
      <w:szCs w:val="18"/>
    </w:rPr>
  </w:style>
  <w:style w:type="paragraph" w:customStyle="1" w:styleId="98">
    <w:name w:val="tf-px9"/>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14"/>
      <w:szCs w:val="14"/>
    </w:rPr>
  </w:style>
  <w:style w:type="paragraph" w:customStyle="1" w:styleId="99">
    <w:name w:val="smalltxt"/>
    <w:basedOn w:val="1"/>
    <w:autoRedefine/>
    <w:qFormat/>
    <w:uiPriority w:val="0"/>
    <w:pPr>
      <w:widowControl/>
      <w:spacing w:before="100" w:beforeAutospacing="1" w:after="100" w:afterAutospacing="1"/>
      <w:jc w:val="left"/>
    </w:pPr>
    <w:rPr>
      <w:rFonts w:ascii="Tahoma" w:hAnsi="Tahoma" w:eastAsia="Arial Unicode MS" w:cs="Tahoma"/>
      <w:kern w:val="0"/>
      <w:sz w:val="18"/>
      <w:szCs w:val="18"/>
    </w:rPr>
  </w:style>
  <w:style w:type="paragraph" w:customStyle="1" w:styleId="100">
    <w:name w:val="标题4"/>
    <w:basedOn w:val="4"/>
    <w:autoRedefine/>
    <w:qFormat/>
    <w:uiPriority w:val="0"/>
    <w:pPr>
      <w:spacing w:before="100" w:beforeAutospacing="1" w:after="100" w:afterAutospacing="1"/>
      <w:ind w:firstLine="250" w:firstLineChars="100"/>
      <w:outlineLvl w:val="9"/>
    </w:pPr>
    <w:rPr>
      <w:rFonts w:ascii="宋体" w:eastAsia="宋体"/>
      <w:b w:val="0"/>
      <w:bCs w:val="0"/>
      <w:spacing w:val="20"/>
      <w:sz w:val="21"/>
      <w:szCs w:val="21"/>
    </w:rPr>
  </w:style>
  <w:style w:type="paragraph" w:customStyle="1" w:styleId="101">
    <w:name w:val="style14"/>
    <w:basedOn w:val="1"/>
    <w:autoRedefine/>
    <w:qFormat/>
    <w:uiPriority w:val="0"/>
    <w:pPr>
      <w:widowControl/>
      <w:spacing w:before="100" w:beforeAutospacing="1" w:after="100" w:afterAutospacing="1"/>
      <w:jc w:val="left"/>
    </w:pPr>
    <w:rPr>
      <w:rFonts w:ascii="Arial Unicode MS" w:hAnsi="Arial Unicode MS" w:eastAsia="Arial Unicode MS" w:cs="Arial Unicode MS"/>
      <w:color w:val="333333"/>
      <w:kern w:val="0"/>
      <w:sz w:val="24"/>
      <w:szCs w:val="24"/>
    </w:rPr>
  </w:style>
  <w:style w:type="paragraph" w:customStyle="1" w:styleId="102">
    <w:name w:val="spons_hed"/>
    <w:basedOn w:val="1"/>
    <w:autoRedefine/>
    <w:qFormat/>
    <w:uiPriority w:val="0"/>
    <w:pPr>
      <w:widowControl/>
      <w:pBdr>
        <w:top w:val="single" w:color="4AA3EA" w:sz="6" w:space="5"/>
        <w:bottom w:val="single" w:color="4AA3EA" w:sz="6" w:space="2"/>
      </w:pBdr>
      <w:shd w:val="clear" w:color="auto" w:fill="ACD3F5"/>
      <w:spacing w:before="100" w:beforeAutospacing="1" w:after="100" w:afterAutospacing="1" w:line="330" w:lineRule="atLeast"/>
      <w:jc w:val="left"/>
      <w:textAlignment w:val="center"/>
    </w:pPr>
    <w:rPr>
      <w:rFonts w:ascii="Arial Unicode MS" w:hAnsi="Arial Unicode MS" w:eastAsia="Arial Unicode MS" w:cs="Arial Unicode MS"/>
      <w:color w:val="000000"/>
      <w:kern w:val="0"/>
      <w:sz w:val="24"/>
      <w:szCs w:val="24"/>
    </w:rPr>
  </w:style>
  <w:style w:type="paragraph" w:customStyle="1" w:styleId="103">
    <w:name w:val="tableborder"/>
    <w:basedOn w:val="1"/>
    <w:autoRedefine/>
    <w:qFormat/>
    <w:uiPriority w:val="0"/>
    <w:pPr>
      <w:widowControl/>
      <w:pBdr>
        <w:top w:val="single" w:color="698CC3" w:sz="6" w:space="0"/>
        <w:left w:val="single" w:color="698CC3" w:sz="6" w:space="0"/>
        <w:bottom w:val="single" w:color="698CC3" w:sz="6" w:space="0"/>
        <w:right w:val="single" w:color="698CC3" w:sz="6" w:space="0"/>
      </w:pBdr>
      <w:shd w:val="clear" w:color="auto" w:fill="B7DDF7"/>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4">
    <w:name w:val="1册标题2"/>
    <w:basedOn w:val="1"/>
    <w:next w:val="1"/>
    <w:autoRedefine/>
    <w:qFormat/>
    <w:uiPriority w:val="0"/>
    <w:pPr>
      <w:adjustRightInd w:val="0"/>
      <w:spacing w:beforeLines="50" w:afterLines="50" w:line="300" w:lineRule="auto"/>
      <w:jc w:val="center"/>
      <w:textAlignment w:val="baseline"/>
      <w:outlineLvl w:val="1"/>
    </w:pPr>
    <w:rPr>
      <w:rFonts w:ascii="Arial" w:hAnsi="Arial" w:eastAsia="黑体" w:cs="Times New Roman"/>
      <w:bCs/>
      <w:kern w:val="0"/>
      <w:sz w:val="32"/>
      <w:szCs w:val="24"/>
    </w:rPr>
  </w:style>
  <w:style w:type="paragraph" w:customStyle="1" w:styleId="105">
    <w:name w:val="Char Char1"/>
    <w:basedOn w:val="1"/>
    <w:autoRedefine/>
    <w:qFormat/>
    <w:uiPriority w:val="0"/>
    <w:pPr>
      <w:widowControl/>
      <w:spacing w:after="160" w:line="240" w:lineRule="exact"/>
      <w:jc w:val="left"/>
    </w:pPr>
    <w:rPr>
      <w:rFonts w:ascii="Verdana" w:hAnsi="Verdana" w:eastAsia="楷体_GB2312" w:cs="Times New Roman"/>
      <w:b/>
      <w:i/>
      <w:iCs/>
      <w:color w:val="000000"/>
      <w:kern w:val="0"/>
      <w:sz w:val="20"/>
      <w:szCs w:val="20"/>
      <w:lang w:eastAsia="en-US"/>
    </w:rPr>
  </w:style>
  <w:style w:type="paragraph" w:customStyle="1" w:styleId="106">
    <w:name w:val="样式 样式 标题 2标题 2 Char + 段前: 0.9 行 + 段前: 0.9 行"/>
    <w:basedOn w:val="1"/>
    <w:autoRedefine/>
    <w:qFormat/>
    <w:uiPriority w:val="0"/>
    <w:pPr>
      <w:widowControl/>
      <w:tabs>
        <w:tab w:val="left" w:pos="840"/>
      </w:tabs>
      <w:adjustRightInd w:val="0"/>
      <w:snapToGrid w:val="0"/>
      <w:spacing w:beforeLines="40" w:afterLines="20" w:line="360" w:lineRule="auto"/>
      <w:ind w:left="840" w:hanging="420"/>
      <w:outlineLvl w:val="1"/>
    </w:pPr>
    <w:rPr>
      <w:rFonts w:ascii="宋体" w:hAnsi="Arial" w:cs="宋体"/>
      <w:b/>
      <w:bCs/>
      <w:kern w:val="0"/>
      <w:sz w:val="24"/>
      <w:szCs w:val="20"/>
    </w:rPr>
  </w:style>
  <w:style w:type="paragraph" w:customStyle="1" w:styleId="107">
    <w:name w:val="temp"/>
    <w:basedOn w:val="1"/>
    <w:autoRedefine/>
    <w:qFormat/>
    <w:uiPriority w:val="0"/>
    <w:pPr>
      <w:spacing w:line="0" w:lineRule="atLeast"/>
      <w:jc w:val="center"/>
    </w:pPr>
    <w:rPr>
      <w:rFonts w:ascii="Arial" w:hAnsi="Arial" w:eastAsia="楷体_GB2312" w:cs="Times New Roman"/>
      <w:sz w:val="14"/>
      <w:szCs w:val="20"/>
    </w:rPr>
  </w:style>
  <w:style w:type="paragraph" w:customStyle="1" w:styleId="108">
    <w:name w:val="tahoma"/>
    <w:basedOn w:val="1"/>
    <w:autoRedefine/>
    <w:qFormat/>
    <w:uiPriority w:val="0"/>
    <w:pPr>
      <w:widowControl/>
      <w:spacing w:before="100" w:beforeAutospacing="1" w:after="100" w:afterAutospacing="1"/>
      <w:jc w:val="left"/>
    </w:pPr>
    <w:rPr>
      <w:rFonts w:ascii="Tahoma" w:hAnsi="Tahoma" w:eastAsia="Arial Unicode MS" w:cs="Tahoma"/>
      <w:kern w:val="0"/>
      <w:sz w:val="18"/>
      <w:szCs w:val="18"/>
    </w:rPr>
  </w:style>
  <w:style w:type="paragraph" w:customStyle="1" w:styleId="109">
    <w:name w:val="正文1"/>
    <w:autoRedefine/>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10">
    <w:name w:val="header2"/>
    <w:basedOn w:val="1"/>
    <w:autoRedefine/>
    <w:qFormat/>
    <w:uiPriority w:val="0"/>
    <w:pPr>
      <w:widowControl/>
      <w:shd w:val="clear" w:color="auto" w:fill="B7DDF7"/>
      <w:spacing w:before="100" w:beforeAutospacing="1" w:after="100" w:afterAutospacing="1"/>
      <w:jc w:val="left"/>
    </w:pPr>
    <w:rPr>
      <w:rFonts w:ascii="Tahoma" w:hAnsi="Tahoma" w:eastAsia="Arial Unicode MS" w:cs="Tahoma"/>
      <w:b/>
      <w:bCs/>
      <w:color w:val="FFFFFF"/>
      <w:kern w:val="0"/>
      <w:sz w:val="18"/>
      <w:szCs w:val="18"/>
    </w:rPr>
  </w:style>
  <w:style w:type="paragraph" w:customStyle="1" w:styleId="111">
    <w:name w:val="style34"/>
    <w:basedOn w:val="1"/>
    <w:autoRedefine/>
    <w:qFormat/>
    <w:uiPriority w:val="0"/>
    <w:pPr>
      <w:widowControl/>
      <w:spacing w:before="100" w:beforeAutospacing="1" w:after="100" w:afterAutospacing="1"/>
      <w:jc w:val="left"/>
    </w:pPr>
    <w:rPr>
      <w:rFonts w:ascii="Arial Unicode MS" w:hAnsi="Arial Unicode MS" w:eastAsia="Arial Unicode MS" w:cs="Arial Unicode MS"/>
      <w:b/>
      <w:bCs/>
      <w:color w:val="666666"/>
      <w:kern w:val="0"/>
      <w:sz w:val="24"/>
      <w:szCs w:val="24"/>
    </w:rPr>
  </w:style>
  <w:style w:type="paragraph" w:customStyle="1" w:styleId="112">
    <w:name w:val="pic_tablestyle"/>
    <w:basedOn w:val="1"/>
    <w:autoRedefine/>
    <w:qFormat/>
    <w:uiPriority w:val="0"/>
    <w:pPr>
      <w:widowControl/>
      <w:pBdr>
        <w:top w:val="single" w:color="CCCCCC" w:sz="6" w:space="0"/>
        <w:left w:val="single" w:color="CCCCCC" w:sz="6" w:space="0"/>
        <w:bottom w:val="single" w:color="CCCCCC" w:sz="6" w:space="0"/>
        <w:right w:val="single" w:color="CCCCCC" w:sz="6"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13">
    <w:name w:val="category"/>
    <w:basedOn w:val="1"/>
    <w:autoRedefine/>
    <w:qFormat/>
    <w:uiPriority w:val="0"/>
    <w:pPr>
      <w:widowControl/>
      <w:shd w:val="clear" w:color="auto" w:fill="EFEFEF"/>
      <w:spacing w:before="100" w:beforeAutospacing="1" w:after="100" w:afterAutospacing="1"/>
      <w:jc w:val="left"/>
    </w:pPr>
    <w:rPr>
      <w:rFonts w:ascii="Tahoma" w:hAnsi="Tahoma" w:eastAsia="Arial Unicode MS" w:cs="Tahoma"/>
      <w:color w:val="000000"/>
      <w:kern w:val="0"/>
      <w:sz w:val="18"/>
      <w:szCs w:val="18"/>
    </w:rPr>
  </w:style>
  <w:style w:type="paragraph" w:customStyle="1" w:styleId="114">
    <w:name w:val="style36"/>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115">
    <w:name w:val="nowrap"/>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16">
    <w:name w:val="table(用)"/>
    <w:basedOn w:val="1"/>
    <w:autoRedefine/>
    <w:qFormat/>
    <w:uiPriority w:val="0"/>
    <w:pPr>
      <w:jc w:val="center"/>
    </w:pPr>
    <w:rPr>
      <w:rFonts w:ascii="宋体" w:hAnsi="宋体" w:cs="宋体"/>
      <w:sz w:val="18"/>
      <w:szCs w:val="24"/>
    </w:rPr>
  </w:style>
  <w:style w:type="paragraph" w:customStyle="1" w:styleId="117">
    <w:name w:val="标题 4_0"/>
    <w:basedOn w:val="57"/>
    <w:next w:val="56"/>
    <w:autoRedefine/>
    <w:qFormat/>
    <w:uiPriority w:val="0"/>
    <w:pPr>
      <w:widowControl w:val="0"/>
      <w:autoSpaceDE w:val="0"/>
      <w:autoSpaceDN w:val="0"/>
      <w:adjustRightInd w:val="0"/>
      <w:snapToGrid w:val="0"/>
      <w:spacing w:line="360" w:lineRule="auto"/>
      <w:jc w:val="both"/>
      <w:outlineLvl w:val="3"/>
    </w:pPr>
    <w:rPr>
      <w:rFonts w:ascii="宋体" w:hAnsi="Arial" w:cs="宋体"/>
      <w:color w:val="000000"/>
    </w:rPr>
  </w:style>
  <w:style w:type="paragraph" w:customStyle="1" w:styleId="118">
    <w:name w:val="无间隔1"/>
    <w:basedOn w:val="1"/>
    <w:autoRedefine/>
    <w:qFormat/>
    <w:uiPriority w:val="1"/>
    <w:rPr>
      <w:rFonts w:ascii="Times New Roman" w:hAnsi="Times New Roman"/>
      <w:szCs w:val="24"/>
    </w:rPr>
  </w:style>
  <w:style w:type="paragraph" w:customStyle="1" w:styleId="119">
    <w:name w:val="修订1"/>
    <w:autoRedefine/>
    <w:hidden/>
    <w:semiHidden/>
    <w:qFormat/>
    <w:uiPriority w:val="99"/>
    <w:rPr>
      <w:rFonts w:ascii="Calibri" w:hAnsi="Calibri" w:eastAsia="宋体" w:cs="黑体"/>
      <w:kern w:val="2"/>
      <w:sz w:val="21"/>
      <w:szCs w:val="22"/>
      <w:lang w:val="en-US" w:eastAsia="zh-CN" w:bidi="ar-SA"/>
    </w:rPr>
  </w:style>
  <w:style w:type="paragraph" w:customStyle="1" w:styleId="120">
    <w:name w:val="start-font-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21">
    <w:name w:val="start-font-3"/>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22">
    <w:name w:val="标题 1 字符"/>
    <w:basedOn w:val="37"/>
    <w:link w:val="2"/>
    <w:autoRedefine/>
    <w:qFormat/>
    <w:uiPriority w:val="9"/>
    <w:rPr>
      <w:rFonts w:ascii="Times New Roman" w:hAnsi="Times New Roman" w:eastAsia="宋体" w:cs="Times New Roman"/>
      <w:b/>
      <w:bCs/>
      <w:kern w:val="44"/>
      <w:sz w:val="44"/>
      <w:szCs w:val="44"/>
    </w:rPr>
  </w:style>
  <w:style w:type="character" w:customStyle="1" w:styleId="123">
    <w:name w:val="标题 3 字符"/>
    <w:basedOn w:val="37"/>
    <w:link w:val="4"/>
    <w:autoRedefine/>
    <w:qFormat/>
    <w:uiPriority w:val="0"/>
    <w:rPr>
      <w:rFonts w:ascii="楷体_GB2312" w:hAnsi="宋体" w:eastAsia="楷体_GB2312" w:cs="Times New Roman"/>
      <w:b/>
      <w:bCs/>
      <w:sz w:val="32"/>
      <w:szCs w:val="24"/>
    </w:rPr>
  </w:style>
  <w:style w:type="character" w:customStyle="1" w:styleId="124">
    <w:name w:val="标题 4 字符"/>
    <w:basedOn w:val="37"/>
    <w:link w:val="5"/>
    <w:autoRedefine/>
    <w:qFormat/>
    <w:uiPriority w:val="0"/>
    <w:rPr>
      <w:rFonts w:ascii="Arial" w:hAnsi="Arial" w:eastAsia="黑体" w:cs="Times New Roman"/>
      <w:b/>
      <w:bCs/>
      <w:sz w:val="28"/>
      <w:szCs w:val="28"/>
    </w:rPr>
  </w:style>
  <w:style w:type="character" w:customStyle="1" w:styleId="125">
    <w:name w:val="标题 5 字符"/>
    <w:basedOn w:val="37"/>
    <w:link w:val="6"/>
    <w:qFormat/>
    <w:uiPriority w:val="0"/>
    <w:rPr>
      <w:rFonts w:ascii="Courier New" w:hAnsi="Courier New" w:eastAsia="宋体" w:cs="Courier New"/>
      <w:b/>
      <w:bCs/>
      <w:spacing w:val="20"/>
      <w:szCs w:val="20"/>
    </w:rPr>
  </w:style>
  <w:style w:type="character" w:customStyle="1" w:styleId="126">
    <w:name w:val="标题 6 字符"/>
    <w:basedOn w:val="37"/>
    <w:link w:val="7"/>
    <w:autoRedefine/>
    <w:qFormat/>
    <w:uiPriority w:val="0"/>
    <w:rPr>
      <w:rFonts w:ascii="Courier New" w:hAnsi="Courier New" w:eastAsia="宋体" w:cs="Courier New"/>
      <w:b/>
      <w:bCs/>
      <w:spacing w:val="20"/>
      <w:sz w:val="24"/>
      <w:szCs w:val="20"/>
    </w:rPr>
  </w:style>
  <w:style w:type="character" w:customStyle="1" w:styleId="127">
    <w:name w:val="正文缩进 字符"/>
    <w:link w:val="9"/>
    <w:autoRedefine/>
    <w:qFormat/>
    <w:uiPriority w:val="0"/>
    <w:rPr>
      <w:rFonts w:ascii="Times New Roman" w:hAnsi="Times New Roman" w:eastAsia="宋体" w:cs="Times New Roman"/>
      <w:szCs w:val="20"/>
    </w:rPr>
  </w:style>
  <w:style w:type="character" w:customStyle="1" w:styleId="128">
    <w:name w:val="标题 7 字符"/>
    <w:basedOn w:val="37"/>
    <w:link w:val="8"/>
    <w:autoRedefine/>
    <w:qFormat/>
    <w:uiPriority w:val="0"/>
    <w:rPr>
      <w:rFonts w:ascii="Times New Roman" w:hAnsi="Times New Roman" w:eastAsia="宋体" w:cs="Times New Roman"/>
      <w:b/>
      <w:sz w:val="24"/>
      <w:szCs w:val="20"/>
    </w:rPr>
  </w:style>
  <w:style w:type="character" w:customStyle="1" w:styleId="129">
    <w:name w:val="标题 8 字符"/>
    <w:basedOn w:val="37"/>
    <w:link w:val="10"/>
    <w:autoRedefine/>
    <w:qFormat/>
    <w:uiPriority w:val="0"/>
    <w:rPr>
      <w:rFonts w:ascii="Arial" w:hAnsi="Arial" w:eastAsia="黑体" w:cs="Times New Roman"/>
      <w:sz w:val="24"/>
      <w:szCs w:val="20"/>
    </w:rPr>
  </w:style>
  <w:style w:type="character" w:customStyle="1" w:styleId="130">
    <w:name w:val="标题 9 字符"/>
    <w:basedOn w:val="37"/>
    <w:link w:val="11"/>
    <w:autoRedefine/>
    <w:qFormat/>
    <w:uiPriority w:val="0"/>
    <w:rPr>
      <w:rFonts w:ascii="Arial" w:hAnsi="Arial" w:eastAsia="黑体" w:cs="Times New Roman"/>
      <w:szCs w:val="20"/>
    </w:rPr>
  </w:style>
  <w:style w:type="character" w:customStyle="1" w:styleId="131">
    <w:name w:val="页眉 字符"/>
    <w:basedOn w:val="37"/>
    <w:link w:val="23"/>
    <w:autoRedefine/>
    <w:qFormat/>
    <w:uiPriority w:val="99"/>
    <w:rPr>
      <w:sz w:val="18"/>
      <w:szCs w:val="18"/>
    </w:rPr>
  </w:style>
  <w:style w:type="character" w:customStyle="1" w:styleId="132">
    <w:name w:val="页脚 字符"/>
    <w:basedOn w:val="37"/>
    <w:link w:val="22"/>
    <w:autoRedefine/>
    <w:qFormat/>
    <w:uiPriority w:val="99"/>
    <w:rPr>
      <w:sz w:val="18"/>
      <w:szCs w:val="18"/>
    </w:rPr>
  </w:style>
  <w:style w:type="character" w:customStyle="1" w:styleId="133">
    <w:name w:val="列出段落 Char"/>
    <w:link w:val="46"/>
    <w:autoRedefine/>
    <w:qFormat/>
    <w:uiPriority w:val="99"/>
  </w:style>
  <w:style w:type="character" w:customStyle="1" w:styleId="134">
    <w:name w:val="批注文字 字符"/>
    <w:basedOn w:val="37"/>
    <w:link w:val="13"/>
    <w:autoRedefine/>
    <w:qFormat/>
    <w:uiPriority w:val="0"/>
  </w:style>
  <w:style w:type="character" w:customStyle="1" w:styleId="135">
    <w:name w:val="批注框文本 字符"/>
    <w:basedOn w:val="37"/>
    <w:link w:val="21"/>
    <w:autoRedefine/>
    <w:semiHidden/>
    <w:qFormat/>
    <w:uiPriority w:val="99"/>
    <w:rPr>
      <w:sz w:val="18"/>
      <w:szCs w:val="18"/>
    </w:rPr>
  </w:style>
  <w:style w:type="character" w:customStyle="1" w:styleId="136">
    <w:name w:val="批注主题 字符"/>
    <w:basedOn w:val="134"/>
    <w:link w:val="32"/>
    <w:autoRedefine/>
    <w:semiHidden/>
    <w:qFormat/>
    <w:uiPriority w:val="99"/>
    <w:rPr>
      <w:b/>
      <w:bCs/>
    </w:rPr>
  </w:style>
  <w:style w:type="character" w:customStyle="1" w:styleId="137">
    <w:name w:val="标题 字符"/>
    <w:basedOn w:val="37"/>
    <w:link w:val="31"/>
    <w:autoRedefine/>
    <w:qFormat/>
    <w:uiPriority w:val="0"/>
    <w:rPr>
      <w:rFonts w:ascii="Cambria" w:hAnsi="Cambria" w:eastAsia="宋体" w:cs="黑体"/>
      <w:b/>
      <w:bCs/>
      <w:sz w:val="32"/>
      <w:szCs w:val="32"/>
    </w:rPr>
  </w:style>
  <w:style w:type="character" w:customStyle="1" w:styleId="138">
    <w:name w:val="纯文本 字符"/>
    <w:basedOn w:val="37"/>
    <w:link w:val="17"/>
    <w:autoRedefine/>
    <w:qFormat/>
    <w:uiPriority w:val="0"/>
    <w:rPr>
      <w:rFonts w:ascii="宋体" w:hAnsi="Courier New"/>
      <w:szCs w:val="21"/>
    </w:rPr>
  </w:style>
  <w:style w:type="character" w:customStyle="1" w:styleId="139">
    <w:name w:val="List Paragraph Char"/>
    <w:link w:val="49"/>
    <w:autoRedefine/>
    <w:qFormat/>
    <w:locked/>
    <w:uiPriority w:val="34"/>
    <w:rPr>
      <w:rFonts w:ascii="Times New Roman" w:hAnsi="Times New Roman" w:eastAsia="宋体" w:cs="Times New Roman"/>
      <w:szCs w:val="21"/>
    </w:rPr>
  </w:style>
  <w:style w:type="character" w:customStyle="1" w:styleId="140">
    <w:name w:val="正文文本 字符"/>
    <w:basedOn w:val="37"/>
    <w:link w:val="14"/>
    <w:autoRedefine/>
    <w:qFormat/>
    <w:uiPriority w:val="0"/>
    <w:rPr>
      <w:rFonts w:ascii="Times New Roman" w:hAnsi="Times New Roman" w:eastAsia="宋体" w:cs="Times New Roman"/>
      <w:kern w:val="0"/>
      <w:sz w:val="20"/>
      <w:szCs w:val="24"/>
    </w:rPr>
  </w:style>
  <w:style w:type="character" w:customStyle="1" w:styleId="141">
    <w:name w:val="列出段落 Char1"/>
    <w:link w:val="51"/>
    <w:autoRedefine/>
    <w:qFormat/>
    <w:uiPriority w:val="0"/>
    <w:rPr>
      <w:rFonts w:ascii="Calibri" w:hAnsi="Calibri" w:eastAsia="黑体" w:cs="Times New Roman"/>
      <w:bCs/>
      <w:sz w:val="30"/>
      <w:szCs w:val="30"/>
    </w:rPr>
  </w:style>
  <w:style w:type="character" w:customStyle="1" w:styleId="142">
    <w:name w:val="正文文本首行缩进 字符"/>
    <w:basedOn w:val="140"/>
    <w:link w:val="33"/>
    <w:autoRedefine/>
    <w:semiHidden/>
    <w:qFormat/>
    <w:uiPriority w:val="99"/>
    <w:rPr>
      <w:rFonts w:ascii="Times New Roman" w:hAnsi="Times New Roman" w:eastAsia="宋体" w:cs="Times New Roman"/>
      <w:kern w:val="0"/>
      <w:sz w:val="20"/>
      <w:szCs w:val="24"/>
    </w:rPr>
  </w:style>
  <w:style w:type="character" w:customStyle="1" w:styleId="143">
    <w:name w:val="纯文本 Char1"/>
    <w:basedOn w:val="37"/>
    <w:autoRedefine/>
    <w:qFormat/>
    <w:locked/>
    <w:uiPriority w:val="0"/>
    <w:rPr>
      <w:rFonts w:ascii="宋体" w:hAnsi="Courier New" w:eastAsia="宋体" w:cs="Times New Roman"/>
      <w:kern w:val="0"/>
      <w:sz w:val="21"/>
      <w:szCs w:val="21"/>
    </w:rPr>
  </w:style>
  <w:style w:type="character" w:customStyle="1" w:styleId="144">
    <w:name w:val="表格文字 Char"/>
    <w:link w:val="52"/>
    <w:autoRedefine/>
    <w:qFormat/>
    <w:locked/>
    <w:uiPriority w:val="99"/>
    <w:rPr>
      <w:rFonts w:ascii="Times New Roman" w:hAnsi="Times New Roman" w:eastAsia="宋体" w:cs="Times New Roman"/>
      <w:spacing w:val="10"/>
      <w:kern w:val="0"/>
      <w:sz w:val="20"/>
      <w:szCs w:val="20"/>
    </w:rPr>
  </w:style>
  <w:style w:type="character" w:customStyle="1" w:styleId="145">
    <w:name w:val="列表段落 字符"/>
    <w:link w:val="53"/>
    <w:autoRedefine/>
    <w:qFormat/>
    <w:uiPriority w:val="34"/>
  </w:style>
  <w:style w:type="character" w:customStyle="1" w:styleId="146">
    <w:name w:val="列表段落 字符1"/>
    <w:link w:val="55"/>
    <w:autoRedefine/>
    <w:qFormat/>
    <w:locked/>
    <w:uiPriority w:val="34"/>
  </w:style>
  <w:style w:type="character" w:customStyle="1" w:styleId="147">
    <w:name w:val="文档结构图 字符"/>
    <w:basedOn w:val="37"/>
    <w:link w:val="12"/>
    <w:autoRedefine/>
    <w:semiHidden/>
    <w:qFormat/>
    <w:uiPriority w:val="0"/>
    <w:rPr>
      <w:rFonts w:ascii="Times New Roman" w:hAnsi="Times New Roman" w:eastAsia="宋体" w:cs="Times New Roman"/>
      <w:szCs w:val="24"/>
      <w:shd w:val="clear" w:color="auto" w:fill="000080"/>
    </w:rPr>
  </w:style>
  <w:style w:type="character" w:customStyle="1" w:styleId="148">
    <w:name w:val="正文文本缩进 字符"/>
    <w:basedOn w:val="37"/>
    <w:link w:val="15"/>
    <w:autoRedefine/>
    <w:qFormat/>
    <w:uiPriority w:val="0"/>
    <w:rPr>
      <w:rFonts w:ascii="宋体" w:hAnsi="宋体" w:eastAsia="宋体" w:cs="Times New Roman"/>
      <w:sz w:val="28"/>
      <w:szCs w:val="20"/>
    </w:rPr>
  </w:style>
  <w:style w:type="character" w:customStyle="1" w:styleId="149">
    <w:name w:val="日期 字符"/>
    <w:basedOn w:val="37"/>
    <w:link w:val="19"/>
    <w:autoRedefine/>
    <w:qFormat/>
    <w:uiPriority w:val="0"/>
    <w:rPr>
      <w:rFonts w:ascii="Times New Roman" w:hAnsi="Times New Roman" w:eastAsia="宋体" w:cs="Times New Roman"/>
      <w:szCs w:val="24"/>
    </w:rPr>
  </w:style>
  <w:style w:type="character" w:customStyle="1" w:styleId="150">
    <w:name w:val="正文文本缩进 2 字符"/>
    <w:basedOn w:val="37"/>
    <w:link w:val="20"/>
    <w:autoRedefine/>
    <w:qFormat/>
    <w:uiPriority w:val="0"/>
    <w:rPr>
      <w:rFonts w:ascii="Times New Roman" w:hAnsi="Times New Roman" w:eastAsia="宋体" w:cs="Times New Roman"/>
      <w:szCs w:val="24"/>
    </w:rPr>
  </w:style>
  <w:style w:type="character" w:customStyle="1" w:styleId="151">
    <w:name w:val="正文文本缩进 3 字符"/>
    <w:basedOn w:val="37"/>
    <w:link w:val="25"/>
    <w:autoRedefine/>
    <w:qFormat/>
    <w:uiPriority w:val="0"/>
    <w:rPr>
      <w:rFonts w:ascii="宋体" w:hAnsi="宋体" w:eastAsia="宋体" w:cs="Times New Roman"/>
      <w:b/>
      <w:bCs/>
      <w:sz w:val="24"/>
      <w:szCs w:val="24"/>
    </w:rPr>
  </w:style>
  <w:style w:type="character" w:customStyle="1" w:styleId="152">
    <w:name w:val="HTML 预设格式 字符"/>
    <w:basedOn w:val="37"/>
    <w:link w:val="27"/>
    <w:autoRedefine/>
    <w:qFormat/>
    <w:uiPriority w:val="0"/>
    <w:rPr>
      <w:rFonts w:ascii="黑体" w:hAnsi="Courier New" w:eastAsia="黑体" w:cs="Courier New"/>
      <w:kern w:val="0"/>
      <w:sz w:val="20"/>
      <w:szCs w:val="20"/>
    </w:rPr>
  </w:style>
  <w:style w:type="character" w:customStyle="1" w:styleId="153">
    <w:name w:val="font-121"/>
    <w:autoRedefine/>
    <w:qFormat/>
    <w:uiPriority w:val="0"/>
    <w:rPr>
      <w:rFonts w:eastAsia="宋体"/>
      <w:color w:val="666666"/>
      <w:kern w:val="2"/>
      <w:sz w:val="18"/>
      <w:szCs w:val="18"/>
      <w:u w:val="none"/>
      <w:lang w:val="en-US" w:eastAsia="zh-CN" w:bidi="ar-SA"/>
    </w:rPr>
  </w:style>
  <w:style w:type="character" w:customStyle="1" w:styleId="154">
    <w:name w:val="article1"/>
    <w:autoRedefine/>
    <w:qFormat/>
    <w:uiPriority w:val="0"/>
    <w:rPr>
      <w:rFonts w:eastAsia="宋体"/>
      <w:kern w:val="2"/>
      <w:sz w:val="21"/>
      <w:szCs w:val="21"/>
      <w:lang w:val="en-US" w:eastAsia="zh-CN" w:bidi="ar-SA"/>
    </w:rPr>
  </w:style>
  <w:style w:type="character" w:customStyle="1" w:styleId="155">
    <w:name w:val="orange_on"/>
    <w:basedOn w:val="37"/>
    <w:autoRedefine/>
    <w:qFormat/>
    <w:uiPriority w:val="0"/>
    <w:rPr>
      <w:rFonts w:eastAsia="宋体"/>
      <w:kern w:val="2"/>
      <w:sz w:val="24"/>
      <w:szCs w:val="24"/>
      <w:lang w:val="en-US" w:eastAsia="zh-CN" w:bidi="ar-SA"/>
    </w:rPr>
  </w:style>
  <w:style w:type="character" w:customStyle="1" w:styleId="156">
    <w:name w:val="txtlist1"/>
    <w:autoRedefine/>
    <w:qFormat/>
    <w:uiPriority w:val="0"/>
    <w:rPr>
      <w:rFonts w:eastAsia="宋体"/>
      <w:color w:val="003333"/>
      <w:kern w:val="2"/>
      <w:sz w:val="18"/>
      <w:szCs w:val="18"/>
      <w:u w:val="none"/>
      <w:lang w:val="en-US" w:eastAsia="zh-CN" w:bidi="ar-SA"/>
    </w:rPr>
  </w:style>
  <w:style w:type="character" w:customStyle="1" w:styleId="157">
    <w:name w:val="txt1"/>
    <w:autoRedefine/>
    <w:qFormat/>
    <w:uiPriority w:val="0"/>
    <w:rPr>
      <w:rFonts w:hint="default" w:ascii="ˎ̥" w:hAnsi="ˎ̥" w:eastAsia="宋体"/>
      <w:kern w:val="2"/>
      <w:sz w:val="18"/>
      <w:szCs w:val="18"/>
      <w:lang w:val="en-US" w:eastAsia="zh-CN" w:bidi="ar-SA"/>
    </w:rPr>
  </w:style>
  <w:style w:type="character" w:customStyle="1" w:styleId="158">
    <w:name w:val="title21"/>
    <w:basedOn w:val="37"/>
    <w:autoRedefine/>
    <w:qFormat/>
    <w:uiPriority w:val="0"/>
    <w:rPr>
      <w:rFonts w:eastAsia="宋体"/>
      <w:kern w:val="2"/>
      <w:sz w:val="24"/>
      <w:szCs w:val="24"/>
      <w:lang w:val="en-US" w:eastAsia="zh-CN" w:bidi="ar-SA"/>
    </w:rPr>
  </w:style>
  <w:style w:type="character" w:customStyle="1" w:styleId="159">
    <w:name w:val="p141_0"/>
    <w:autoRedefine/>
    <w:qFormat/>
    <w:uiPriority w:val="0"/>
    <w:rPr>
      <w:rFonts w:ascii="Calibri" w:hAnsi="Calibri"/>
      <w:sz w:val="21"/>
      <w:szCs w:val="21"/>
    </w:rPr>
  </w:style>
  <w:style w:type="character" w:customStyle="1" w:styleId="160">
    <w:name w:val="javascript"/>
    <w:basedOn w:val="37"/>
    <w:autoRedefine/>
    <w:qFormat/>
    <w:uiPriority w:val="0"/>
    <w:rPr>
      <w:rFonts w:eastAsia="宋体"/>
      <w:kern w:val="2"/>
      <w:sz w:val="24"/>
      <w:szCs w:val="24"/>
      <w:lang w:val="en-US" w:eastAsia="zh-CN" w:bidi="ar-SA"/>
    </w:rPr>
  </w:style>
  <w:style w:type="character" w:customStyle="1" w:styleId="161">
    <w:name w:val="style3 style4"/>
    <w:basedOn w:val="37"/>
    <w:autoRedefine/>
    <w:qFormat/>
    <w:uiPriority w:val="0"/>
    <w:rPr>
      <w:rFonts w:eastAsia="宋体"/>
      <w:kern w:val="2"/>
      <w:sz w:val="24"/>
      <w:szCs w:val="24"/>
      <w:lang w:val="en-US" w:eastAsia="zh-CN" w:bidi="ar-SA"/>
    </w:rPr>
  </w:style>
  <w:style w:type="character" w:customStyle="1" w:styleId="162">
    <w:name w:val="txtblack1"/>
    <w:autoRedefine/>
    <w:qFormat/>
    <w:uiPriority w:val="0"/>
    <w:rPr>
      <w:rFonts w:eastAsia="宋体"/>
      <w:color w:val="000000"/>
      <w:kern w:val="2"/>
      <w:sz w:val="18"/>
      <w:szCs w:val="18"/>
      <w:lang w:val="en-US" w:eastAsia="zh-CN" w:bidi="ar-SA"/>
    </w:rPr>
  </w:style>
  <w:style w:type="character" w:customStyle="1" w:styleId="163">
    <w:name w:val="样式 楷体_GB2312 小四"/>
    <w:autoRedefine/>
    <w:qFormat/>
    <w:uiPriority w:val="0"/>
    <w:rPr>
      <w:rFonts w:ascii="楷体_GB2312" w:hAnsi="楷体_GB2312" w:eastAsia="仿宋_GB2312"/>
      <w:sz w:val="24"/>
    </w:rPr>
  </w:style>
  <w:style w:type="character" w:customStyle="1" w:styleId="164">
    <w:name w:val="sfont1"/>
    <w:autoRedefine/>
    <w:qFormat/>
    <w:uiPriority w:val="0"/>
    <w:rPr>
      <w:rFonts w:eastAsia="宋体"/>
      <w:kern w:val="2"/>
      <w:sz w:val="24"/>
      <w:szCs w:val="24"/>
      <w:lang w:val="en-US" w:eastAsia="zh-CN" w:bidi="ar-SA"/>
    </w:rPr>
  </w:style>
  <w:style w:type="character" w:customStyle="1" w:styleId="165">
    <w:name w:val="正文缩进 Char_0"/>
    <w:link w:val="56"/>
    <w:autoRedefine/>
    <w:qFormat/>
    <w:uiPriority w:val="0"/>
  </w:style>
  <w:style w:type="character" w:customStyle="1" w:styleId="166">
    <w:name w:val="font-12"/>
    <w:basedOn w:val="37"/>
    <w:autoRedefine/>
    <w:qFormat/>
    <w:uiPriority w:val="0"/>
    <w:rPr>
      <w:rFonts w:eastAsia="宋体"/>
      <w:kern w:val="2"/>
      <w:sz w:val="24"/>
      <w:szCs w:val="24"/>
      <w:lang w:val="en-US" w:eastAsia="zh-CN" w:bidi="ar-SA"/>
    </w:rPr>
  </w:style>
  <w:style w:type="character" w:customStyle="1" w:styleId="167">
    <w:name w:val="style181"/>
    <w:autoRedefine/>
    <w:qFormat/>
    <w:uiPriority w:val="0"/>
    <w:rPr>
      <w:rFonts w:eastAsia="宋体"/>
      <w:color w:val="FF6600"/>
      <w:kern w:val="2"/>
      <w:sz w:val="24"/>
      <w:szCs w:val="24"/>
      <w:lang w:val="en-US" w:eastAsia="zh-CN" w:bidi="ar-SA"/>
    </w:rPr>
  </w:style>
  <w:style w:type="character" w:customStyle="1" w:styleId="168">
    <w:name w:val="style41"/>
    <w:autoRedefine/>
    <w:qFormat/>
    <w:uiPriority w:val="0"/>
    <w:rPr>
      <w:rFonts w:eastAsia="宋体"/>
      <w:color w:val="000000"/>
      <w:kern w:val="2"/>
      <w:sz w:val="24"/>
      <w:szCs w:val="24"/>
      <w:lang w:val="en-US" w:eastAsia="zh-CN" w:bidi="ar-SA"/>
    </w:rPr>
  </w:style>
  <w:style w:type="paragraph" w:styleId="169">
    <w:name w:val="List Paragraph"/>
    <w:basedOn w:val="1"/>
    <w:autoRedefine/>
    <w:unhideWhenUsed/>
    <w:qFormat/>
    <w:uiPriority w:val="34"/>
    <w:pPr>
      <w:numPr>
        <w:ilvl w:val="0"/>
        <w:numId w:val="2"/>
      </w:numPr>
      <w:snapToGrid w:val="0"/>
      <w:spacing w:line="360" w:lineRule="auto"/>
      <w:jc w:val="center"/>
    </w:pPr>
    <w:rPr>
      <w:b/>
      <w:bCs/>
    </w:rPr>
  </w:style>
  <w:style w:type="paragraph" w:customStyle="1" w:styleId="170">
    <w:name w:val="修订2"/>
    <w:autoRedefine/>
    <w:hidden/>
    <w:unhideWhenUsed/>
    <w:qFormat/>
    <w:uiPriority w:val="99"/>
    <w:rPr>
      <w:rFonts w:ascii="Calibri" w:hAnsi="Calibri" w:eastAsia="宋体" w:cs="黑体"/>
      <w:kern w:val="2"/>
      <w:sz w:val="21"/>
      <w:szCs w:val="22"/>
      <w:lang w:val="en-US" w:eastAsia="zh-CN" w:bidi="ar-SA"/>
    </w:rPr>
  </w:style>
  <w:style w:type="character" w:customStyle="1" w:styleId="171">
    <w:name w:val="标题 2 Char"/>
    <w:autoRedefine/>
    <w:qFormat/>
    <w:uiPriority w:val="0"/>
    <w:rPr>
      <w:rFonts w:ascii="Arial" w:hAnsi="Arial" w:eastAsia="黑体" w:cs="Times New Roman"/>
      <w:b/>
      <w:bCs/>
      <w:sz w:val="32"/>
      <w:szCs w:val="32"/>
    </w:rPr>
  </w:style>
  <w:style w:type="paragraph" w:customStyle="1" w:styleId="172">
    <w:name w:val="_Style 169"/>
    <w:basedOn w:val="1"/>
    <w:next w:val="169"/>
    <w:autoRedefine/>
    <w:qFormat/>
    <w:uiPriority w:val="99"/>
    <w:pPr>
      <w:ind w:firstLine="420" w:firstLineChars="200"/>
    </w:pPr>
    <w:rPr>
      <w:rFonts w:cs="Times New Roman"/>
    </w:rPr>
  </w:style>
  <w:style w:type="character" w:customStyle="1" w:styleId="173">
    <w:name w:val="font41"/>
    <w:autoRedefine/>
    <w:qFormat/>
    <w:uiPriority w:val="0"/>
    <w:rPr>
      <w:rFonts w:hint="eastAsia" w:ascii="宋体" w:hAnsi="宋体" w:eastAsia="宋体" w:cs="宋体"/>
      <w:color w:val="000000"/>
      <w:sz w:val="18"/>
      <w:szCs w:val="18"/>
      <w:u w:val="none"/>
    </w:rPr>
  </w:style>
  <w:style w:type="paragraph" w:customStyle="1" w:styleId="174">
    <w:name w:val="修订3"/>
    <w:autoRedefine/>
    <w:hidden/>
    <w:unhideWhenUsed/>
    <w:qFormat/>
    <w:uiPriority w:val="99"/>
    <w:rPr>
      <w:rFonts w:ascii="Calibri" w:hAnsi="Calibri" w:eastAsia="宋体" w:cs="黑体"/>
      <w:kern w:val="2"/>
      <w:sz w:val="21"/>
      <w:szCs w:val="22"/>
      <w:lang w:val="en-US" w:eastAsia="zh-CN" w:bidi="ar-SA"/>
    </w:rPr>
  </w:style>
  <w:style w:type="paragraph" w:customStyle="1" w:styleId="175">
    <w:name w:val="修订4"/>
    <w:autoRedefine/>
    <w:hidden/>
    <w:unhideWhenUsed/>
    <w:qFormat/>
    <w:uiPriority w:val="99"/>
    <w:rPr>
      <w:rFonts w:ascii="Calibri" w:hAnsi="Calibri" w:eastAsia="宋体" w:cs="黑体"/>
      <w:kern w:val="2"/>
      <w:sz w:val="21"/>
      <w:szCs w:val="22"/>
      <w:lang w:val="en-US" w:eastAsia="zh-CN" w:bidi="ar-SA"/>
    </w:rPr>
  </w:style>
  <w:style w:type="paragraph" w:customStyle="1" w:styleId="176">
    <w:name w:val="修订5"/>
    <w:autoRedefine/>
    <w:hidden/>
    <w:unhideWhenUsed/>
    <w:qFormat/>
    <w:uiPriority w:val="99"/>
    <w:rPr>
      <w:rFonts w:ascii="Calibri" w:hAnsi="Calibri" w:eastAsia="宋体" w:cs="黑体"/>
      <w:kern w:val="2"/>
      <w:sz w:val="21"/>
      <w:szCs w:val="22"/>
      <w:lang w:val="en-US" w:eastAsia="zh-CN" w:bidi="ar-SA"/>
    </w:rPr>
  </w:style>
  <w:style w:type="paragraph" w:customStyle="1" w:styleId="177">
    <w:name w:val="修订6"/>
    <w:autoRedefine/>
    <w:hidden/>
    <w:unhideWhenUsed/>
    <w:qFormat/>
    <w:uiPriority w:val="99"/>
    <w:rPr>
      <w:rFonts w:ascii="Calibri" w:hAnsi="Calibri" w:eastAsia="宋体" w:cs="黑体"/>
      <w:kern w:val="2"/>
      <w:sz w:val="21"/>
      <w:szCs w:val="22"/>
      <w:lang w:val="en-US" w:eastAsia="zh-CN" w:bidi="ar-SA"/>
    </w:rPr>
  </w:style>
  <w:style w:type="paragraph" w:customStyle="1" w:styleId="178">
    <w:name w:val="修订7"/>
    <w:autoRedefine/>
    <w:hidden/>
    <w:unhideWhenUsed/>
    <w:qFormat/>
    <w:uiPriority w:val="99"/>
    <w:rPr>
      <w:rFonts w:ascii="Calibri" w:hAnsi="Calibri" w:eastAsia="宋体" w:cs="黑体"/>
      <w:kern w:val="2"/>
      <w:sz w:val="21"/>
      <w:szCs w:val="22"/>
      <w:lang w:val="en-US" w:eastAsia="zh-CN" w:bidi="ar-SA"/>
    </w:rPr>
  </w:style>
  <w:style w:type="paragraph" w:customStyle="1" w:styleId="179">
    <w:name w:val="Revision"/>
    <w:autoRedefine/>
    <w:hidden/>
    <w:unhideWhenUsed/>
    <w:qFormat/>
    <w:uiPriority w:val="99"/>
    <w:rPr>
      <w:rFonts w:ascii="Calibri" w:hAnsi="Calibri" w:eastAsia="宋体" w:cs="黑体"/>
      <w:kern w:val="2"/>
      <w:sz w:val="21"/>
      <w:szCs w:val="22"/>
      <w:lang w:val="en-US" w:eastAsia="zh-CN" w:bidi="ar-SA"/>
    </w:rPr>
  </w:style>
  <w:style w:type="paragraph" w:customStyle="1" w:styleId="180">
    <w:name w:val="_正文段落"/>
    <w:basedOn w:val="181"/>
    <w:autoRedefine/>
    <w:qFormat/>
    <w:uiPriority w:val="0"/>
    <w:pPr>
      <w:spacing w:line="400" w:lineRule="exact"/>
      <w:ind w:firstLine="200" w:firstLineChars="200"/>
    </w:pPr>
    <w:rPr>
      <w:rFonts w:ascii="仿宋_GB2312" w:eastAsia="仿宋_GB2312"/>
    </w:rPr>
  </w:style>
  <w:style w:type="paragraph" w:customStyle="1" w:styleId="181">
    <w:name w:val="_正文"/>
    <w:basedOn w:val="1"/>
    <w:autoRedefine/>
    <w:qFormat/>
    <w:uiPriority w:val="0"/>
    <w:rPr>
      <w:rFonts w:eastAsia="宋体" w:cs="Times New Roman"/>
      <w:szCs w:val="22"/>
    </w:rPr>
  </w:style>
  <w:style w:type="paragraph" w:customStyle="1" w:styleId="182">
    <w:name w:val="标题A-2"/>
    <w:basedOn w:val="183"/>
    <w:autoRedefine/>
    <w:qFormat/>
    <w:uiPriority w:val="2"/>
    <w:pPr>
      <w:numPr>
        <w:ilvl w:val="1"/>
      </w:numPr>
      <w:outlineLvl w:val="1"/>
    </w:pPr>
    <w:rPr>
      <w:sz w:val="24"/>
    </w:rPr>
  </w:style>
  <w:style w:type="paragraph" w:customStyle="1" w:styleId="183">
    <w:name w:val="标题A-1"/>
    <w:basedOn w:val="2"/>
    <w:autoRedefine/>
    <w:qFormat/>
    <w:uiPriority w:val="2"/>
    <w:pPr>
      <w:numPr>
        <w:ilvl w:val="0"/>
        <w:numId w:val="3"/>
      </w:numPr>
      <w:spacing w:before="25" w:beforeLines="25" w:after="25" w:afterLines="25"/>
    </w:pPr>
    <w:rPr>
      <w:rFonts w:ascii="Times New Roman"/>
      <w:bCs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3516</Words>
  <Characters>3720</Characters>
  <Lines>580</Lines>
  <Paragraphs>604</Paragraphs>
  <TotalTime>90</TotalTime>
  <ScaleCrop>false</ScaleCrop>
  <LinksUpToDate>false</LinksUpToDate>
  <CharactersWithSpaces>3728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2024-12-05T00:17:00Z</dcterms:created>
  <dc:creator>Administrator</dc:creator>
  <cp:lastModifiedBy>云采链</cp:lastModifiedBy>
  <cp:lastPrinted>2018-10-16T20:01:00Z</cp:lastPrinted>
  <dcterms:modified xsi:type="dcterms:W3CDTF">2025-10-15T10:03:31Z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491C2E3917D04ABCB8823F55DEDCC23D_13</vt:lpwstr>
  </property>
  <property fmtid="{D5CDD505-2E9C-101B-9397-08002B2CF9AE}" pid="4" name="KSOTemplateDocerSaveRecord">
    <vt:lpwstr>eyJoZGlkIjoiODliYjkzNWRjZTlhNzk4YWU3Yzk0ZDNjMGNhM2MyMjIiLCJ1c2VySWQiOiI0MDkwNDAzNDUifQ==</vt:lpwstr>
  </property>
</Properties>
</file>