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jc w:val="center"/>
        <w:rPr>
          <w:rFonts w:ascii="宋体" w:hAnsi="宋体" w:eastAsia="宋体" w:cs="宋体"/>
          <w:b/>
          <w:color w:val="000000" w:themeColor="text1"/>
          <w:sz w:val="84"/>
          <w:szCs w:val="84"/>
          <w14:textFill>
            <w14:solidFill>
              <w14:schemeClr w14:val="tx1"/>
            </w14:solidFill>
          </w14:textFill>
        </w:rPr>
      </w:pPr>
    </w:p>
    <w:p>
      <w:pPr>
        <w:snapToGrid w:val="0"/>
        <w:spacing w:before="156" w:beforeLines="50"/>
        <w:jc w:val="center"/>
        <w:rPr>
          <w:rFonts w:ascii="宋体" w:hAnsi="宋体" w:eastAsia="宋体" w:cs="宋体"/>
          <w:b/>
          <w:color w:val="000000" w:themeColor="text1"/>
          <w:sz w:val="84"/>
          <w:szCs w:val="84"/>
          <w14:textFill>
            <w14:solidFill>
              <w14:schemeClr w14:val="tx1"/>
            </w14:solidFill>
          </w14:textFill>
        </w:rPr>
      </w:pPr>
    </w:p>
    <w:p>
      <w:pPr>
        <w:snapToGrid w:val="0"/>
        <w:spacing w:before="156" w:beforeLines="50"/>
        <w:jc w:val="center"/>
        <w:rPr>
          <w:rFonts w:ascii="宋体" w:hAnsi="宋体" w:eastAsia="宋体" w:cs="宋体"/>
          <w:b/>
          <w:bCs/>
          <w:color w:val="000000" w:themeColor="text1"/>
          <w:sz w:val="84"/>
          <w:szCs w:val="84"/>
          <w14:textFill>
            <w14:solidFill>
              <w14:schemeClr w14:val="tx1"/>
            </w14:solidFill>
          </w14:textFill>
        </w:rPr>
      </w:pPr>
      <w:r>
        <w:rPr>
          <w:rFonts w:hint="eastAsia" w:ascii="宋体" w:hAnsi="宋体" w:eastAsia="宋体" w:cs="宋体"/>
          <w:b/>
          <w:color w:val="000000" w:themeColor="text1"/>
          <w:sz w:val="84"/>
          <w:szCs w:val="84"/>
          <w14:textFill>
            <w14:solidFill>
              <w14:schemeClr w14:val="tx1"/>
            </w14:solidFill>
          </w14:textFill>
        </w:rPr>
        <w:t>竞价文件</w:t>
      </w:r>
    </w:p>
    <w:p>
      <w:pPr>
        <w:spacing w:line="360" w:lineRule="auto"/>
        <w:jc w:val="center"/>
        <w:rPr>
          <w:rFonts w:ascii="宋体" w:hAnsi="宋体" w:eastAsia="宋体" w:cs="宋体"/>
          <w:b/>
          <w:bCs/>
          <w:color w:val="000000" w:themeColor="text1"/>
          <w:sz w:val="24"/>
          <w:szCs w:val="24"/>
          <w14:textFill>
            <w14:solidFill>
              <w14:schemeClr w14:val="tx1"/>
            </w14:solidFill>
          </w14:textFill>
        </w:rPr>
      </w:pPr>
    </w:p>
    <w:p>
      <w:pPr>
        <w:spacing w:line="360" w:lineRule="auto"/>
        <w:rPr>
          <w:rFonts w:ascii="宋体" w:hAnsi="宋体" w:eastAsia="宋体" w:cs="宋体"/>
          <w:color w:val="000000" w:themeColor="text1"/>
          <w:sz w:val="30"/>
          <w:szCs w:val="30"/>
          <w14:textFill>
            <w14:solidFill>
              <w14:schemeClr w14:val="tx1"/>
            </w14:solidFill>
          </w14:textFill>
        </w:rPr>
      </w:pPr>
    </w:p>
    <w:p>
      <w:pPr>
        <w:spacing w:line="360" w:lineRule="auto"/>
        <w:rPr>
          <w:rFonts w:ascii="宋体" w:hAnsi="宋体" w:eastAsia="宋体" w:cs="宋体"/>
          <w:color w:val="000000" w:themeColor="text1"/>
          <w:sz w:val="30"/>
          <w:szCs w:val="30"/>
          <w14:textFill>
            <w14:solidFill>
              <w14:schemeClr w14:val="tx1"/>
            </w14:solidFill>
          </w14:textFill>
        </w:rPr>
      </w:pPr>
    </w:p>
    <w:p>
      <w:pPr>
        <w:spacing w:line="360" w:lineRule="auto"/>
        <w:rPr>
          <w:rFonts w:ascii="宋体" w:hAnsi="宋体" w:eastAsia="宋体" w:cs="宋体"/>
          <w:color w:val="000000" w:themeColor="text1"/>
          <w:sz w:val="30"/>
          <w:szCs w:val="30"/>
          <w14:textFill>
            <w14:solidFill>
              <w14:schemeClr w14:val="tx1"/>
            </w14:solidFill>
          </w14:textFill>
        </w:rPr>
      </w:pPr>
    </w:p>
    <w:p>
      <w:pPr>
        <w:spacing w:line="360" w:lineRule="auto"/>
        <w:rPr>
          <w:rFonts w:ascii="宋体" w:hAnsi="宋体" w:eastAsia="宋体" w:cs="宋体"/>
          <w:color w:val="000000" w:themeColor="text1"/>
          <w:sz w:val="30"/>
          <w:szCs w:val="30"/>
          <w14:textFill>
            <w14:solidFill>
              <w14:schemeClr w14:val="tx1"/>
            </w14:solidFill>
          </w14:textFill>
        </w:rPr>
      </w:pPr>
    </w:p>
    <w:p>
      <w:pPr>
        <w:spacing w:line="360" w:lineRule="auto"/>
        <w:jc w:val="left"/>
        <w:rPr>
          <w:rFonts w:ascii="宋体" w:hAnsi="宋体" w:eastAsia="宋体" w:cs="宋体"/>
          <w:b/>
          <w:bCs/>
          <w:color w:val="000000" w:themeColor="text1"/>
          <w:sz w:val="28"/>
          <w:szCs w:val="32"/>
          <w14:textFill>
            <w14:solidFill>
              <w14:schemeClr w14:val="tx1"/>
            </w14:solidFill>
          </w14:textFill>
        </w:rPr>
      </w:pPr>
      <w:r>
        <w:rPr>
          <w:rFonts w:hint="eastAsia" w:ascii="宋体" w:hAnsi="宋体" w:eastAsia="宋体" w:cs="宋体"/>
          <w:b/>
          <w:bCs/>
          <w:color w:val="000000" w:themeColor="text1"/>
          <w:sz w:val="28"/>
          <w:szCs w:val="32"/>
          <w14:textFill>
            <w14:solidFill>
              <w14:schemeClr w14:val="tx1"/>
            </w14:solidFill>
          </w14:textFill>
        </w:rPr>
        <w:t>采购方式：线上竞价</w:t>
      </w:r>
    </w:p>
    <w:p>
      <w:pPr>
        <w:spacing w:line="360" w:lineRule="auto"/>
        <w:jc w:val="left"/>
        <w:rPr>
          <w:rFonts w:ascii="宋体" w:hAnsi="宋体" w:eastAsia="宋体" w:cs="宋体"/>
          <w:b/>
          <w:bCs/>
          <w:color w:val="000000" w:themeColor="text1"/>
          <w:sz w:val="28"/>
          <w:szCs w:val="32"/>
          <w14:textFill>
            <w14:solidFill>
              <w14:schemeClr w14:val="tx1"/>
            </w14:solidFill>
          </w14:textFill>
        </w:rPr>
      </w:pPr>
      <w:r>
        <w:rPr>
          <w:rFonts w:hint="eastAsia" w:ascii="宋体" w:hAnsi="宋体" w:eastAsia="宋体" w:cs="宋体"/>
          <w:b/>
          <w:bCs/>
          <w:color w:val="000000" w:themeColor="text1"/>
          <w:sz w:val="28"/>
          <w:szCs w:val="32"/>
          <w14:textFill>
            <w14:solidFill>
              <w14:schemeClr w14:val="tx1"/>
            </w14:solidFill>
          </w14:textFill>
        </w:rPr>
        <w:t>项目名称：</w:t>
      </w:r>
      <w:r>
        <w:rPr>
          <w:rFonts w:hint="eastAsia" w:ascii="宋体" w:hAnsi="宋体" w:eastAsia="宋体" w:cs="宋体"/>
          <w:b/>
          <w:bCs/>
          <w:color w:val="000000" w:themeColor="text1"/>
          <w:sz w:val="28"/>
          <w:szCs w:val="32"/>
          <w:u w:val="single"/>
          <w14:textFill>
            <w14:solidFill>
              <w14:schemeClr w14:val="tx1"/>
            </w14:solidFill>
          </w14:textFill>
        </w:rPr>
        <w:t>沙溪镇中心幼儿园房屋安全鉴定服务采购</w:t>
      </w:r>
    </w:p>
    <w:p>
      <w:pPr>
        <w:snapToGrid w:val="0"/>
        <w:spacing w:before="156" w:beforeLines="50" w:after="156" w:afterLines="50" w:line="360" w:lineRule="auto"/>
        <w:jc w:val="center"/>
        <w:rPr>
          <w:rFonts w:ascii="宋体" w:hAnsi="宋体" w:eastAsia="宋体" w:cs="宋体"/>
          <w:color w:val="000000" w:themeColor="text1"/>
          <w:sz w:val="30"/>
          <w:szCs w:val="30"/>
          <w14:textFill>
            <w14:solidFill>
              <w14:schemeClr w14:val="tx1"/>
            </w14:solidFill>
          </w14:textFill>
        </w:rPr>
      </w:pPr>
    </w:p>
    <w:p>
      <w:pPr>
        <w:autoSpaceDE w:val="0"/>
        <w:autoSpaceDN w:val="0"/>
        <w:adjustRightInd w:val="0"/>
        <w:snapToGrid w:val="0"/>
        <w:spacing w:before="156" w:beforeLines="50" w:after="156" w:afterLines="50" w:line="360" w:lineRule="auto"/>
        <w:jc w:val="center"/>
        <w:rPr>
          <w:rFonts w:ascii="宋体" w:hAnsi="宋体" w:eastAsia="宋体" w:cs="宋体"/>
          <w:color w:val="000000" w:themeColor="text1"/>
          <w:kern w:val="0"/>
          <w:sz w:val="30"/>
          <w:szCs w:val="30"/>
          <w14:textFill>
            <w14:solidFill>
              <w14:schemeClr w14:val="tx1"/>
            </w14:solidFill>
          </w14:textFill>
        </w:rPr>
      </w:pPr>
    </w:p>
    <w:p>
      <w:pPr>
        <w:autoSpaceDE w:val="0"/>
        <w:autoSpaceDN w:val="0"/>
        <w:adjustRightInd w:val="0"/>
        <w:snapToGrid w:val="0"/>
        <w:spacing w:before="156" w:beforeLines="50" w:after="156" w:afterLines="50" w:line="360" w:lineRule="auto"/>
        <w:jc w:val="left"/>
        <w:rPr>
          <w:rFonts w:ascii="宋体" w:hAnsi="宋体" w:eastAsia="宋体" w:cs="宋体"/>
          <w:color w:val="000000" w:themeColor="text1"/>
          <w:kern w:val="0"/>
          <w:sz w:val="30"/>
          <w:szCs w:val="30"/>
          <w14:textFill>
            <w14:solidFill>
              <w14:schemeClr w14:val="tx1"/>
            </w14:solidFill>
          </w14:textFill>
        </w:rPr>
      </w:pPr>
    </w:p>
    <w:p>
      <w:pPr>
        <w:autoSpaceDE w:val="0"/>
        <w:autoSpaceDN w:val="0"/>
        <w:adjustRightInd w:val="0"/>
        <w:snapToGrid w:val="0"/>
        <w:spacing w:line="360" w:lineRule="auto"/>
        <w:ind w:left="420" w:firstLine="420"/>
        <w:jc w:val="center"/>
        <w:rPr>
          <w:rFonts w:ascii="宋体" w:hAnsi="宋体" w:eastAsia="宋体" w:cs="宋体"/>
          <w:b/>
          <w:bCs/>
          <w:color w:val="000000" w:themeColor="text1"/>
          <w:sz w:val="28"/>
          <w:szCs w:val="32"/>
          <w14:textFill>
            <w14:solidFill>
              <w14:schemeClr w14:val="tx1"/>
            </w14:solidFill>
          </w14:textFill>
        </w:rPr>
      </w:pPr>
      <w:r>
        <w:rPr>
          <w:rFonts w:hint="eastAsia" w:ascii="宋体" w:hAnsi="宋体" w:eastAsia="宋体" w:cs="宋体"/>
          <w:b/>
          <w:bCs/>
          <w:color w:val="000000" w:themeColor="text1"/>
          <w:sz w:val="28"/>
          <w:szCs w:val="32"/>
          <w14:textFill>
            <w14:solidFill>
              <w14:schemeClr w14:val="tx1"/>
            </w14:solidFill>
          </w14:textFill>
        </w:rPr>
        <w:t>中山市沙溪镇中心幼儿园</w:t>
      </w:r>
    </w:p>
    <w:p>
      <w:pPr>
        <w:autoSpaceDE w:val="0"/>
        <w:autoSpaceDN w:val="0"/>
        <w:adjustRightInd w:val="0"/>
        <w:snapToGrid w:val="0"/>
        <w:spacing w:line="360" w:lineRule="auto"/>
        <w:ind w:left="420" w:firstLine="420"/>
        <w:jc w:val="center"/>
        <w:rPr>
          <w:rFonts w:ascii="宋体" w:hAnsi="宋体" w:eastAsia="宋体" w:cs="宋体"/>
          <w:b/>
          <w:color w:val="000000" w:themeColor="text1"/>
          <w:sz w:val="28"/>
          <w14:textFill>
            <w14:solidFill>
              <w14:schemeClr w14:val="tx1"/>
            </w14:solidFill>
          </w14:textFill>
        </w:rPr>
      </w:pPr>
      <w:r>
        <w:rPr>
          <w:rFonts w:hint="eastAsia" w:ascii="宋体" w:hAnsi="宋体" w:eastAsia="宋体" w:cs="宋体"/>
          <w:b/>
          <w:color w:val="000000" w:themeColor="text1"/>
          <w:sz w:val="28"/>
          <w14:textFill>
            <w14:solidFill>
              <w14:schemeClr w14:val="tx1"/>
            </w14:solidFill>
          </w14:textFill>
        </w:rPr>
        <w:t>云采链（广州）信息科技有限公司</w:t>
      </w:r>
    </w:p>
    <w:p>
      <w:pPr>
        <w:autoSpaceDE w:val="0"/>
        <w:autoSpaceDN w:val="0"/>
        <w:adjustRightInd w:val="0"/>
        <w:snapToGrid w:val="0"/>
        <w:spacing w:line="360" w:lineRule="auto"/>
        <w:ind w:left="420" w:firstLine="420"/>
        <w:jc w:val="center"/>
        <w:rPr>
          <w:rFonts w:ascii="宋体" w:hAnsi="宋体" w:eastAsia="宋体" w:cs="宋体"/>
          <w:b/>
          <w:color w:val="000000" w:themeColor="text1"/>
          <w:sz w:val="28"/>
          <w14:textFill>
            <w14:solidFill>
              <w14:schemeClr w14:val="tx1"/>
            </w14:solidFill>
          </w14:textFill>
        </w:rPr>
      </w:pPr>
      <w:r>
        <w:rPr>
          <w:rFonts w:hint="eastAsia" w:ascii="宋体" w:hAnsi="宋体" w:eastAsia="宋体" w:cs="宋体"/>
          <w:b/>
          <w:color w:val="000000" w:themeColor="text1"/>
          <w:sz w:val="28"/>
          <w14:textFill>
            <w14:solidFill>
              <w14:schemeClr w14:val="tx1"/>
            </w14:solidFill>
          </w14:textFill>
        </w:rPr>
        <w:t>二〇二四年四月</w:t>
      </w:r>
    </w:p>
    <w:p>
      <w:pPr>
        <w:widowControl/>
        <w:jc w:val="left"/>
        <w:rPr>
          <w:rFonts w:ascii="宋体" w:hAnsi="宋体" w:eastAsia="宋体" w:cs="宋体"/>
          <w:color w:val="000000" w:themeColor="text1"/>
          <w:sz w:val="28"/>
          <w14:textFill>
            <w14:solidFill>
              <w14:schemeClr w14:val="tx1"/>
            </w14:solidFill>
          </w14:textFill>
        </w:rPr>
      </w:pPr>
      <w:r>
        <w:rPr>
          <w:rFonts w:ascii="宋体" w:hAnsi="宋体" w:eastAsia="宋体" w:cs="宋体"/>
          <w:color w:val="000000" w:themeColor="text1"/>
          <w:sz w:val="28"/>
          <w14:textFill>
            <w14:solidFill>
              <w14:schemeClr w14:val="tx1"/>
            </w14:solidFill>
          </w14:textFill>
        </w:rPr>
        <w:br w:type="page"/>
      </w:r>
    </w:p>
    <w:p>
      <w:pPr>
        <w:pStyle w:val="19"/>
        <w:spacing w:before="0" w:after="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第一章 竞价须知</w:t>
      </w:r>
    </w:p>
    <w:p>
      <w:pPr>
        <w:pStyle w:val="30"/>
        <w:numPr>
          <w:ilvl w:val="0"/>
          <w:numId w:val="2"/>
        </w:numPr>
        <w:spacing w:line="360" w:lineRule="auto"/>
        <w:ind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本项目通过云采链线上采购一体化平台（www.choicelink.cn）进行竞价，参与竞价的供应商必须登录平台进行注册，注册成功后方可参与项目竞价。</w:t>
      </w:r>
    </w:p>
    <w:p>
      <w:pPr>
        <w:pStyle w:val="30"/>
        <w:numPr>
          <w:ilvl w:val="0"/>
          <w:numId w:val="2"/>
        </w:numPr>
        <w:spacing w:line="360" w:lineRule="auto"/>
        <w:ind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语言要求</w:t>
      </w:r>
    </w:p>
    <w:p>
      <w:pPr>
        <w:spacing w:line="360" w:lineRule="auto"/>
        <w:ind w:left="420" w:leftChars="20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pPr>
        <w:pStyle w:val="30"/>
        <w:numPr>
          <w:ilvl w:val="0"/>
          <w:numId w:val="2"/>
        </w:numPr>
        <w:spacing w:line="360" w:lineRule="auto"/>
        <w:ind w:firstLineChars="0"/>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在云采链平台参与项目竞价后放弃成交资格超过三次（含三次）的供应商连同该供应商同一法人名下所有公司将被列入平台黑名单，永久不得参与平台的项目竞价。</w:t>
      </w:r>
    </w:p>
    <w:p>
      <w:pPr>
        <w:pStyle w:val="30"/>
        <w:numPr>
          <w:ilvl w:val="0"/>
          <w:numId w:val="2"/>
        </w:numPr>
        <w:spacing w:line="360" w:lineRule="auto"/>
        <w:ind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竞价须知</w:t>
      </w:r>
    </w:p>
    <w:p>
      <w:pPr>
        <w:pStyle w:val="30"/>
        <w:numPr>
          <w:ilvl w:val="0"/>
          <w:numId w:val="3"/>
        </w:numPr>
        <w:spacing w:line="360" w:lineRule="auto"/>
        <w:ind w:left="420" w:hanging="420" w:firstLineChars="0"/>
        <w:rPr>
          <w:rFonts w:ascii="宋体" w:hAnsi="宋体" w:eastAsia="宋体" w:cs="宋体"/>
          <w:b/>
          <w:color w:val="000000" w:themeColor="text1"/>
          <w14:textFill>
            <w14:solidFill>
              <w14:schemeClr w14:val="tx1"/>
            </w14:solidFill>
          </w14:textFill>
        </w:rPr>
      </w:pPr>
      <w:r>
        <w:rPr>
          <w:rStyle w:val="26"/>
          <w:rFonts w:hint="eastAsia" w:ascii="宋体" w:hAnsi="宋体" w:eastAsia="宋体" w:cs="宋体"/>
          <w:bCs w:val="0"/>
          <w:color w:val="000000" w:themeColor="text1"/>
          <w14:textFill>
            <w14:solidFill>
              <w14:schemeClr w14:val="tx1"/>
            </w14:solidFill>
          </w14:textFill>
        </w:rPr>
        <w:t>竞价说明</w:t>
      </w:r>
    </w:p>
    <w:p>
      <w:pPr>
        <w:pStyle w:val="30"/>
        <w:numPr>
          <w:ilvl w:val="0"/>
          <w:numId w:val="4"/>
        </w:numPr>
        <w:tabs>
          <w:tab w:val="left" w:pos="851"/>
        </w:tabs>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参与竞价的供应商应承担所有与准备和参加竞价有关的费用，不</w:t>
      </w:r>
      <w:r>
        <w:rPr>
          <w:rFonts w:hint="eastAsia" w:ascii="宋体" w:hAnsi="宋体" w:eastAsia="宋体" w:cs="宋体"/>
          <w:color w:val="000000" w:themeColor="text1"/>
          <w:szCs w:val="21"/>
          <w:lang w:eastAsia="zh-TW"/>
          <w14:textFill>
            <w14:solidFill>
              <w14:schemeClr w14:val="tx1"/>
            </w14:solidFill>
          </w14:textFill>
        </w:rPr>
        <w:t>论</w:t>
      </w:r>
      <w:r>
        <w:rPr>
          <w:rFonts w:hint="eastAsia" w:ascii="宋体" w:hAnsi="宋体" w:eastAsia="宋体" w:cs="宋体"/>
          <w:color w:val="000000" w:themeColor="text1"/>
          <w:szCs w:val="21"/>
          <w14:textFill>
            <w14:solidFill>
              <w14:schemeClr w14:val="tx1"/>
            </w14:solidFill>
          </w14:textFill>
        </w:rPr>
        <w:t>竞价</w:t>
      </w:r>
      <w:r>
        <w:rPr>
          <w:rFonts w:hint="eastAsia" w:ascii="宋体" w:hAnsi="宋体" w:eastAsia="宋体" w:cs="宋体"/>
          <w:color w:val="000000" w:themeColor="text1"/>
          <w:szCs w:val="21"/>
          <w:lang w:eastAsia="zh-TW"/>
          <w14:textFill>
            <w14:solidFill>
              <w14:schemeClr w14:val="tx1"/>
            </w14:solidFill>
          </w14:textFill>
        </w:rPr>
        <w:t>的结果如何</w:t>
      </w:r>
      <w:r>
        <w:rPr>
          <w:rFonts w:hint="eastAsia" w:ascii="宋体" w:hAnsi="宋体" w:eastAsia="宋体" w:cs="宋体"/>
          <w:color w:val="000000" w:themeColor="text1"/>
          <w:szCs w:val="21"/>
          <w14:textFill>
            <w14:solidFill>
              <w14:schemeClr w14:val="tx1"/>
            </w14:solidFill>
          </w14:textFill>
        </w:rPr>
        <w:t>，采购</w:t>
      </w:r>
      <w:r>
        <w:rPr>
          <w:rFonts w:hint="eastAsia" w:ascii="宋体" w:hAnsi="宋体" w:eastAsia="宋体" w:cs="宋体"/>
          <w:color w:val="000000" w:themeColor="text1"/>
          <w:szCs w:val="21"/>
          <w:lang w:eastAsia="zh-TW"/>
          <w14:textFill>
            <w14:solidFill>
              <w14:schemeClr w14:val="tx1"/>
            </w14:solidFill>
          </w14:textFill>
        </w:rPr>
        <w:t>人</w:t>
      </w:r>
      <w:r>
        <w:rPr>
          <w:rFonts w:hint="eastAsia" w:ascii="宋体" w:hAnsi="宋体" w:eastAsia="宋体" w:cs="宋体"/>
          <w:color w:val="000000" w:themeColor="text1"/>
          <w:szCs w:val="21"/>
          <w14:textFill>
            <w14:solidFill>
              <w14:schemeClr w14:val="tx1"/>
            </w14:solidFill>
          </w14:textFill>
        </w:rPr>
        <w:t>和</w:t>
      </w:r>
      <w:r>
        <w:rPr>
          <w:rFonts w:hint="eastAsia" w:ascii="宋体" w:hAnsi="宋体" w:eastAsia="宋体" w:cs="宋体"/>
          <w:color w:val="000000" w:themeColor="text1"/>
          <w:szCs w:val="21"/>
          <w:lang w:eastAsia="zh-TW"/>
          <w14:textFill>
            <w14:solidFill>
              <w14:schemeClr w14:val="tx1"/>
            </w14:solidFill>
          </w14:textFill>
        </w:rPr>
        <w:t>代理机构均无义务和责任承担这些费用</w:t>
      </w:r>
      <w:r>
        <w:rPr>
          <w:rFonts w:hint="eastAsia" w:ascii="宋体" w:hAnsi="宋体" w:eastAsia="宋体" w:cs="宋体"/>
          <w:color w:val="000000" w:themeColor="text1"/>
          <w:szCs w:val="21"/>
          <w14:textFill>
            <w14:solidFill>
              <w14:schemeClr w14:val="tx1"/>
            </w14:solidFill>
          </w14:textFill>
        </w:rPr>
        <w:t>。</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bCs/>
          <w:color w:val="000000" w:themeColor="text1"/>
          <w:szCs w:val="21"/>
          <w14:textFill>
            <w14:solidFill>
              <w14:schemeClr w14:val="tx1"/>
            </w14:solidFill>
          </w14:textFill>
        </w:rPr>
        <w:t>供应商必须按竞价附件的格式填写，不得随意增加或删除表格内容。除单价、金额或项目要求填写的内容外，不得擅自改动竞价附件内容，否则将有可能影响成交结果，不推荐为成交候选人。</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color w:val="000000" w:themeColor="text1"/>
          <w:szCs w:val="21"/>
          <w:lang w:val="zh-CN"/>
          <w14:textFill>
            <w14:solidFill>
              <w14:schemeClr w14:val="tx1"/>
            </w14:solidFill>
          </w14:textFill>
        </w:rPr>
        <w:t>供应商需对用户需求书的所有条款进行整体响应，用户需求书条款若有一条负偏离或不响应，</w:t>
      </w:r>
      <w:r>
        <w:rPr>
          <w:rFonts w:hint="eastAsia" w:ascii="宋体" w:hAnsi="宋体" w:eastAsia="宋体" w:cs="宋体"/>
          <w:bCs/>
          <w:color w:val="000000" w:themeColor="text1"/>
          <w:szCs w:val="21"/>
          <w14:textFill>
            <w14:solidFill>
              <w14:schemeClr w14:val="tx1"/>
            </w14:solidFill>
          </w14:textFill>
        </w:rPr>
        <w:t>不推荐为成交候选人</w:t>
      </w:r>
      <w:r>
        <w:rPr>
          <w:rFonts w:hint="eastAsia" w:ascii="宋体" w:hAnsi="宋体" w:eastAsia="宋体" w:cs="宋体"/>
          <w:color w:val="000000" w:themeColor="text1"/>
          <w:szCs w:val="21"/>
          <w:lang w:val="zh-CN"/>
          <w14:textFill>
            <w14:solidFill>
              <w14:schemeClr w14:val="tx1"/>
            </w14:solidFill>
          </w14:textFill>
        </w:rPr>
        <w:t>。</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若成交供应商自身原因无法完成本项目，则采购人有权利保留追究责任。</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成交供应商因自身原因被取消成交资格，采购人可重新启动采购或按竞价公告规定顺延推选符合要求的供应商作为成交供应商。</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若本项目竞价采购失败，采购人将重新采购，届时采购人有权根据项目具体情况，决定重新采购项目的采购方式。</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成交供应商若无正当理由恶意放弃成交资格，采购人有权将拒绝其参加本项目重新组织的竞价采购活动。</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如采购人或代理机构在审核或复核</w:t>
      </w: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color w:val="000000" w:themeColor="text1"/>
          <w14:textFill>
            <w14:solidFill>
              <w14:schemeClr w14:val="tx1"/>
            </w14:solidFill>
          </w14:textFill>
        </w:rPr>
        <w:t>供应商所提交的竞价资料时，供应商须无条件配合；期间若发现存在弄虚作假或相关的失信记录或违反国家法律法规等相关的不良情形，采购人可取消其成交资格并保留追究责任的权力。</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color w:val="000000" w:themeColor="text1"/>
          <w:szCs w:val="21"/>
          <w:lang w:eastAsia="zh-TW"/>
          <w14:textFill>
            <w14:solidFill>
              <w14:schemeClr w14:val="tx1"/>
            </w14:solidFill>
          </w14:textFill>
        </w:rPr>
        <w:t>供应商向我司咨询的有关项目事项，一切以</w:t>
      </w:r>
      <w:r>
        <w:rPr>
          <w:rFonts w:hint="eastAsia" w:ascii="宋体" w:hAnsi="宋体" w:eastAsia="宋体" w:cs="宋体"/>
          <w:color w:val="000000" w:themeColor="text1"/>
          <w:szCs w:val="21"/>
          <w14:textFill>
            <w14:solidFill>
              <w14:schemeClr w14:val="tx1"/>
            </w14:solidFill>
          </w14:textFill>
        </w:rPr>
        <w:t>竞价文件</w:t>
      </w:r>
      <w:r>
        <w:rPr>
          <w:rFonts w:hint="eastAsia" w:ascii="宋体" w:hAnsi="宋体" w:eastAsia="宋体" w:cs="宋体"/>
          <w:color w:val="000000" w:themeColor="text1"/>
          <w:szCs w:val="21"/>
          <w:lang w:eastAsia="zh-TW"/>
          <w14:textFill>
            <w14:solidFill>
              <w14:schemeClr w14:val="tx1"/>
            </w14:solidFill>
          </w14:textFill>
        </w:rPr>
        <w:t>规定</w:t>
      </w:r>
      <w:r>
        <w:rPr>
          <w:rFonts w:hint="eastAsia" w:ascii="宋体" w:hAnsi="宋体" w:eastAsia="宋体" w:cs="宋体"/>
          <w:color w:val="000000" w:themeColor="text1"/>
          <w:szCs w:val="21"/>
          <w14:textFill>
            <w14:solidFill>
              <w14:schemeClr w14:val="tx1"/>
            </w14:solidFill>
          </w14:textFill>
        </w:rPr>
        <w:t>和竞价公告规定以及</w:t>
      </w:r>
      <w:r>
        <w:rPr>
          <w:rFonts w:hint="eastAsia" w:ascii="宋体" w:hAnsi="宋体" w:eastAsia="宋体" w:cs="宋体"/>
          <w:color w:val="000000" w:themeColor="text1"/>
          <w:szCs w:val="21"/>
          <w:lang w:eastAsia="zh-TW"/>
          <w14:textFill>
            <w14:solidFill>
              <w14:schemeClr w14:val="tx1"/>
            </w14:solidFill>
          </w14:textFill>
        </w:rPr>
        <w:t>本公司</w:t>
      </w:r>
      <w:r>
        <w:rPr>
          <w:rFonts w:hint="eastAsia" w:ascii="宋体" w:hAnsi="宋体" w:eastAsia="宋体" w:cs="宋体"/>
          <w:color w:val="000000" w:themeColor="text1"/>
          <w:szCs w:val="21"/>
          <w14:textFill>
            <w14:solidFill>
              <w14:schemeClr w14:val="tx1"/>
            </w14:solidFill>
          </w14:textFill>
        </w:rPr>
        <w:t>的</w:t>
      </w:r>
      <w:r>
        <w:rPr>
          <w:rFonts w:hint="eastAsia" w:ascii="宋体" w:hAnsi="宋体" w:eastAsia="宋体" w:cs="宋体"/>
          <w:color w:val="000000" w:themeColor="text1"/>
          <w:szCs w:val="21"/>
          <w:lang w:eastAsia="zh-TW"/>
          <w14:textFill>
            <w14:solidFill>
              <w14:schemeClr w14:val="tx1"/>
            </w14:solidFill>
          </w14:textFill>
        </w:rPr>
        <w:t>书面答复为准，其他一切形式均为个人意见，不代表本公司的意见</w:t>
      </w:r>
      <w:r>
        <w:rPr>
          <w:rFonts w:hint="eastAsia" w:ascii="宋体" w:hAnsi="宋体" w:eastAsia="宋体" w:cs="宋体"/>
          <w:color w:val="000000" w:themeColor="text1"/>
          <w:szCs w:val="21"/>
          <w14:textFill>
            <w14:solidFill>
              <w14:schemeClr w14:val="tx1"/>
            </w14:solidFill>
          </w14:textFill>
        </w:rPr>
        <w:t>。</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参与竞价的供应商应认真阅读</w:t>
      </w:r>
      <w:r>
        <w:rPr>
          <w:rFonts w:hint="eastAsia" w:ascii="宋体" w:hAnsi="宋体" w:eastAsia="宋体" w:cs="宋体"/>
          <w:color w:val="000000" w:themeColor="text1"/>
          <w:szCs w:val="21"/>
          <w:lang w:eastAsia="zh-TW"/>
          <w14:textFill>
            <w14:solidFill>
              <w14:schemeClr w14:val="tx1"/>
            </w14:solidFill>
          </w14:textFill>
        </w:rPr>
        <w:t>、并充分理解</w:t>
      </w:r>
      <w:r>
        <w:rPr>
          <w:rFonts w:hint="eastAsia" w:ascii="宋体" w:hAnsi="宋体" w:eastAsia="宋体" w:cs="宋体"/>
          <w:color w:val="000000" w:themeColor="text1"/>
          <w:szCs w:val="21"/>
          <w14:textFill>
            <w14:solidFill>
              <w14:schemeClr w14:val="tx1"/>
            </w14:solidFill>
          </w14:textFill>
        </w:rPr>
        <w:t>竞价</w:t>
      </w:r>
      <w:r>
        <w:rPr>
          <w:rFonts w:hint="eastAsia" w:ascii="宋体" w:hAnsi="宋体" w:eastAsia="宋体" w:cs="宋体"/>
          <w:color w:val="000000" w:themeColor="text1"/>
          <w:szCs w:val="21"/>
          <w:lang w:eastAsia="zh-TW"/>
          <w14:textFill>
            <w14:solidFill>
              <w14:schemeClr w14:val="tx1"/>
            </w14:solidFill>
          </w14:textFill>
        </w:rPr>
        <w:t>文件的全部内容（包括所有的补充、修改内容重要事项、格式、条款</w:t>
      </w:r>
      <w:r>
        <w:rPr>
          <w:rFonts w:hint="eastAsia" w:ascii="宋体" w:hAnsi="宋体" w:eastAsia="宋体" w:cs="宋体"/>
          <w:color w:val="000000" w:themeColor="text1"/>
          <w:szCs w:val="21"/>
          <w14:textFill>
            <w14:solidFill>
              <w14:schemeClr w14:val="tx1"/>
            </w14:solidFill>
          </w14:textFill>
        </w:rPr>
        <w:t>、服务要求</w:t>
      </w:r>
      <w:r>
        <w:rPr>
          <w:rFonts w:hint="eastAsia" w:ascii="宋体" w:hAnsi="宋体" w:eastAsia="宋体" w:cs="宋体"/>
          <w:color w:val="000000" w:themeColor="text1"/>
          <w:szCs w:val="21"/>
          <w:lang w:eastAsia="zh-TW"/>
          <w14:textFill>
            <w14:solidFill>
              <w14:schemeClr w14:val="tx1"/>
            </w14:solidFill>
          </w14:textFill>
        </w:rPr>
        <w:t>和技术规范、参数及要求等）。</w:t>
      </w:r>
      <w:r>
        <w:rPr>
          <w:rFonts w:hint="eastAsia" w:ascii="宋体" w:hAnsi="宋体" w:eastAsia="宋体" w:cs="宋体"/>
          <w:color w:val="000000" w:themeColor="text1"/>
          <w:szCs w:val="21"/>
          <w14:textFill>
            <w14:solidFill>
              <w14:schemeClr w14:val="tx1"/>
            </w14:solidFill>
          </w14:textFill>
        </w:rPr>
        <w:t>供应商</w:t>
      </w:r>
      <w:r>
        <w:rPr>
          <w:rFonts w:hint="eastAsia" w:ascii="宋体" w:hAnsi="宋体" w:eastAsia="宋体" w:cs="宋体"/>
          <w:color w:val="000000" w:themeColor="text1"/>
          <w:szCs w:val="21"/>
          <w:lang w:eastAsia="zh-TW"/>
          <w14:textFill>
            <w14:solidFill>
              <w14:schemeClr w14:val="tx1"/>
            </w14:solidFill>
          </w14:textFill>
        </w:rPr>
        <w:t>没有按照</w:t>
      </w:r>
      <w:r>
        <w:rPr>
          <w:rFonts w:hint="eastAsia" w:ascii="宋体" w:hAnsi="宋体" w:eastAsia="宋体" w:cs="宋体"/>
          <w:color w:val="000000" w:themeColor="text1"/>
          <w:szCs w:val="21"/>
          <w14:textFill>
            <w14:solidFill>
              <w14:schemeClr w14:val="tx1"/>
            </w14:solidFill>
          </w14:textFill>
        </w:rPr>
        <w:t>竞价</w:t>
      </w:r>
      <w:r>
        <w:rPr>
          <w:rFonts w:hint="eastAsia" w:ascii="宋体" w:hAnsi="宋体" w:eastAsia="宋体" w:cs="宋体"/>
          <w:color w:val="000000" w:themeColor="text1"/>
          <w:szCs w:val="21"/>
          <w:lang w:eastAsia="zh-TW"/>
          <w14:textFill>
            <w14:solidFill>
              <w14:schemeClr w14:val="tx1"/>
            </w14:solidFill>
          </w14:textFill>
        </w:rPr>
        <w:t>文件要求提交全部资料，或者</w:t>
      </w:r>
      <w:r>
        <w:rPr>
          <w:rFonts w:hint="eastAsia" w:ascii="宋体" w:hAnsi="宋体" w:eastAsia="宋体" w:cs="宋体"/>
          <w:color w:val="000000" w:themeColor="text1"/>
          <w:szCs w:val="21"/>
          <w14:textFill>
            <w14:solidFill>
              <w14:schemeClr w14:val="tx1"/>
            </w14:solidFill>
          </w14:textFill>
        </w:rPr>
        <w:t>参与竞价所上传的</w:t>
      </w:r>
      <w:r>
        <w:rPr>
          <w:rFonts w:hint="eastAsia" w:ascii="宋体" w:hAnsi="宋体" w:eastAsia="宋体" w:cs="宋体"/>
          <w:color w:val="000000" w:themeColor="text1"/>
          <w:szCs w:val="21"/>
          <w:lang w:eastAsia="zh-TW"/>
          <w14:textFill>
            <w14:solidFill>
              <w14:schemeClr w14:val="tx1"/>
            </w14:solidFill>
          </w14:textFill>
        </w:rPr>
        <w:t>文件没有对</w:t>
      </w:r>
      <w:r>
        <w:rPr>
          <w:rFonts w:hint="eastAsia" w:ascii="宋体" w:hAnsi="宋体" w:eastAsia="宋体" w:cs="宋体"/>
          <w:color w:val="000000" w:themeColor="text1"/>
          <w:szCs w:val="21"/>
          <w14:textFill>
            <w14:solidFill>
              <w14:schemeClr w14:val="tx1"/>
            </w14:solidFill>
          </w14:textFill>
        </w:rPr>
        <w:t>竞价</w:t>
      </w:r>
      <w:r>
        <w:rPr>
          <w:rFonts w:hint="eastAsia" w:ascii="宋体" w:hAnsi="宋体" w:eastAsia="宋体" w:cs="宋体"/>
          <w:color w:val="000000" w:themeColor="text1"/>
          <w:szCs w:val="21"/>
          <w:lang w:eastAsia="zh-TW"/>
          <w14:textFill>
            <w14:solidFill>
              <w14:schemeClr w14:val="tx1"/>
            </w14:solidFill>
          </w14:textFill>
        </w:rPr>
        <w:t>文件在各方面都作出实质性响应是</w:t>
      </w:r>
      <w:r>
        <w:rPr>
          <w:rFonts w:hint="eastAsia" w:ascii="宋体" w:hAnsi="宋体" w:eastAsia="宋体" w:cs="宋体"/>
          <w:color w:val="000000" w:themeColor="text1"/>
          <w:szCs w:val="21"/>
          <w14:textFill>
            <w14:solidFill>
              <w14:schemeClr w14:val="tx1"/>
            </w14:solidFill>
          </w14:textFill>
        </w:rPr>
        <w:t>供应商</w:t>
      </w:r>
      <w:r>
        <w:rPr>
          <w:rFonts w:hint="eastAsia" w:ascii="宋体" w:hAnsi="宋体" w:eastAsia="宋体" w:cs="宋体"/>
          <w:color w:val="000000" w:themeColor="text1"/>
          <w:szCs w:val="21"/>
          <w:lang w:eastAsia="zh-TW"/>
          <w14:textFill>
            <w14:solidFill>
              <w14:schemeClr w14:val="tx1"/>
            </w14:solidFill>
          </w14:textFill>
        </w:rPr>
        <w:t>的风险，有可能导致其</w:t>
      </w:r>
      <w:r>
        <w:rPr>
          <w:rFonts w:hint="eastAsia" w:ascii="宋体" w:hAnsi="宋体" w:eastAsia="宋体" w:cs="宋体"/>
          <w:color w:val="000000" w:themeColor="text1"/>
          <w:szCs w:val="21"/>
          <w14:textFill>
            <w14:solidFill>
              <w14:schemeClr w14:val="tx1"/>
            </w14:solidFill>
          </w14:textFill>
        </w:rPr>
        <w:t>竞价</w:t>
      </w:r>
      <w:r>
        <w:rPr>
          <w:rFonts w:hint="eastAsia" w:ascii="宋体" w:hAnsi="宋体" w:eastAsia="宋体" w:cs="宋体"/>
          <w:color w:val="000000" w:themeColor="text1"/>
          <w:szCs w:val="21"/>
          <w:lang w:eastAsia="zh-TW"/>
          <w14:textFill>
            <w14:solidFill>
              <w14:schemeClr w14:val="tx1"/>
            </w14:solidFill>
          </w14:textFill>
        </w:rPr>
        <w:t>被拒绝，</w:t>
      </w:r>
      <w:r>
        <w:rPr>
          <w:rFonts w:hint="eastAsia" w:ascii="宋体" w:hAnsi="宋体" w:eastAsia="宋体" w:cs="宋体"/>
          <w:color w:val="000000" w:themeColor="text1"/>
          <w:szCs w:val="21"/>
          <w14:textFill>
            <w14:solidFill>
              <w14:schemeClr w14:val="tx1"/>
            </w14:solidFill>
          </w14:textFill>
        </w:rPr>
        <w:t>或被认定为无效竞价。</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采购人有权拒绝接受任何不合格的货物或服务，由此产生的费用及相关后果均由成交供应商自行承担。</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供应商认为竞价结果损害其权益的，应按照云采链平台相关指引在规定的时间内向采购人或代理机构提交书面质疑，不提交的视为无异议，逾期提交将不予受理。</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本竞价公告和竞价文件的解释权归</w:t>
      </w:r>
      <w:r>
        <w:rPr>
          <w:rFonts w:hint="eastAsia" w:ascii="宋体" w:hAnsi="宋体" w:eastAsia="宋体" w:cs="宋体"/>
          <w:color w:val="000000" w:themeColor="text1"/>
          <w:szCs w:val="21"/>
          <w:lang w:eastAsia="zh-TW"/>
          <w14:textFill>
            <w14:solidFill>
              <w14:schemeClr w14:val="tx1"/>
            </w14:solidFill>
          </w14:textFill>
        </w:rPr>
        <w:t>“云采链</w:t>
      </w:r>
      <w:r>
        <w:rPr>
          <w:rFonts w:hint="eastAsia" w:ascii="宋体" w:hAnsi="宋体" w:eastAsia="宋体" w:cs="宋体"/>
          <w:color w:val="000000" w:themeColor="text1"/>
          <w14:textFill>
            <w14:solidFill>
              <w14:schemeClr w14:val="tx1"/>
            </w14:solidFill>
          </w14:textFill>
        </w:rPr>
        <w:t>线上采购一体化平台</w:t>
      </w:r>
      <w:r>
        <w:rPr>
          <w:rFonts w:hint="eastAsia" w:ascii="宋体" w:hAnsi="宋体" w:eastAsia="宋体" w:cs="宋体"/>
          <w:color w:val="000000" w:themeColor="text1"/>
          <w:szCs w:val="21"/>
          <w:lang w:eastAsia="zh-TW"/>
          <w14:textFill>
            <w14:solidFill>
              <w14:schemeClr w14:val="tx1"/>
            </w14:solidFill>
          </w14:textFill>
        </w:rPr>
        <w:t>”所有。</w:t>
      </w:r>
    </w:p>
    <w:p>
      <w:pPr>
        <w:pStyle w:val="30"/>
        <w:numPr>
          <w:ilvl w:val="0"/>
          <w:numId w:val="3"/>
        </w:numPr>
        <w:spacing w:line="360" w:lineRule="auto"/>
        <w:ind w:left="42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竞价文件的澄清或修改</w:t>
      </w:r>
    </w:p>
    <w:p>
      <w:pPr>
        <w:pStyle w:val="30"/>
        <w:numPr>
          <w:ilvl w:val="0"/>
          <w:numId w:val="5"/>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采购人或者采购代理机构可以对已发出的竞价文件进行必要的澄清或者修改。澄清或者修改的内容将在云采链平台上发布澄清（更正/变更）公告。</w:t>
      </w:r>
    </w:p>
    <w:p>
      <w:pPr>
        <w:pStyle w:val="30"/>
        <w:numPr>
          <w:ilvl w:val="0"/>
          <w:numId w:val="5"/>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无论澄清或者修改的内容是否影响竞价，平台将以短信形式通知所有的报名供应商；报名供应商应按要求履行相应的义务；</w:t>
      </w:r>
      <w:r>
        <w:rPr>
          <w:rFonts w:hint="eastAsia" w:ascii="宋体" w:hAnsi="宋体" w:eastAsia="宋体" w:cs="宋体"/>
          <w:color w:val="000000" w:themeColor="text1"/>
          <w:szCs w:val="21"/>
          <w14:textFill>
            <w14:solidFill>
              <w14:schemeClr w14:val="tx1"/>
            </w14:solidFill>
          </w14:textFill>
        </w:rPr>
        <w:t>如报名</w:t>
      </w:r>
      <w:r>
        <w:rPr>
          <w:rFonts w:hint="eastAsia" w:ascii="宋体" w:hAnsi="宋体" w:eastAsia="宋体" w:cs="宋体"/>
          <w:color w:val="000000" w:themeColor="text1"/>
          <w:szCs w:val="21"/>
          <w:lang w:eastAsia="zh-TW"/>
          <w14:textFill>
            <w14:solidFill>
              <w14:schemeClr w14:val="tx1"/>
            </w14:solidFill>
          </w14:textFill>
        </w:rPr>
        <w:t>截止时间</w:t>
      </w:r>
      <w:r>
        <w:rPr>
          <w:rFonts w:hint="eastAsia" w:ascii="宋体" w:hAnsi="宋体" w:eastAsia="宋体" w:cs="宋体"/>
          <w:color w:val="000000" w:themeColor="text1"/>
          <w:szCs w:val="21"/>
          <w14:textFill>
            <w14:solidFill>
              <w14:schemeClr w14:val="tx1"/>
            </w14:solidFill>
          </w14:textFill>
        </w:rPr>
        <w:t>少于一个工作日的，</w:t>
      </w:r>
      <w:r>
        <w:rPr>
          <w:rFonts w:hint="eastAsia" w:ascii="宋体" w:hAnsi="宋体" w:eastAsia="宋体" w:cs="宋体"/>
          <w:color w:val="000000" w:themeColor="text1"/>
          <w14:textFill>
            <w14:solidFill>
              <w14:schemeClr w14:val="tx1"/>
            </w14:solidFill>
          </w14:textFill>
        </w:rPr>
        <w:t>采购人或者采购代理机构应当相应顺延报名的截止时间。</w:t>
      </w:r>
    </w:p>
    <w:p>
      <w:pPr>
        <w:pStyle w:val="30"/>
        <w:numPr>
          <w:ilvl w:val="0"/>
          <w:numId w:val="5"/>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采购人或者采购代理机构发出的澄清或修改（更正/变更）的内容为竞价文件的组成部分，并对供应商具有约束力。</w:t>
      </w:r>
    </w:p>
    <w:p>
      <w:pPr>
        <w:pStyle w:val="30"/>
        <w:numPr>
          <w:ilvl w:val="0"/>
          <w:numId w:val="3"/>
        </w:numPr>
        <w:spacing w:line="360" w:lineRule="auto"/>
        <w:ind w:left="420" w:hanging="420" w:firstLineChars="0"/>
        <w:rPr>
          <w:rStyle w:val="26"/>
          <w:rFonts w:ascii="宋体" w:hAnsi="宋体" w:eastAsia="宋体" w:cs="宋体"/>
          <w:bCs w:val="0"/>
        </w:rPr>
      </w:pPr>
      <w:r>
        <w:rPr>
          <w:rStyle w:val="26"/>
          <w:rFonts w:hint="eastAsia" w:ascii="宋体" w:hAnsi="宋体" w:eastAsia="宋体" w:cs="宋体"/>
          <w:bCs w:val="0"/>
        </w:rPr>
        <w:t>报名要求</w:t>
      </w:r>
      <w:r>
        <w:rPr>
          <w:rStyle w:val="26"/>
          <w:rFonts w:hint="eastAsia" w:ascii="宋体" w:hAnsi="宋体" w:eastAsia="宋体" w:cs="宋体"/>
          <w:b w:val="0"/>
        </w:rPr>
        <w:t>（参与竞价的供应商资质要求: 报名时需要提供以下</w:t>
      </w:r>
      <w:r>
        <w:rPr>
          <w:rStyle w:val="26"/>
          <w:rFonts w:hint="eastAsia" w:ascii="宋体" w:hAnsi="宋体" w:eastAsia="宋体" w:cs="宋体"/>
          <w:bCs w:val="0"/>
          <w:u w:val="single"/>
        </w:rPr>
        <w:t>盖章</w:t>
      </w:r>
      <w:r>
        <w:rPr>
          <w:rStyle w:val="26"/>
          <w:rFonts w:hint="eastAsia" w:ascii="宋体" w:hAnsi="宋体" w:eastAsia="宋体" w:cs="宋体"/>
          <w:b w:val="0"/>
        </w:rPr>
        <w:t>资料，并对上传的报名文件资料承担责任）</w:t>
      </w:r>
    </w:p>
    <w:p>
      <w:pPr>
        <w:pStyle w:val="30"/>
        <w:widowControl/>
        <w:numPr>
          <w:ilvl w:val="0"/>
          <w:numId w:val="6"/>
        </w:numPr>
        <w:spacing w:line="360" w:lineRule="auto"/>
        <w:ind w:left="840" w:hanging="420" w:firstLineChars="0"/>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提供在中华人民共和国境内注册的法人或其他组织的营业执照或事业单位法人证书或社会团体法人登记证书复印件；如国家另有规定的，则从其规定；</w:t>
      </w:r>
    </w:p>
    <w:p>
      <w:pPr>
        <w:pStyle w:val="30"/>
        <w:widowControl/>
        <w:numPr>
          <w:ilvl w:val="0"/>
          <w:numId w:val="6"/>
        </w:numPr>
        <w:spacing w:line="360" w:lineRule="auto"/>
        <w:ind w:left="840" w:hanging="420" w:firstLineChars="0"/>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满足《中华人民共和国政府采购法》第二十二条规定；本项目不允许联合竞价；不允许分包转包；为采购项目提供整体设计、规范编制或者项目管理、监理、检测等服务的供应商，不得再参加该采购项目同一合同项下的其他采购活动；法定代表人或单位负责人与所参投的本项目其他供应商的法定代表人或单位负责人不为同一人且与其他供应商之间不存在直接控股、管理关系；（提供《供应商资格声明函》，格式见附件）；</w:t>
      </w:r>
    </w:p>
    <w:p>
      <w:pPr>
        <w:pStyle w:val="30"/>
        <w:widowControl/>
        <w:numPr>
          <w:ilvl w:val="0"/>
          <w:numId w:val="6"/>
        </w:numPr>
        <w:spacing w:line="360" w:lineRule="auto"/>
        <w:ind w:left="840" w:hanging="420" w:firstLineChars="0"/>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供应商完全响应本项目用户需求的条款、内容及要求的，提供用户需求书响应声明函即可</w:t>
      </w:r>
      <w:r>
        <w:rPr>
          <w:rFonts w:hint="eastAsia" w:ascii="宋体" w:hAnsi="宋体" w:eastAsia="宋体" w:cs="宋体"/>
          <w:b/>
          <w:color w:val="000000" w:themeColor="text1"/>
          <w:kern w:val="0"/>
          <w:szCs w:val="21"/>
          <w14:textFill>
            <w14:solidFill>
              <w14:schemeClr w14:val="tx1"/>
            </w14:solidFill>
          </w14:textFill>
        </w:rPr>
        <w:t>，格式详见附件；</w:t>
      </w:r>
    </w:p>
    <w:p>
      <w:pPr>
        <w:pStyle w:val="30"/>
        <w:widowControl/>
        <w:numPr>
          <w:ilvl w:val="0"/>
          <w:numId w:val="6"/>
        </w:numPr>
        <w:spacing w:line="360" w:lineRule="auto"/>
        <w:ind w:left="840" w:hanging="420" w:firstLineChars="0"/>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.响应供应商</w:t>
      </w:r>
      <w:r>
        <w:rPr>
          <w:rFonts w:hint="eastAsia" w:ascii="宋体" w:hAnsi="宋体" w:eastAsia="宋体" w:cs="宋体"/>
          <w:color w:val="000000" w:themeColor="text1"/>
          <w:kern w:val="0"/>
          <w:szCs w:val="20"/>
          <w:lang w:val="en-US" w:eastAsia="zh-CN"/>
          <w14:textFill>
            <w14:solidFill>
              <w14:schemeClr w14:val="tx1"/>
            </w14:solidFill>
          </w14:textFill>
        </w:rPr>
        <w:t>报名时</w:t>
      </w:r>
      <w:r>
        <w:rPr>
          <w:rFonts w:hint="eastAsia" w:ascii="宋体" w:hAnsi="宋体" w:eastAsia="宋体" w:cs="宋体"/>
          <w:color w:val="000000" w:themeColor="text1"/>
          <w:kern w:val="0"/>
          <w:szCs w:val="20"/>
          <w14:textFill>
            <w14:solidFill>
              <w14:schemeClr w14:val="tx1"/>
            </w14:solidFill>
          </w14:textFill>
        </w:rPr>
        <w:t>必须提供针对本项目的项目工程检测鉴定大纲【该项目工程检测鉴定大纲至少包含以下几点内容：①检测鉴定方案（至少包含项目概述、总体检测方案等内容）；②重点难点分析方案（至少包含对本项目的重点难点认识及分析，工作方案，合理化建议等方面内容）。</w:t>
      </w:r>
      <w:r>
        <w:rPr>
          <w:rFonts w:hint="eastAsia" w:ascii="宋体" w:hAnsi="宋体" w:eastAsia="宋体" w:cs="宋体"/>
          <w:color w:val="000000" w:themeColor="text1"/>
          <w:kern w:val="0"/>
          <w:szCs w:val="20"/>
          <w:lang w:val="en-US" w:eastAsia="zh-CN"/>
          <w14:textFill>
            <w14:solidFill>
              <w14:schemeClr w14:val="tx1"/>
            </w14:solidFill>
          </w14:textFill>
        </w:rPr>
        <w:t>以及</w:t>
      </w:r>
      <w:r>
        <w:rPr>
          <w:rFonts w:hint="eastAsia" w:ascii="宋体" w:hAnsi="宋体" w:eastAsia="宋体" w:cs="宋体"/>
          <w:color w:val="000000" w:themeColor="text1"/>
          <w:kern w:val="0"/>
          <w:szCs w:val="20"/>
          <w14:textFill>
            <w14:solidFill>
              <w14:schemeClr w14:val="tx1"/>
            </w14:solidFill>
          </w14:textFill>
        </w:rPr>
        <w:t>必须提供针对本项目的服务承诺书（含服务期、检测鉴定报告交付时间、服务措施方案等内容。</w:t>
      </w:r>
      <w:r>
        <w:rPr>
          <w:rFonts w:hint="eastAsia" w:ascii="宋体" w:hAnsi="宋体" w:eastAsia="宋体" w:cs="宋体"/>
          <w:color w:val="000000" w:themeColor="text1"/>
          <w:kern w:val="0"/>
          <w:szCs w:val="20"/>
          <w:lang w:eastAsia="zh-CN"/>
          <w14:textFill>
            <w14:solidFill>
              <w14:schemeClr w14:val="tx1"/>
            </w14:solidFill>
          </w14:textFill>
        </w:rPr>
        <w:t>（</w:t>
      </w:r>
      <w:r>
        <w:rPr>
          <w:rFonts w:hint="eastAsia" w:ascii="宋体" w:hAnsi="宋体" w:eastAsia="宋体" w:cs="宋体"/>
          <w:color w:val="000000" w:themeColor="text1"/>
          <w:kern w:val="0"/>
          <w:szCs w:val="20"/>
          <w:lang w:val="en-US" w:eastAsia="zh-CN"/>
          <w14:textFill>
            <w14:solidFill>
              <w14:schemeClr w14:val="tx1"/>
            </w14:solidFill>
          </w14:textFill>
        </w:rPr>
        <w:t>报名时提供大纲以及服务承诺书</w:t>
      </w:r>
      <w:r>
        <w:rPr>
          <w:rFonts w:hint="eastAsia" w:ascii="宋体" w:hAnsi="宋体" w:eastAsia="宋体" w:cs="宋体"/>
          <w:color w:val="000000" w:themeColor="text1"/>
          <w:kern w:val="0"/>
          <w:szCs w:val="20"/>
          <w:lang w:eastAsia="zh-CN"/>
          <w14:textFill>
            <w14:solidFill>
              <w14:schemeClr w14:val="tx1"/>
            </w14:solidFill>
          </w14:textFill>
        </w:rPr>
        <w:t>）</w:t>
      </w:r>
    </w:p>
    <w:p>
      <w:pPr>
        <w:pStyle w:val="30"/>
        <w:widowControl/>
        <w:spacing w:line="360" w:lineRule="auto"/>
        <w:ind w:left="420" w:firstLine="0" w:firstLineChars="0"/>
        <w:jc w:val="left"/>
        <w:rPr>
          <w:rFonts w:ascii="宋体" w:hAnsi="宋体" w:cs="宋体"/>
          <w:b/>
          <w:color w:val="000000" w:themeColor="text1"/>
          <w14:textFill>
            <w14:solidFill>
              <w14:schemeClr w14:val="tx1"/>
            </w14:solidFill>
          </w14:textFill>
        </w:rPr>
      </w:pPr>
    </w:p>
    <w:p>
      <w:pPr>
        <w:pStyle w:val="30"/>
        <w:numPr>
          <w:ilvl w:val="0"/>
          <w:numId w:val="3"/>
        </w:numPr>
        <w:spacing w:line="360" w:lineRule="auto"/>
        <w:ind w:left="420" w:hanging="420" w:firstLineChars="0"/>
        <w:rPr>
          <w:rStyle w:val="26"/>
          <w:rFonts w:ascii="宋体" w:hAnsi="宋体" w:eastAsia="宋体" w:cs="宋体"/>
          <w:bCs w:val="0"/>
          <w:color w:val="000000" w:themeColor="text1"/>
          <w14:textFill>
            <w14:solidFill>
              <w14:schemeClr w14:val="tx1"/>
            </w14:solidFill>
          </w14:textFill>
        </w:rPr>
      </w:pPr>
      <w:r>
        <w:rPr>
          <w:rStyle w:val="26"/>
          <w:rFonts w:hint="eastAsia" w:ascii="宋体" w:hAnsi="宋体" w:eastAsia="宋体" w:cs="宋体"/>
          <w:bCs w:val="0"/>
          <w:color w:val="000000" w:themeColor="text1"/>
          <w14:textFill>
            <w14:solidFill>
              <w14:schemeClr w14:val="tx1"/>
            </w14:solidFill>
          </w14:textFill>
        </w:rPr>
        <w:t>报价要求</w:t>
      </w:r>
      <w:r>
        <w:rPr>
          <w:rStyle w:val="26"/>
          <w:rFonts w:hint="eastAsia" w:ascii="宋体" w:hAnsi="宋体" w:eastAsia="宋体" w:cs="宋体"/>
          <w:color w:val="000000" w:themeColor="text1"/>
          <w:szCs w:val="21"/>
          <w14:textFill>
            <w14:solidFill>
              <w14:schemeClr w14:val="tx1"/>
            </w14:solidFill>
          </w14:textFill>
        </w:rPr>
        <w:t>（</w:t>
      </w:r>
      <w:r>
        <w:rPr>
          <w:rStyle w:val="26"/>
          <w:rFonts w:hint="eastAsia" w:ascii="宋体" w:hAnsi="宋体" w:eastAsia="宋体" w:cs="宋体"/>
          <w:b w:val="0"/>
          <w:color w:val="000000" w:themeColor="text1"/>
          <w:szCs w:val="21"/>
          <w14:textFill>
            <w14:solidFill>
              <w14:schemeClr w14:val="tx1"/>
            </w14:solidFill>
          </w14:textFill>
        </w:rPr>
        <w:t>报价时需要提供以下</w:t>
      </w:r>
      <w:r>
        <w:rPr>
          <w:rStyle w:val="26"/>
          <w:rFonts w:hint="eastAsia" w:ascii="宋体" w:hAnsi="宋体" w:eastAsia="宋体" w:cs="宋体"/>
          <w:color w:val="000000" w:themeColor="text1"/>
          <w:szCs w:val="21"/>
          <w:u w:val="double"/>
          <w14:textFill>
            <w14:solidFill>
              <w14:schemeClr w14:val="tx1"/>
            </w14:solidFill>
          </w14:textFill>
        </w:rPr>
        <w:t>盖章</w:t>
      </w:r>
      <w:r>
        <w:rPr>
          <w:rStyle w:val="26"/>
          <w:rFonts w:hint="eastAsia" w:ascii="宋体" w:hAnsi="宋体" w:eastAsia="宋体" w:cs="宋体"/>
          <w:b w:val="0"/>
          <w:color w:val="000000" w:themeColor="text1"/>
          <w:szCs w:val="21"/>
          <w14:textFill>
            <w14:solidFill>
              <w14:schemeClr w14:val="tx1"/>
            </w14:solidFill>
          </w14:textFill>
        </w:rPr>
        <w:t>资料，</w:t>
      </w:r>
      <w:r>
        <w:rPr>
          <w:rFonts w:hint="eastAsia" w:ascii="宋体" w:hAnsi="宋体" w:eastAsia="宋体" w:cs="宋体"/>
          <w:color w:val="000000" w:themeColor="text1"/>
          <w:szCs w:val="21"/>
          <w14:textFill>
            <w14:solidFill>
              <w14:schemeClr w14:val="tx1"/>
            </w14:solidFill>
          </w14:textFill>
        </w:rPr>
        <w:t>并对上传的竞价文件资料承担责任</w:t>
      </w:r>
      <w:r>
        <w:rPr>
          <w:rStyle w:val="26"/>
          <w:rFonts w:hint="eastAsia" w:ascii="宋体" w:hAnsi="宋体" w:eastAsia="宋体" w:cs="宋体"/>
          <w:color w:val="000000" w:themeColor="text1"/>
          <w:szCs w:val="21"/>
          <w14:textFill>
            <w14:solidFill>
              <w14:schemeClr w14:val="tx1"/>
            </w14:solidFill>
          </w14:textFill>
        </w:rPr>
        <w:t>）</w:t>
      </w:r>
    </w:p>
    <w:p>
      <w:pPr>
        <w:pStyle w:val="30"/>
        <w:numPr>
          <w:ilvl w:val="0"/>
          <w:numId w:val="7"/>
        </w:numPr>
        <w:spacing w:line="360" w:lineRule="auto"/>
        <w:ind w:left="840" w:hanging="420" w:firstLineChars="0"/>
        <w:rPr>
          <w:rFonts w:ascii="宋体" w:hAnsi="宋体" w:eastAsia="宋体" w:cs="宋体"/>
          <w:szCs w:val="21"/>
        </w:rPr>
      </w:pPr>
      <w:r>
        <w:rPr>
          <w:rFonts w:hint="eastAsia" w:ascii="宋体" w:hAnsi="宋体" w:eastAsia="宋体" w:cs="宋体"/>
          <w:color w:val="000000" w:themeColor="text1"/>
          <w:szCs w:val="21"/>
          <w14:textFill>
            <w14:solidFill>
              <w14:schemeClr w14:val="tx1"/>
            </w14:solidFill>
          </w14:textFill>
        </w:rPr>
        <w:t>通过报名供应商应根据本公告要求，在规定的竞价时间内对采购项目进行报价，同时按本公告要求完整</w:t>
      </w:r>
      <w:r>
        <w:rPr>
          <w:rFonts w:hint="eastAsia" w:ascii="宋体" w:hAnsi="宋体" w:eastAsia="宋体" w:cs="宋体"/>
          <w:color w:val="000000" w:themeColor="text1"/>
          <w:szCs w:val="21"/>
          <w:lang w:eastAsia="zh-TW"/>
          <w14:textFill>
            <w14:solidFill>
              <w14:schemeClr w14:val="tx1"/>
            </w14:solidFill>
          </w14:textFill>
        </w:rPr>
        <w:t>、真实、准确地</w:t>
      </w:r>
      <w:r>
        <w:rPr>
          <w:rFonts w:hint="eastAsia" w:ascii="宋体" w:hAnsi="宋体" w:eastAsia="宋体" w:cs="宋体"/>
          <w:color w:val="000000" w:themeColor="text1"/>
          <w:szCs w:val="21"/>
          <w14:textFill>
            <w14:solidFill>
              <w14:schemeClr w14:val="tx1"/>
            </w14:solidFill>
          </w14:textFill>
        </w:rPr>
        <w:t>填写并上传相应报价附件</w:t>
      </w:r>
      <w:r>
        <w:rPr>
          <w:rFonts w:hint="eastAsia" w:ascii="宋体" w:hAnsi="宋体" w:eastAsia="宋体" w:cs="宋体"/>
          <w:b/>
          <w:bCs/>
          <w:color w:val="000000" w:themeColor="text1"/>
          <w:szCs w:val="21"/>
          <w14:textFill>
            <w14:solidFill>
              <w14:schemeClr w14:val="tx1"/>
            </w14:solidFill>
          </w14:textFill>
        </w:rPr>
        <w:t>（</w:t>
      </w:r>
      <w:r>
        <w:rPr>
          <w:rFonts w:hint="eastAsia" w:ascii="宋体" w:hAnsi="宋体" w:eastAsia="宋体" w:cs="宋体"/>
          <w:b/>
          <w:szCs w:val="21"/>
          <w:lang w:bidi="ar"/>
        </w:rPr>
        <w:t>上传</w:t>
      </w:r>
      <w:r>
        <w:rPr>
          <w:rFonts w:hint="eastAsia" w:ascii="宋体" w:hAnsi="宋体" w:eastAsia="宋体" w:cs="宋体"/>
          <w:b/>
          <w:bCs/>
          <w:szCs w:val="21"/>
          <w:shd w:val="clear" w:color="auto" w:fill="FFFFFF"/>
          <w:lang w:bidi="ar"/>
        </w:rPr>
        <w:t>报价表）。</w:t>
      </w:r>
    </w:p>
    <w:p>
      <w:pPr>
        <w:pStyle w:val="30"/>
        <w:numPr>
          <w:ilvl w:val="0"/>
          <w:numId w:val="7"/>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szCs w:val="21"/>
          <w:u w:val="double"/>
          <w14:textFill>
            <w14:solidFill>
              <w14:schemeClr w14:val="tx1"/>
            </w14:solidFill>
          </w14:textFill>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pPr>
        <w:pStyle w:val="30"/>
        <w:numPr>
          <w:ilvl w:val="0"/>
          <w:numId w:val="3"/>
        </w:numPr>
        <w:spacing w:line="360" w:lineRule="auto"/>
        <w:ind w:left="420" w:hanging="420" w:firstLineChars="0"/>
        <w:rPr>
          <w:rStyle w:val="26"/>
          <w:rFonts w:ascii="宋体" w:hAnsi="宋体" w:eastAsia="宋体" w:cs="宋体"/>
          <w:bCs w:val="0"/>
          <w:color w:val="000000" w:themeColor="text1"/>
          <w14:textFill>
            <w14:solidFill>
              <w14:schemeClr w14:val="tx1"/>
            </w14:solidFill>
          </w14:textFill>
        </w:rPr>
      </w:pPr>
      <w:r>
        <w:rPr>
          <w:rStyle w:val="26"/>
          <w:rFonts w:hint="eastAsia" w:ascii="宋体" w:hAnsi="宋体" w:eastAsia="宋体" w:cs="宋体"/>
          <w:bCs w:val="0"/>
          <w:color w:val="000000" w:themeColor="text1"/>
          <w14:textFill>
            <w14:solidFill>
              <w14:schemeClr w14:val="tx1"/>
            </w14:solidFill>
          </w14:textFill>
        </w:rPr>
        <w:t>确定成交候选人</w:t>
      </w:r>
    </w:p>
    <w:p>
      <w:pPr>
        <w:pStyle w:val="30"/>
        <w:numPr>
          <w:ilvl w:val="0"/>
          <w:numId w:val="8"/>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本项目以最低价成交的方式确定成交供应商。报价时间截止后，系统按报价（经价格核准后的价格）由低到高顺序排列，</w:t>
      </w:r>
      <w:r>
        <w:rPr>
          <w:rFonts w:hint="eastAsia" w:ascii="宋体" w:hAnsi="宋体" w:eastAsia="宋体" w:cs="宋体"/>
          <w:color w:val="000000" w:themeColor="text1"/>
          <w14:textFill>
            <w14:solidFill>
              <w14:schemeClr w14:val="tx1"/>
            </w14:solidFill>
          </w14:textFill>
        </w:rPr>
        <w:t>报价最低的为第一成交候选人，报价相同的，按报价时间在前的为第一成交候选人；</w:t>
      </w:r>
      <w:r>
        <w:rPr>
          <w:rFonts w:hint="eastAsia" w:ascii="宋体" w:hAnsi="宋体" w:eastAsia="宋体" w:cs="宋体"/>
          <w:color w:val="000000" w:themeColor="text1"/>
          <w:szCs w:val="21"/>
          <w14:textFill>
            <w14:solidFill>
              <w14:schemeClr w14:val="tx1"/>
            </w14:solidFill>
          </w14:textFill>
        </w:rPr>
        <w:t>报价次低的为第二成交候选人，以此类推</w:t>
      </w:r>
      <w:r>
        <w:rPr>
          <w:rFonts w:hint="eastAsia" w:ascii="宋体" w:hAnsi="宋体" w:eastAsia="宋体" w:cs="宋体"/>
          <w:color w:val="000000" w:themeColor="text1"/>
          <w14:textFill>
            <w14:solidFill>
              <w14:schemeClr w14:val="tx1"/>
            </w14:solidFill>
          </w14:textFill>
        </w:rPr>
        <w:t>。</w:t>
      </w:r>
    </w:p>
    <w:p>
      <w:pPr>
        <w:pStyle w:val="30"/>
        <w:numPr>
          <w:ilvl w:val="0"/>
          <w:numId w:val="3"/>
        </w:numPr>
        <w:spacing w:line="360" w:lineRule="auto"/>
        <w:ind w:left="420" w:hanging="420" w:firstLineChars="0"/>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无效报价</w:t>
      </w:r>
    </w:p>
    <w:p>
      <w:pPr>
        <w:pStyle w:val="30"/>
        <w:numPr>
          <w:ilvl w:val="0"/>
          <w:numId w:val="9"/>
        </w:numPr>
        <w:spacing w:line="360" w:lineRule="auto"/>
        <w:ind w:left="840" w:hanging="420"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color w:val="000000" w:themeColor="text1"/>
          <w14:textFill>
            <w14:solidFill>
              <w14:schemeClr w14:val="tx1"/>
            </w14:solidFill>
          </w14:textFill>
        </w:rPr>
        <w:t>供应商报价超过最高限价或低于最低限价或超过项目对应产品单项最高限价的视为无效报价。</w:t>
      </w:r>
    </w:p>
    <w:p>
      <w:pPr>
        <w:pStyle w:val="30"/>
        <w:numPr>
          <w:ilvl w:val="0"/>
          <w:numId w:val="9"/>
        </w:numPr>
        <w:spacing w:line="360" w:lineRule="auto"/>
        <w:ind w:left="840" w:hanging="420"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bCs/>
          <w:color w:val="000000" w:themeColor="text1"/>
          <w:szCs w:val="21"/>
          <w14:textFill>
            <w14:solidFill>
              <w14:schemeClr w14:val="tx1"/>
            </w14:solidFill>
          </w14:textFill>
        </w:rPr>
        <w:t>供应商须提供本项目要求的资质文件，如果不按公告规定或竞价文件要求等相关规定提供符合要求的资质文件，将被视为无效报价。</w:t>
      </w:r>
    </w:p>
    <w:p>
      <w:pPr>
        <w:pStyle w:val="30"/>
        <w:numPr>
          <w:ilvl w:val="0"/>
          <w:numId w:val="9"/>
        </w:numPr>
        <w:spacing w:line="360" w:lineRule="auto"/>
        <w:ind w:left="840" w:hanging="420"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bCs/>
          <w:color w:val="000000" w:themeColor="text1"/>
          <w:szCs w:val="21"/>
          <w14:textFill>
            <w14:solidFill>
              <w14:schemeClr w14:val="tx1"/>
            </w14:solidFill>
          </w14:textFill>
        </w:rPr>
        <w:t>供应商须对本项目采购内容进行整体报价，任何只对其中一部分内容进行的报价都被视为无效报价。</w:t>
      </w:r>
    </w:p>
    <w:p>
      <w:pPr>
        <w:pStyle w:val="30"/>
        <w:numPr>
          <w:ilvl w:val="0"/>
          <w:numId w:val="9"/>
        </w:numPr>
        <w:spacing w:line="360" w:lineRule="auto"/>
        <w:ind w:left="840" w:hanging="420"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u w:val="double"/>
          <w14:textFill>
            <w14:solidFill>
              <w14:schemeClr w14:val="tx1"/>
            </w14:solidFill>
          </w14:textFill>
        </w:rPr>
        <w:t>报价表以及有报价供应商落款的报价文件必须加盖报价供应商公章，否则视为无效报价。</w:t>
      </w:r>
    </w:p>
    <w:p>
      <w:pPr>
        <w:pStyle w:val="18"/>
        <w:numPr>
          <w:ilvl w:val="0"/>
          <w:numId w:val="9"/>
        </w:numPr>
        <w:shd w:val="clear" w:color="auto" w:fill="FFFFFF"/>
        <w:spacing w:before="0" w:beforeAutospacing="0" w:after="0" w:afterAutospacing="0" w:line="360" w:lineRule="auto"/>
        <w:ind w:left="840" w:hanging="42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pPr>
        <w:pStyle w:val="18"/>
        <w:numPr>
          <w:ilvl w:val="0"/>
          <w:numId w:val="9"/>
        </w:numPr>
        <w:shd w:val="clear" w:color="auto" w:fill="FFFFFF"/>
        <w:spacing w:before="0" w:beforeAutospacing="0" w:after="0" w:afterAutospacing="0" w:line="360" w:lineRule="auto"/>
        <w:ind w:left="840" w:hanging="420"/>
        <w:rPr>
          <w:b/>
          <w:bCs/>
          <w:color w:val="000000" w:themeColor="text1"/>
          <w:sz w:val="21"/>
          <w:szCs w:val="21"/>
          <w:u w:val="double"/>
          <w14:textFill>
            <w14:solidFill>
              <w14:schemeClr w14:val="tx1"/>
            </w14:solidFill>
          </w14:textFill>
        </w:rPr>
      </w:pPr>
      <w:r>
        <w:rPr>
          <w:rFonts w:hint="eastAsia"/>
          <w:b/>
          <w:bCs/>
          <w:color w:val="000000" w:themeColor="text1"/>
          <w:sz w:val="21"/>
          <w:szCs w:val="21"/>
          <w:u w:val="double"/>
          <w14:textFill>
            <w14:solidFill>
              <w14:schemeClr w14:val="tx1"/>
            </w14:solidFill>
          </w14:textFill>
        </w:rPr>
        <w:t>按有关法律、法规、规章属于报价无效的。</w:t>
      </w:r>
    </w:p>
    <w:p>
      <w:pPr>
        <w:pStyle w:val="18"/>
        <w:numPr>
          <w:ilvl w:val="0"/>
          <w:numId w:val="9"/>
        </w:numPr>
        <w:shd w:val="clear" w:color="auto" w:fill="FFFFFF"/>
        <w:spacing w:before="0" w:beforeAutospacing="0" w:after="0" w:afterAutospacing="0" w:line="360" w:lineRule="auto"/>
        <w:ind w:left="840" w:hanging="420"/>
        <w:rPr>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有下列情形之一的，视为串通竞价，其报价无效：</w:t>
      </w:r>
    </w:p>
    <w:p>
      <w:pPr>
        <w:pStyle w:val="30"/>
        <w:widowControl/>
        <w:numPr>
          <w:ilvl w:val="0"/>
          <w:numId w:val="10"/>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存在单位负责人为同一人或存在控股、管理关系的不同单位参与同一竞价项目；</w:t>
      </w:r>
    </w:p>
    <w:p>
      <w:pPr>
        <w:pStyle w:val="30"/>
        <w:widowControl/>
        <w:numPr>
          <w:ilvl w:val="0"/>
          <w:numId w:val="10"/>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不同供应商的响应文件由同一单位或者个人编制；</w:t>
      </w:r>
    </w:p>
    <w:p>
      <w:pPr>
        <w:pStyle w:val="30"/>
        <w:widowControl/>
        <w:numPr>
          <w:ilvl w:val="0"/>
          <w:numId w:val="10"/>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不同供应商委托同一单位或者个人办理竞价事宜；</w:t>
      </w:r>
    </w:p>
    <w:p>
      <w:pPr>
        <w:pStyle w:val="30"/>
        <w:widowControl/>
        <w:numPr>
          <w:ilvl w:val="0"/>
          <w:numId w:val="10"/>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不同供应商使用同一IP地址参与竞价；</w:t>
      </w:r>
    </w:p>
    <w:p>
      <w:pPr>
        <w:pStyle w:val="30"/>
        <w:widowControl/>
        <w:numPr>
          <w:ilvl w:val="0"/>
          <w:numId w:val="10"/>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不同供应商的响应文件载明的项目管理成员或者联系人员为同一人；</w:t>
      </w:r>
    </w:p>
    <w:p>
      <w:pPr>
        <w:pStyle w:val="30"/>
        <w:widowControl/>
        <w:numPr>
          <w:ilvl w:val="0"/>
          <w:numId w:val="10"/>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不同供应商的响应文件异常一致或者报价呈规律性差异；</w:t>
      </w:r>
    </w:p>
    <w:p>
      <w:pPr>
        <w:pStyle w:val="30"/>
        <w:widowControl/>
        <w:numPr>
          <w:ilvl w:val="0"/>
          <w:numId w:val="10"/>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不同供应商的响应文件相互混淆；</w:t>
      </w:r>
    </w:p>
    <w:p>
      <w:pPr>
        <w:pStyle w:val="30"/>
        <w:widowControl/>
        <w:numPr>
          <w:ilvl w:val="0"/>
          <w:numId w:val="10"/>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不同供应商的平台使用费从同一单位或者个人的账户转出。</w:t>
      </w:r>
    </w:p>
    <w:p>
      <w:pPr>
        <w:pStyle w:val="30"/>
        <w:numPr>
          <w:ilvl w:val="0"/>
          <w:numId w:val="3"/>
        </w:numPr>
        <w:spacing w:line="360" w:lineRule="auto"/>
        <w:ind w:left="420" w:hanging="420"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竞价活动失败</w:t>
      </w:r>
    </w:p>
    <w:p>
      <w:pPr>
        <w:spacing w:line="360" w:lineRule="auto"/>
        <w:ind w:left="840" w:hanging="420"/>
        <w:jc w:val="both"/>
      </w:pPr>
      <w:r>
        <w:rPr>
          <w:rFonts w:ascii="宋体" w:hAnsi="宋体" w:eastAsia="宋体" w:cs="宋体"/>
          <w:color w:val="000000"/>
          <w:sz w:val="21"/>
          <w:szCs w:val="21"/>
        </w:rPr>
        <w:t>1．出现下列情况的，本项目竞价活动失败：</w:t>
      </w:r>
    </w:p>
    <w:p>
      <w:pPr>
        <w:spacing w:line="360" w:lineRule="auto"/>
        <w:ind w:left="1260" w:hanging="420"/>
        <w:jc w:val="both"/>
      </w:pPr>
      <w:r>
        <w:rPr>
          <w:rFonts w:ascii="宋体" w:hAnsi="宋体" w:eastAsia="宋体" w:cs="宋体"/>
          <w:color w:val="000000"/>
          <w:sz w:val="21"/>
          <w:szCs w:val="21"/>
        </w:rPr>
        <w:t>（1）报名供应商不足3家；</w:t>
      </w:r>
    </w:p>
    <w:p>
      <w:pPr>
        <w:spacing w:line="360" w:lineRule="auto"/>
        <w:ind w:left="1260" w:hanging="420"/>
        <w:jc w:val="both"/>
      </w:pPr>
      <w:r>
        <w:rPr>
          <w:rFonts w:ascii="宋体" w:hAnsi="宋体" w:eastAsia="宋体" w:cs="宋体"/>
          <w:color w:val="000000"/>
          <w:sz w:val="21"/>
          <w:szCs w:val="21"/>
        </w:rPr>
        <w:t>（2）有效报价供应商不足3家。</w:t>
      </w:r>
    </w:p>
    <w:p>
      <w:pPr>
        <w:pStyle w:val="30"/>
        <w:spacing w:line="360" w:lineRule="auto"/>
        <w:ind w:left="840" w:leftChars="200" w:hanging="420" w:firstLineChars="0"/>
        <w:rPr>
          <w:rFonts w:ascii="宋体" w:hAnsi="宋体" w:eastAsia="宋体" w:cs="宋体"/>
          <w:szCs w:val="21"/>
        </w:rPr>
      </w:pPr>
      <w:r>
        <w:rPr>
          <w:rFonts w:hint="eastAsia" w:ascii="宋体" w:hAnsi="宋体" w:eastAsia="宋体" w:cs="宋体"/>
          <w:szCs w:val="21"/>
        </w:rPr>
        <w:t>2.出现影响采购公正的违法、违规行为的。</w:t>
      </w:r>
    </w:p>
    <w:p>
      <w:pPr>
        <w:pStyle w:val="30"/>
        <w:spacing w:line="360" w:lineRule="auto"/>
        <w:ind w:left="840" w:leftChars="200" w:hanging="420" w:firstLineChars="0"/>
        <w:rPr>
          <w:rFonts w:ascii="宋体" w:hAnsi="宋体" w:eastAsia="宋体" w:cs="宋体"/>
          <w:szCs w:val="21"/>
        </w:rPr>
      </w:pPr>
      <w:r>
        <w:rPr>
          <w:rFonts w:hint="eastAsia" w:ascii="宋体" w:hAnsi="宋体" w:eastAsia="宋体" w:cs="宋体"/>
          <w:szCs w:val="21"/>
        </w:rPr>
        <w:t>3.因重大变故，采购任务取消的。</w:t>
      </w:r>
    </w:p>
    <w:p>
      <w:pPr>
        <w:pStyle w:val="30"/>
        <w:numPr>
          <w:ilvl w:val="0"/>
          <w:numId w:val="3"/>
        </w:numPr>
        <w:spacing w:line="360" w:lineRule="auto"/>
        <w:ind w:left="420" w:hanging="420" w:firstLineChars="0"/>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使用费</w:t>
      </w:r>
    </w:p>
    <w:p>
      <w:pPr>
        <w:spacing w:line="360" w:lineRule="auto"/>
        <w:ind w:left="840" w:hanging="420"/>
        <w:jc w:val="both"/>
      </w:pPr>
      <w:r>
        <w:rPr>
          <w:rFonts w:ascii="宋体" w:hAnsi="宋体" w:eastAsia="宋体" w:cs="宋体"/>
          <w:color w:val="000000"/>
          <w:sz w:val="21"/>
          <w:szCs w:val="21"/>
        </w:rPr>
        <w:t>1．成交供应商须向平台服务商云采链线上采购一体化平台缴纳平台使用费，金额为成交金额的1%（四舍五入取整数）。</w:t>
      </w:r>
    </w:p>
    <w:p>
      <w:pPr>
        <w:spacing w:line="360" w:lineRule="auto"/>
        <w:ind w:left="840" w:hanging="420"/>
        <w:jc w:val="both"/>
      </w:pPr>
      <w:r>
        <w:rPr>
          <w:rFonts w:ascii="宋体" w:hAnsi="宋体" w:eastAsia="宋体" w:cs="宋体"/>
          <w:color w:val="000000"/>
          <w:sz w:val="21"/>
          <w:szCs w:val="21"/>
        </w:rPr>
        <w:t>1．各包组成交供应商须向平台服务商云采链线上采购一体化平台缴纳平台使用费，金额为成交金额的1.5%（四舍五入取整数）。</w:t>
      </w:r>
    </w:p>
    <w:p>
      <w:pPr>
        <w:pStyle w:val="30"/>
        <w:spacing w:line="360" w:lineRule="auto"/>
        <w:ind w:left="840" w:leftChars="200" w:hanging="420" w:hangingChars="200"/>
        <w:rPr>
          <w:rFonts w:ascii="宋体" w:hAnsi="宋体" w:eastAsia="宋体" w:cs="宋体"/>
          <w:szCs w:val="21"/>
        </w:rPr>
      </w:pPr>
      <w:r>
        <w:rPr>
          <w:rFonts w:hint="eastAsia" w:ascii="宋体" w:hAnsi="宋体" w:eastAsia="宋体" w:cs="宋体"/>
          <w:szCs w:val="21"/>
        </w:rPr>
        <w:t>2.成交供应商无正当理由放弃成交资格的必须按竞价公告等相关规定缴纳相应的平台使用费。</w:t>
      </w:r>
    </w:p>
    <w:p>
      <w:pPr>
        <w:pStyle w:val="30"/>
        <w:spacing w:line="360" w:lineRule="auto"/>
        <w:ind w:left="840" w:leftChars="200" w:hanging="420" w:hangingChars="200"/>
        <w:rPr>
          <w:rFonts w:ascii="宋体" w:hAnsi="宋体" w:eastAsia="宋体" w:cs="宋体"/>
          <w:szCs w:val="21"/>
        </w:rPr>
      </w:pPr>
      <w:r>
        <w:rPr>
          <w:rFonts w:hint="eastAsia" w:ascii="宋体" w:hAnsi="宋体" w:eastAsia="宋体" w:cs="宋体"/>
          <w:szCs w:val="21"/>
        </w:rPr>
        <w:t>3.如确实因不可抗力放弃成交资格的，应在不可抗力发生后三个工作日内予以通知采购代理机构并提供相关的证明；如逾期，采购代理机构不予退还平台使用费。</w:t>
      </w:r>
    </w:p>
    <w:p>
      <w:pPr>
        <w:pStyle w:val="30"/>
        <w:numPr>
          <w:ilvl w:val="0"/>
          <w:numId w:val="2"/>
        </w:numPr>
        <w:spacing w:line="360" w:lineRule="auto"/>
        <w:ind w:firstLineChars="0"/>
        <w:rPr>
          <w:rFonts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联系方式</w:t>
      </w:r>
    </w:p>
    <w:p>
      <w:pPr>
        <w:pStyle w:val="18"/>
        <w:spacing w:before="0" w:beforeAutospacing="0" w:after="0" w:afterAutospacing="0" w:line="360" w:lineRule="auto"/>
        <w:ind w:left="420"/>
        <w:rPr>
          <w:color w:val="000000" w:themeColor="text1"/>
          <w14:textFill>
            <w14:solidFill>
              <w14:schemeClr w14:val="tx1"/>
            </w14:solidFill>
          </w14:textFill>
        </w:rPr>
      </w:pPr>
      <w:r>
        <w:rPr>
          <w:rFonts w:hint="eastAsia"/>
          <w:color w:val="000000" w:themeColor="text1"/>
          <w:sz w:val="21"/>
          <w:szCs w:val="21"/>
          <w14:textFill>
            <w14:solidFill>
              <w14:schemeClr w14:val="tx1"/>
            </w14:solidFill>
          </w14:textFill>
        </w:rPr>
        <w:t>扫码关注微信公众号“云采链互联服务平台”，即可在线咨询相关事项。</w:t>
      </w:r>
    </w:p>
    <w:p>
      <w:pPr>
        <w:pStyle w:val="30"/>
        <w:widowControl/>
        <w:spacing w:line="360" w:lineRule="auto"/>
        <w:ind w:left="420"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drawing>
          <wp:inline distT="0" distB="0" distL="0" distR="0">
            <wp:extent cx="1390650" cy="1390650"/>
            <wp:effectExtent l="0" t="0" r="0" b="0"/>
            <wp:docPr id="7" name="图片 7" descr="C:\Users\ADMINI~1\AppData\Local\Temp\360zip$Temp\360$2\智采公众号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360zip$Temp\360$2\智采公众号8c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390650" cy="1390650"/>
                    </a:xfrm>
                    <a:prstGeom prst="rect">
                      <a:avLst/>
                    </a:prstGeom>
                    <a:noFill/>
                    <a:ln>
                      <a:noFill/>
                    </a:ln>
                  </pic:spPr>
                </pic:pic>
              </a:graphicData>
            </a:graphic>
          </wp:inline>
        </w:drawing>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p>
    <w:p>
      <w:pPr>
        <w:snapToGrid w:val="0"/>
        <w:spacing w:line="360" w:lineRule="auto"/>
        <w:jc w:val="center"/>
        <w:outlineLvl w:val="0"/>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第二章 用户需求书</w:t>
      </w:r>
    </w:p>
    <w:p>
      <w:pPr>
        <w:snapToGrid w:val="0"/>
        <w:spacing w:line="360" w:lineRule="auto"/>
        <w:ind w:left="517" w:hanging="517" w:hangingChars="245"/>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说明：</w:t>
      </w:r>
    </w:p>
    <w:p>
      <w:pPr>
        <w:numPr>
          <w:ilvl w:val="0"/>
          <w:numId w:val="11"/>
        </w:numPr>
        <w:snapToGrid w:val="0"/>
        <w:spacing w:line="360" w:lineRule="auto"/>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 xml:space="preserve">响应供应商须对本项目进行整体响应，任何只对其中一部分进行的响应都被视为无效响应。 </w:t>
      </w:r>
    </w:p>
    <w:p>
      <w:pPr>
        <w:pStyle w:val="10"/>
        <w:numPr>
          <w:ilvl w:val="0"/>
          <w:numId w:val="12"/>
        </w:numPr>
        <w:tabs>
          <w:tab w:val="left" w:pos="540"/>
        </w:tabs>
        <w:adjustRightInd w:val="0"/>
        <w:snapToGrid w:val="0"/>
        <w:spacing w:line="360" w:lineRule="auto"/>
        <w:rPr>
          <w:rFonts w:hAnsi="宋体" w:cs="宋体"/>
          <w:b/>
          <w:bCs/>
          <w:color w:val="000000" w:themeColor="text1"/>
          <w:sz w:val="21"/>
          <w14:textFill>
            <w14:solidFill>
              <w14:schemeClr w14:val="tx1"/>
            </w14:solidFill>
          </w14:textFill>
        </w:rPr>
      </w:pPr>
      <w:r>
        <w:rPr>
          <w:rFonts w:hint="eastAsia" w:hAnsi="宋体" w:cs="宋体"/>
          <w:b/>
          <w:bCs/>
          <w:color w:val="000000" w:themeColor="text1"/>
          <w:sz w:val="21"/>
          <w14:textFill>
            <w14:solidFill>
              <w14:schemeClr w14:val="tx1"/>
            </w14:solidFill>
          </w14:textFill>
        </w:rPr>
        <w:t>项目一览表</w:t>
      </w:r>
    </w:p>
    <w:tbl>
      <w:tblPr>
        <w:tblStyle w:val="23"/>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563"/>
        <w:gridCol w:w="970"/>
        <w:gridCol w:w="2969"/>
        <w:gridCol w:w="20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04" w:type="pct"/>
            <w:tcBorders>
              <w:top w:val="single" w:color="auto" w:sz="12" w:space="0"/>
              <w:bottom w:val="single" w:color="auto" w:sz="2" w:space="0"/>
            </w:tcBorders>
            <w:shd w:val="clear" w:color="auto" w:fill="EEECE1"/>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采购内容</w:t>
            </w:r>
          </w:p>
        </w:tc>
        <w:tc>
          <w:tcPr>
            <w:tcW w:w="569" w:type="pct"/>
            <w:tcBorders>
              <w:top w:val="single" w:color="auto" w:sz="12" w:space="0"/>
              <w:bottom w:val="single" w:color="auto" w:sz="2" w:space="0"/>
            </w:tcBorders>
            <w:shd w:val="clear" w:color="auto" w:fill="EEECE1"/>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数量</w:t>
            </w:r>
          </w:p>
        </w:tc>
        <w:tc>
          <w:tcPr>
            <w:tcW w:w="1742" w:type="pct"/>
            <w:tcBorders>
              <w:top w:val="single" w:color="auto" w:sz="12" w:space="0"/>
              <w:bottom w:val="single" w:color="auto" w:sz="2" w:space="0"/>
            </w:tcBorders>
            <w:shd w:val="clear" w:color="auto" w:fill="EEECE1"/>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rPr>
              <w:t>服务期</w:t>
            </w:r>
          </w:p>
        </w:tc>
        <w:tc>
          <w:tcPr>
            <w:tcW w:w="1183" w:type="pct"/>
            <w:tcBorders>
              <w:top w:val="single" w:color="auto" w:sz="12" w:space="0"/>
              <w:bottom w:val="single" w:color="auto" w:sz="2" w:space="0"/>
            </w:tcBorders>
            <w:shd w:val="clear" w:color="auto" w:fill="EEECE1"/>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000000" w:themeColor="text1"/>
                <w:szCs w:val="2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最高限价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04" w:type="pct"/>
            <w:tcBorders>
              <w:top w:val="single" w:color="auto" w:sz="2" w:space="0"/>
              <w:bottom w:val="single" w:color="auto" w:sz="2"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沙溪镇中心幼儿园房屋安全鉴定服务采购</w:t>
            </w:r>
          </w:p>
        </w:tc>
        <w:tc>
          <w:tcPr>
            <w:tcW w:w="569" w:type="pct"/>
            <w:tcBorders>
              <w:top w:val="single" w:color="auto" w:sz="2" w:space="0"/>
              <w:bottom w:val="single" w:color="auto" w:sz="2"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1项</w:t>
            </w:r>
          </w:p>
        </w:tc>
        <w:tc>
          <w:tcPr>
            <w:tcW w:w="1742" w:type="pct"/>
            <w:tcBorders>
              <w:top w:val="single" w:color="auto" w:sz="2" w:space="0"/>
              <w:bottom w:val="single" w:color="auto" w:sz="2"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自接到所对应的工程质量鉴定项目之日起15个日历天内（含出鉴定报告的时间），具体时间安排以对采购人通知为准</w:t>
            </w:r>
          </w:p>
        </w:tc>
        <w:tc>
          <w:tcPr>
            <w:tcW w:w="1183" w:type="pct"/>
            <w:tcBorders>
              <w:top w:val="single" w:color="auto" w:sz="2" w:space="0"/>
              <w:bottom w:val="single" w:color="auto" w:sz="2"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人民币</w:t>
            </w:r>
            <w:r>
              <w:rPr>
                <w:rFonts w:hint="eastAsia" w:ascii="宋体" w:hAnsi="宋体" w:eastAsia="宋体" w:cs="宋体"/>
                <w:color w:val="000000" w:themeColor="text1"/>
                <w:szCs w:val="21"/>
                <w:u w:val="single"/>
                <w14:textFill>
                  <w14:solidFill>
                    <w14:schemeClr w14:val="tx1"/>
                  </w14:solidFill>
                </w14:textFill>
              </w:rPr>
              <w:t>9276.3</w:t>
            </w:r>
            <w:r>
              <w:rPr>
                <w:rFonts w:hint="eastAsia" w:ascii="宋体" w:hAnsi="宋体" w:eastAsia="宋体" w:cs="宋体"/>
                <w:color w:val="000000" w:themeColor="text1"/>
                <w:szCs w:val="21"/>
                <w14:textFill>
                  <w14:solidFill>
                    <w14:schemeClr w14:val="tx1"/>
                  </w14:solidFill>
                </w14:textFill>
              </w:rPr>
              <w:t>元</w:t>
            </w:r>
          </w:p>
        </w:tc>
      </w:tr>
    </w:tbl>
    <w:p>
      <w:pPr>
        <w:pStyle w:val="10"/>
        <w:numPr>
          <w:ilvl w:val="0"/>
          <w:numId w:val="12"/>
        </w:numPr>
        <w:tabs>
          <w:tab w:val="left" w:pos="540"/>
        </w:tabs>
        <w:adjustRightInd w:val="0"/>
        <w:snapToGrid w:val="0"/>
        <w:spacing w:line="360" w:lineRule="auto"/>
        <w:rPr>
          <w:rFonts w:hint="eastAsia" w:ascii="宋体" w:hAnsi="宋体" w:eastAsia="宋体" w:cs="宋体"/>
          <w:b/>
          <w:bCs/>
          <w:color w:val="000000" w:themeColor="text1"/>
          <w:sz w:val="21"/>
          <w14:textFill>
            <w14:solidFill>
              <w14:schemeClr w14:val="tx1"/>
            </w14:solidFill>
          </w14:textFill>
        </w:rPr>
      </w:pPr>
      <w:r>
        <w:rPr>
          <w:rFonts w:hint="eastAsia" w:ascii="宋体" w:hAnsi="宋体" w:eastAsia="宋体" w:cs="宋体"/>
          <w:b/>
          <w:bCs/>
          <w:color w:val="000000" w:themeColor="text1"/>
          <w:sz w:val="21"/>
          <w14:textFill>
            <w14:solidFill>
              <w14:schemeClr w14:val="tx1"/>
            </w14:solidFill>
          </w14:textFill>
        </w:rPr>
        <w:t>项目概况</w:t>
      </w:r>
    </w:p>
    <w:p>
      <w:pPr>
        <w:snapToGrid w:val="0"/>
        <w:spacing w:before="50" w:line="360" w:lineRule="auto"/>
        <w:ind w:firstLine="420"/>
        <w:rPr>
          <w:rFonts w:ascii="宋体" w:hAnsi="宋体"/>
        </w:rPr>
      </w:pPr>
      <w:r>
        <w:rPr>
          <w:rFonts w:hint="eastAsia" w:ascii="宋体" w:hAnsi="宋体"/>
        </w:rPr>
        <w:t>1、项目检测鉴定地点：</w:t>
      </w:r>
      <w:r>
        <w:rPr>
          <w:rFonts w:hint="eastAsia" w:ascii="宋体" w:hAnsi="宋体"/>
          <w:u w:val="single"/>
          <w:lang w:eastAsia="zh-CN"/>
        </w:rPr>
        <w:t>中山市沙溪镇宝珠中路</w:t>
      </w:r>
      <w:r>
        <w:rPr>
          <w:rFonts w:hint="eastAsia" w:ascii="宋体" w:hAnsi="宋体"/>
          <w:u w:val="single"/>
          <w:lang w:val="en-US" w:eastAsia="zh-CN"/>
        </w:rPr>
        <w:t>5号</w:t>
      </w:r>
      <w:r>
        <w:rPr>
          <w:rFonts w:hint="eastAsia" w:ascii="宋体" w:hAnsi="宋体"/>
        </w:rPr>
        <w:t>；</w:t>
      </w:r>
    </w:p>
    <w:p>
      <w:pPr>
        <w:snapToGrid w:val="0"/>
        <w:spacing w:before="50" w:line="360" w:lineRule="auto"/>
        <w:ind w:firstLine="420"/>
        <w:rPr>
          <w:rFonts w:ascii="宋体" w:hAnsi="宋体"/>
        </w:rPr>
      </w:pPr>
      <w:r>
        <w:rPr>
          <w:rFonts w:hint="eastAsia" w:ascii="宋体" w:hAnsi="宋体"/>
        </w:rPr>
        <w:t>2、鉴定面积：建筑面积为</w:t>
      </w:r>
      <w:r>
        <w:rPr>
          <w:rFonts w:hint="eastAsia" w:ascii="宋体" w:hAnsi="宋体"/>
          <w:u w:val="single"/>
          <w:lang w:val="en-US" w:eastAsia="zh-CN"/>
        </w:rPr>
        <w:t>10307</w:t>
      </w:r>
      <w:r>
        <w:rPr>
          <w:rFonts w:hint="eastAsia" w:ascii="宋体" w:hAnsi="宋体"/>
          <w:u w:val="single"/>
        </w:rPr>
        <w:t xml:space="preserve"> </w:t>
      </w:r>
      <w:r>
        <w:rPr>
          <w:rFonts w:hint="eastAsia" w:ascii="宋体" w:hAnsi="宋体"/>
        </w:rPr>
        <w:t>平方</w:t>
      </w:r>
      <w:r>
        <w:rPr>
          <w:rFonts w:hint="eastAsia" w:ascii="宋体" w:hAnsi="宋体"/>
          <w:u w:val="none"/>
        </w:rPr>
        <w:t>米；</w:t>
      </w:r>
    </w:p>
    <w:p>
      <w:pPr>
        <w:snapToGrid w:val="0"/>
        <w:spacing w:before="50" w:line="360" w:lineRule="auto"/>
        <w:ind w:firstLine="420"/>
        <w:rPr>
          <w:rFonts w:ascii="宋体" w:hAnsi="宋体"/>
        </w:rPr>
      </w:pPr>
      <w:r>
        <w:rPr>
          <w:rFonts w:hint="eastAsia" w:ascii="宋体" w:hAnsi="宋体"/>
        </w:rPr>
        <w:t>3、</w:t>
      </w:r>
      <w:r>
        <w:rPr>
          <w:rFonts w:hint="eastAsia" w:ascii="宋体" w:hAnsi="宋体"/>
          <w:bCs/>
        </w:rPr>
        <w:t>结构类型：</w:t>
      </w:r>
      <w:r>
        <w:rPr>
          <w:rFonts w:hint="eastAsia" w:ascii="宋体" w:hAnsi="宋体"/>
          <w:bCs/>
          <w:u w:val="single"/>
        </w:rPr>
        <w:t>砖混</w:t>
      </w:r>
      <w:r>
        <w:rPr>
          <w:rFonts w:hint="eastAsia" w:ascii="宋体" w:hAnsi="宋体"/>
          <w:u w:val="single"/>
        </w:rPr>
        <w:t>结构；</w:t>
      </w:r>
    </w:p>
    <w:p>
      <w:pPr>
        <w:snapToGrid w:val="0"/>
        <w:spacing w:before="50" w:line="360" w:lineRule="auto"/>
        <w:ind w:firstLine="420"/>
        <w:rPr>
          <w:rFonts w:ascii="宋体" w:hAnsi="宋体"/>
          <w:u w:val="single"/>
        </w:rPr>
      </w:pPr>
      <w:r>
        <w:rPr>
          <w:rFonts w:hint="eastAsia" w:ascii="宋体" w:hAnsi="宋体"/>
        </w:rPr>
        <w:t>4、用途：</w:t>
      </w:r>
      <w:r>
        <w:rPr>
          <w:rFonts w:hint="eastAsia" w:ascii="宋体" w:hAnsi="宋体"/>
          <w:u w:val="single"/>
          <w:lang w:eastAsia="zh-CN"/>
        </w:rPr>
        <w:t>幼儿园</w:t>
      </w:r>
      <w:r>
        <w:rPr>
          <w:rFonts w:hint="eastAsia" w:ascii="宋体" w:hAnsi="宋体"/>
          <w:u w:val="single"/>
        </w:rPr>
        <w:t>；</w:t>
      </w:r>
    </w:p>
    <w:p>
      <w:pPr>
        <w:snapToGrid w:val="0"/>
        <w:spacing w:before="50" w:line="360" w:lineRule="auto"/>
        <w:ind w:firstLine="420"/>
        <w:rPr>
          <w:rFonts w:ascii="宋体" w:hAnsi="宋体"/>
        </w:rPr>
      </w:pPr>
      <w:r>
        <w:rPr>
          <w:rFonts w:hint="eastAsia" w:ascii="宋体" w:hAnsi="宋体"/>
        </w:rPr>
        <w:t>5、预算</w:t>
      </w:r>
      <w:r>
        <w:rPr>
          <w:rFonts w:hint="eastAsia" w:ascii="宋体" w:hAnsi="宋体"/>
          <w:u w:val="single"/>
        </w:rPr>
        <w:t>：人民币</w:t>
      </w:r>
      <w:r>
        <w:rPr>
          <w:rFonts w:hint="eastAsia" w:ascii="宋体" w:hAnsi="宋体" w:eastAsia="宋体" w:cs="宋体"/>
          <w:sz w:val="21"/>
          <w:szCs w:val="21"/>
          <w:u w:val="single"/>
          <w:lang w:val="en-US" w:eastAsia="zh-CN"/>
        </w:rPr>
        <w:t>9276.3</w:t>
      </w:r>
      <w:r>
        <w:rPr>
          <w:rFonts w:hint="eastAsia" w:ascii="宋体" w:hAnsi="宋体"/>
          <w:u w:val="single"/>
        </w:rPr>
        <w:t>万元；</w:t>
      </w:r>
    </w:p>
    <w:p>
      <w:pPr>
        <w:snapToGrid w:val="0"/>
        <w:spacing w:before="50" w:line="360" w:lineRule="auto"/>
        <w:ind w:firstLine="420"/>
        <w:rPr>
          <w:rFonts w:ascii="宋体" w:hAnsi="宋体"/>
        </w:rPr>
      </w:pPr>
      <w:r>
        <w:rPr>
          <w:rFonts w:hint="eastAsia" w:ascii="宋体" w:hAnsi="宋体"/>
        </w:rPr>
        <w:t>6鉴定目的：</w:t>
      </w:r>
      <w:r>
        <w:rPr>
          <w:rFonts w:ascii="宋体" w:hAnsi="宋体"/>
        </w:rPr>
        <w:t>根据国家有关法律、法规和工程建设强制性标准，</w:t>
      </w:r>
      <w:r>
        <w:rPr>
          <w:rFonts w:hint="eastAsia" w:ascii="宋体" w:hAnsi="宋体"/>
        </w:rPr>
        <w:t>对房屋质量进行安全（危险性）鉴定；</w:t>
      </w:r>
    </w:p>
    <w:p>
      <w:pPr>
        <w:snapToGrid w:val="0"/>
        <w:spacing w:before="50" w:line="360" w:lineRule="auto"/>
        <w:ind w:firstLine="420"/>
        <w:rPr>
          <w:rFonts w:ascii="宋体" w:hAnsi="宋体"/>
        </w:rPr>
      </w:pPr>
      <w:r>
        <w:rPr>
          <w:rFonts w:hint="eastAsia" w:ascii="宋体" w:hAnsi="宋体"/>
        </w:rPr>
        <w:t>7、针对本工程检测鉴定项目内容：资料调查、现场勘查：①、房屋地基基础的基本情况检查；②、检查建筑物上部结构（包括承重结构、围护结构和连系结构）所采用的结构形式及其所用材料；③、检查构件及其连接工作情况，以及构件变形和裂缝分布情况）、混凝土强度检测及钢筋探查、结构分析验算、根据《民用建筑可靠性鉴定标准》（GB50292-2015）《危险房屋鉴定标准》（JGJ 125-2016）要求，对房屋安全质量进行综合分析，评定房屋安全（危险性）等级，对存在的质量安全问题提出处理意见，编写房屋安全（危险性）鉴定报告。</w:t>
      </w:r>
    </w:p>
    <w:p>
      <w:pPr>
        <w:snapToGrid w:val="0"/>
        <w:spacing w:before="50" w:line="360" w:lineRule="auto"/>
        <w:ind w:firstLine="420"/>
        <w:rPr>
          <w:rFonts w:hint="eastAsia" w:ascii="宋体" w:hAnsi="宋体"/>
        </w:rPr>
      </w:pPr>
      <w:r>
        <w:rPr>
          <w:rFonts w:hint="eastAsia" w:ascii="宋体" w:hAnsi="宋体"/>
        </w:rPr>
        <w:t>8. 服务依据：《</w:t>
      </w:r>
      <w:r>
        <w:rPr>
          <w:rFonts w:hint="eastAsia" w:ascii="宋体" w:hAnsi="宋体"/>
          <w:lang w:eastAsia="zh-CN"/>
        </w:rPr>
        <w:t>中山</w:t>
      </w:r>
      <w:r>
        <w:rPr>
          <w:rFonts w:hint="eastAsia" w:ascii="宋体" w:hAnsi="宋体"/>
        </w:rPr>
        <w:t>市房屋安全管理规定》（</w:t>
      </w:r>
      <w:r>
        <w:rPr>
          <w:rFonts w:hint="eastAsia" w:ascii="宋体" w:hAnsi="宋体"/>
          <w:lang w:eastAsia="zh-CN"/>
        </w:rPr>
        <w:t>中山</w:t>
      </w:r>
      <w:r>
        <w:rPr>
          <w:rFonts w:hint="eastAsia" w:ascii="宋体" w:hAnsi="宋体"/>
        </w:rPr>
        <w:t>市政府2012年83号令）、《房屋完损等级评定标准》（城住字[84]第678号）、《建筑变形测量规范》（JGJ8-2016）、《城市危险房屋管理规定》（建设部令2004年第129号）、《民用建筑可靠性鉴定标准》（GB50292-2015）、《危险房屋鉴定标准》（JGJ 125-2016）等。</w:t>
      </w:r>
    </w:p>
    <w:p>
      <w:pPr>
        <w:pStyle w:val="10"/>
        <w:numPr>
          <w:ilvl w:val="0"/>
          <w:numId w:val="12"/>
        </w:numPr>
        <w:tabs>
          <w:tab w:val="left" w:pos="540"/>
        </w:tabs>
        <w:adjustRightInd w:val="0"/>
        <w:snapToGrid w:val="0"/>
        <w:spacing w:line="360" w:lineRule="auto"/>
        <w:rPr>
          <w:rFonts w:ascii="宋体" w:hAnsi="宋体"/>
          <w:b/>
          <w:bCs/>
          <w:color w:val="000000"/>
          <w:szCs w:val="21"/>
        </w:rPr>
      </w:pPr>
      <w:r>
        <w:rPr>
          <w:rFonts w:hint="eastAsia" w:ascii="宋体" w:hAnsi="宋体" w:eastAsia="宋体" w:cs="宋体"/>
          <w:b/>
          <w:bCs/>
          <w:color w:val="000000" w:themeColor="text1"/>
          <w:sz w:val="21"/>
          <w14:textFill>
            <w14:solidFill>
              <w14:schemeClr w14:val="tx1"/>
            </w14:solidFill>
          </w14:textFill>
        </w:rPr>
        <w:t>其他</w:t>
      </w:r>
      <w:r>
        <w:rPr>
          <w:rFonts w:hint="eastAsia" w:ascii="宋体" w:hAnsi="宋体"/>
          <w:b/>
          <w:bCs/>
          <w:color w:val="000000"/>
          <w:szCs w:val="21"/>
        </w:rPr>
        <w:t>要求</w:t>
      </w:r>
    </w:p>
    <w:p>
      <w:pPr>
        <w:snapToGrid w:val="0"/>
        <w:spacing w:before="50" w:line="360" w:lineRule="auto"/>
        <w:ind w:firstLine="420"/>
        <w:rPr>
          <w:rFonts w:ascii="宋体" w:hAnsi="宋体"/>
        </w:rPr>
      </w:pPr>
      <w:r>
        <w:rPr>
          <w:rFonts w:hint="eastAsia" w:ascii="宋体" w:hAnsi="宋体"/>
        </w:rPr>
        <w:t>1.</w:t>
      </w:r>
      <w:r>
        <w:rPr>
          <w:rFonts w:ascii="宋体" w:hAnsi="宋体"/>
        </w:rPr>
        <w:t>检测报告交付时间：自接到所对应的工程质量</w:t>
      </w:r>
      <w:r>
        <w:rPr>
          <w:rFonts w:hint="eastAsia" w:ascii="宋体" w:hAnsi="宋体"/>
        </w:rPr>
        <w:t>鉴定</w:t>
      </w:r>
      <w:r>
        <w:rPr>
          <w:rFonts w:ascii="宋体" w:hAnsi="宋体"/>
        </w:rPr>
        <w:t>项目之日起</w:t>
      </w:r>
      <w:r>
        <w:rPr>
          <w:rFonts w:hint="eastAsia" w:ascii="宋体" w:hAnsi="宋体"/>
        </w:rPr>
        <w:t>15</w:t>
      </w:r>
      <w:r>
        <w:rPr>
          <w:rFonts w:ascii="宋体" w:hAnsi="宋体"/>
        </w:rPr>
        <w:t>个日历天内（含出</w:t>
      </w:r>
      <w:r>
        <w:rPr>
          <w:rFonts w:hint="eastAsia" w:ascii="宋体" w:hAnsi="宋体"/>
        </w:rPr>
        <w:t>鉴定</w:t>
      </w:r>
      <w:r>
        <w:rPr>
          <w:rFonts w:ascii="宋体" w:hAnsi="宋体"/>
        </w:rPr>
        <w:t>报告的时间），具体时间安排以对</w:t>
      </w:r>
      <w:r>
        <w:rPr>
          <w:rFonts w:hint="eastAsia" w:ascii="宋体" w:hAnsi="宋体"/>
        </w:rPr>
        <w:t>业主</w:t>
      </w:r>
      <w:r>
        <w:rPr>
          <w:rFonts w:ascii="宋体" w:hAnsi="宋体"/>
        </w:rPr>
        <w:t>通知为准。</w:t>
      </w:r>
    </w:p>
    <w:p>
      <w:pPr>
        <w:snapToGrid w:val="0"/>
        <w:spacing w:before="50" w:line="360" w:lineRule="auto"/>
        <w:ind w:firstLine="420"/>
        <w:rPr>
          <w:rFonts w:ascii="宋体" w:hAnsi="宋体"/>
        </w:rPr>
      </w:pPr>
      <w:r>
        <w:rPr>
          <w:rFonts w:hint="eastAsia" w:ascii="宋体" w:hAnsi="宋体"/>
        </w:rPr>
        <w:t>2.</w:t>
      </w:r>
      <w:r>
        <w:rPr>
          <w:rFonts w:hint="eastAsia" w:ascii="宋体" w:hAnsi="宋体"/>
          <w:lang w:eastAsia="zh-CN"/>
        </w:rPr>
        <w:t>响应供应商</w:t>
      </w:r>
      <w:r>
        <w:rPr>
          <w:rFonts w:ascii="宋体" w:hAnsi="宋体"/>
        </w:rPr>
        <w:t>于响应文件中必须提供针对本项目的项目</w:t>
      </w:r>
      <w:r>
        <w:rPr>
          <w:rFonts w:hint="eastAsia" w:ascii="宋体" w:hAnsi="宋体"/>
        </w:rPr>
        <w:t>工程检测鉴定大纲【该项目工程检测鉴定大纲至少包含以下几点内容：①检测鉴定方案（至少包含项目概述、总体检测方案等内容）；②重点难点分析方案（至少包含对本项目的重点难点认识及分析，工作方案，合理化建议等方面内容）。</w:t>
      </w:r>
    </w:p>
    <w:p>
      <w:pPr>
        <w:snapToGrid w:val="0"/>
        <w:spacing w:before="50" w:line="360" w:lineRule="auto"/>
        <w:ind w:firstLine="420"/>
        <w:rPr>
          <w:rFonts w:ascii="宋体" w:hAnsi="宋体"/>
        </w:rPr>
      </w:pPr>
      <w:r>
        <w:rPr>
          <w:rFonts w:hint="eastAsia" w:ascii="宋体" w:hAnsi="宋体"/>
        </w:rPr>
        <w:t>3.</w:t>
      </w:r>
      <w:r>
        <w:rPr>
          <w:rFonts w:hint="eastAsia" w:ascii="宋体" w:hAnsi="宋体"/>
          <w:lang w:eastAsia="zh-CN"/>
        </w:rPr>
        <w:t>响应供应商</w:t>
      </w:r>
      <w:r>
        <w:rPr>
          <w:rFonts w:ascii="宋体" w:hAnsi="宋体"/>
        </w:rPr>
        <w:t>于响应文件中必须提供针对本项目的服务承诺书（含服务期、检测</w:t>
      </w:r>
      <w:r>
        <w:rPr>
          <w:rFonts w:hint="eastAsia" w:ascii="宋体" w:hAnsi="宋体"/>
        </w:rPr>
        <w:t>鉴定</w:t>
      </w:r>
      <w:r>
        <w:rPr>
          <w:rFonts w:ascii="宋体" w:hAnsi="宋体"/>
        </w:rPr>
        <w:t>报告交付时间、服务措施方案等内容。</w:t>
      </w:r>
    </w:p>
    <w:p>
      <w:pPr>
        <w:snapToGrid w:val="0"/>
        <w:spacing w:before="50" w:line="360" w:lineRule="auto"/>
        <w:ind w:firstLine="420"/>
        <w:rPr>
          <w:rFonts w:ascii="宋体" w:hAnsi="宋体"/>
        </w:rPr>
      </w:pPr>
      <w:r>
        <w:rPr>
          <w:rFonts w:hint="eastAsia" w:ascii="宋体" w:hAnsi="宋体"/>
        </w:rPr>
        <w:t>4.</w:t>
      </w:r>
      <w:r>
        <w:rPr>
          <w:rFonts w:ascii="宋体" w:hAnsi="宋体"/>
        </w:rPr>
        <w:t>验收要求：</w:t>
      </w:r>
      <w:r>
        <w:rPr>
          <w:rFonts w:hint="eastAsia" w:ascii="宋体" w:hAnsi="宋体"/>
        </w:rPr>
        <w:t>提交正式完整的检测鉴定报告（含处理意见）。</w:t>
      </w:r>
    </w:p>
    <w:p>
      <w:pPr>
        <w:pStyle w:val="10"/>
        <w:numPr>
          <w:ilvl w:val="0"/>
          <w:numId w:val="12"/>
        </w:numPr>
        <w:tabs>
          <w:tab w:val="left" w:pos="540"/>
        </w:tabs>
        <w:adjustRightInd w:val="0"/>
        <w:snapToGrid w:val="0"/>
        <w:spacing w:line="360" w:lineRule="auto"/>
        <w:rPr>
          <w:rFonts w:ascii="宋体" w:hAnsi="宋体" w:cs="宋体"/>
          <w:b/>
          <w:bCs/>
          <w:color w:val="000000"/>
          <w:kern w:val="0"/>
          <w:szCs w:val="21"/>
        </w:rPr>
      </w:pPr>
      <w:r>
        <w:rPr>
          <w:rFonts w:hint="eastAsia" w:ascii="宋体" w:hAnsi="宋体" w:cs="宋体"/>
          <w:b/>
          <w:bCs/>
          <w:color w:val="000000"/>
          <w:kern w:val="0"/>
          <w:szCs w:val="21"/>
        </w:rPr>
        <w:t>付款方式</w:t>
      </w:r>
    </w:p>
    <w:p>
      <w:pPr>
        <w:snapToGrid w:val="0"/>
        <w:spacing w:before="50" w:line="360" w:lineRule="auto"/>
        <w:rPr>
          <w:rFonts w:hint="eastAsia" w:ascii="宋体" w:hAnsi="宋体"/>
        </w:rPr>
      </w:pPr>
      <w:r>
        <w:rPr>
          <w:rFonts w:ascii="宋体" w:hAnsi="宋体"/>
        </w:rPr>
        <w:t>进度款：</w:t>
      </w:r>
      <w:r>
        <w:rPr>
          <w:rFonts w:hint="eastAsia" w:ascii="宋体" w:hAnsi="宋体"/>
          <w:u w:val="single"/>
        </w:rPr>
        <w:t>检测费在收到检测鉴定报告后</w:t>
      </w:r>
      <w:r>
        <w:rPr>
          <w:rFonts w:hint="eastAsia" w:ascii="宋体" w:hAnsi="宋体"/>
          <w:u w:val="single"/>
          <w:lang w:val="en-US" w:eastAsia="zh-CN"/>
        </w:rPr>
        <w:t>30</w:t>
      </w:r>
      <w:r>
        <w:rPr>
          <w:rFonts w:hint="eastAsia" w:ascii="宋体" w:hAnsi="宋体"/>
          <w:u w:val="single"/>
        </w:rPr>
        <w:t xml:space="preserve">个工作日内一次性付清。 </w:t>
      </w:r>
      <w:r>
        <w:rPr>
          <w:rFonts w:ascii="宋体" w:hAnsi="宋体"/>
        </w:rPr>
        <w:t xml:space="preserve"> </w:t>
      </w:r>
    </w:p>
    <w:p>
      <w:pPr>
        <w:pStyle w:val="10"/>
        <w:numPr>
          <w:ilvl w:val="0"/>
          <w:numId w:val="12"/>
        </w:numPr>
        <w:tabs>
          <w:tab w:val="left" w:pos="540"/>
        </w:tabs>
        <w:adjustRightInd w:val="0"/>
        <w:snapToGrid w:val="0"/>
        <w:spacing w:line="360" w:lineRule="auto"/>
        <w:rPr>
          <w:rFonts w:ascii="宋体" w:hAnsi="宋体" w:cs="宋体"/>
          <w:b/>
          <w:bCs/>
          <w:color w:val="000000"/>
          <w:kern w:val="0"/>
          <w:szCs w:val="21"/>
        </w:rPr>
      </w:pPr>
      <w:r>
        <w:rPr>
          <w:rFonts w:hint="eastAsia" w:ascii="宋体" w:hAnsi="宋体" w:cs="宋体"/>
          <w:b/>
          <w:bCs/>
          <w:color w:val="000000"/>
          <w:kern w:val="0"/>
          <w:szCs w:val="21"/>
        </w:rPr>
        <w:t>承包方式</w:t>
      </w:r>
    </w:p>
    <w:p>
      <w:pPr>
        <w:numPr>
          <w:ilvl w:val="0"/>
          <w:numId w:val="13"/>
        </w:numPr>
        <w:adjustRightInd w:val="0"/>
        <w:snapToGrid w:val="0"/>
        <w:spacing w:before="50" w:line="360" w:lineRule="auto"/>
        <w:rPr>
          <w:rFonts w:ascii="宋体" w:hAnsi="宋体" w:cs="宋体"/>
        </w:rPr>
      </w:pPr>
      <w:r>
        <w:rPr>
          <w:rFonts w:hint="eastAsia" w:ascii="宋体" w:hAnsi="宋体"/>
          <w:color w:val="0D0D0D"/>
          <w:kern w:val="0"/>
          <w:szCs w:val="21"/>
        </w:rPr>
        <w:t>本项目按照总价包干方式，成交供应商在合同价格中须充分理解本项目中的全部任务</w:t>
      </w:r>
      <w:r>
        <w:rPr>
          <w:rFonts w:hint="eastAsia" w:ascii="宋体" w:hAnsi="宋体" w:cs="宋体"/>
        </w:rPr>
        <w:t>，供应商所投价格须包工、包料、包质量、包工期、包安全、包文明施工、包税金规费等。符合《</w:t>
      </w:r>
      <w:r>
        <w:rPr>
          <w:rFonts w:hint="eastAsia" w:ascii="宋体" w:hAnsi="宋体" w:cs="宋体"/>
          <w:lang w:eastAsia="zh-CN"/>
        </w:rPr>
        <w:t>中山</w:t>
      </w:r>
      <w:r>
        <w:rPr>
          <w:rFonts w:hint="eastAsia" w:ascii="宋体" w:hAnsi="宋体" w:cs="宋体"/>
        </w:rPr>
        <w:t>市房屋安全管理规定》</w:t>
      </w:r>
      <w:r>
        <w:rPr>
          <w:rFonts w:hint="eastAsia" w:ascii="宋体" w:hAnsi="宋体" w:cs="宋体"/>
          <w:lang w:eastAsia="zh-CN"/>
        </w:rPr>
        <w:t>、</w:t>
      </w:r>
      <w:r>
        <w:rPr>
          <w:rFonts w:hint="eastAsia" w:ascii="宋体" w:hAnsi="宋体" w:cs="宋体"/>
        </w:rPr>
        <w:t>《</w:t>
      </w:r>
      <w:r>
        <w:rPr>
          <w:rFonts w:hint="eastAsia" w:ascii="宋体" w:hAnsi="宋体" w:cs="宋体"/>
          <w:lang w:eastAsia="zh-CN"/>
        </w:rPr>
        <w:t>中山</w:t>
      </w:r>
      <w:r>
        <w:rPr>
          <w:rFonts w:hint="eastAsia" w:ascii="宋体" w:hAnsi="宋体" w:cs="宋体"/>
        </w:rPr>
        <w:t>市房屋安全管理规定实施细则》及国家相关规范。</w:t>
      </w:r>
    </w:p>
    <w:p>
      <w:pPr>
        <w:spacing w:line="360" w:lineRule="auto"/>
        <w:jc w:val="both"/>
      </w:pPr>
    </w:p>
    <w:p>
      <w:pPr>
        <w:snapToGrid w:val="0"/>
        <w:spacing w:line="360" w:lineRule="auto"/>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br w:type="page"/>
      </w:r>
    </w:p>
    <w:p>
      <w:pPr>
        <w:pStyle w:val="19"/>
        <w:spacing w:before="0" w:after="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第三章 报价附件</w:t>
      </w:r>
    </w:p>
    <w:p>
      <w:pPr>
        <w:pStyle w:val="3"/>
        <w:spacing w:before="0" w:after="0"/>
        <w:jc w:val="center"/>
        <w:rPr>
          <w:rFonts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报 价 表</w:t>
      </w:r>
    </w:p>
    <w:tbl>
      <w:tblPr>
        <w:tblStyle w:val="23"/>
        <w:tblW w:w="9092"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2158"/>
        <w:gridCol w:w="1065"/>
        <w:gridCol w:w="2300"/>
        <w:gridCol w:w="1877"/>
        <w:gridCol w:w="169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62" w:hRule="atLeast"/>
          <w:jc w:val="center"/>
        </w:trPr>
        <w:tc>
          <w:tcPr>
            <w:tcW w:w="2158" w:type="dxa"/>
            <w:tcBorders>
              <w:tl2br w:val="nil"/>
              <w:tr2bl w:val="nil"/>
            </w:tcBorders>
            <w:shd w:val="clear" w:color="auto" w:fill="auto"/>
            <w:vAlign w:val="center"/>
          </w:tcPr>
          <w:p>
            <w:pPr>
              <w:keepNext w:val="0"/>
              <w:keepLines w:val="0"/>
              <w:suppressLineNumbers w:val="0"/>
              <w:shd w:val="clear" w:color="auto" w:fill="FFFFFF"/>
              <w:snapToGrid w:val="0"/>
              <w:spacing w:before="0" w:beforeAutospacing="0" w:after="0" w:afterAutospacing="0"/>
              <w:ind w:left="0" w:right="0"/>
              <w:jc w:val="center"/>
              <w:rPr>
                <w:rFonts w:hint="default" w:ascii="宋体" w:hAnsi="宋体" w:eastAsia="宋体" w:cs="宋体"/>
                <w:b/>
                <w:szCs w:val="24"/>
                <w:shd w:val="clear" w:color="auto" w:fill="FFFFFF"/>
              </w:rPr>
            </w:pPr>
            <w:r>
              <w:rPr>
                <w:rFonts w:hint="eastAsia" w:ascii="宋体" w:hAnsi="宋体" w:eastAsia="宋体" w:cs="宋体"/>
                <w:b/>
                <w:szCs w:val="24"/>
                <w:shd w:val="clear" w:color="auto" w:fill="FFFFFF"/>
              </w:rPr>
              <w:t>采购内容</w:t>
            </w:r>
          </w:p>
        </w:tc>
        <w:tc>
          <w:tcPr>
            <w:tcW w:w="1065" w:type="dxa"/>
            <w:tcBorders>
              <w:tl2br w:val="nil"/>
              <w:tr2bl w:val="nil"/>
            </w:tcBorders>
            <w:shd w:val="clear" w:color="auto" w:fill="auto"/>
            <w:vAlign w:val="center"/>
          </w:tcPr>
          <w:p>
            <w:pPr>
              <w:keepNext w:val="0"/>
              <w:keepLines w:val="0"/>
              <w:suppressLineNumbers w:val="0"/>
              <w:shd w:val="clear" w:color="auto" w:fill="FFFFFF"/>
              <w:snapToGrid w:val="0"/>
              <w:spacing w:before="0" w:beforeAutospacing="0" w:after="0" w:afterAutospacing="0"/>
              <w:ind w:left="0" w:right="0"/>
              <w:jc w:val="center"/>
              <w:rPr>
                <w:rFonts w:hint="default" w:ascii="宋体" w:hAnsi="宋体" w:eastAsia="宋体" w:cs="宋体"/>
                <w:b/>
                <w:szCs w:val="24"/>
                <w:shd w:val="clear" w:color="auto" w:fill="FFFFFF"/>
                <w:lang w:bidi="ar"/>
              </w:rPr>
            </w:pPr>
            <w:r>
              <w:rPr>
                <w:rFonts w:hint="eastAsia" w:ascii="宋体" w:hAnsi="宋体" w:eastAsia="宋体" w:cs="宋体"/>
                <w:b/>
                <w:szCs w:val="24"/>
                <w:shd w:val="clear" w:color="auto" w:fill="FFFFFF"/>
                <w:lang w:bidi="ar"/>
              </w:rPr>
              <w:t>数量</w:t>
            </w:r>
          </w:p>
        </w:tc>
        <w:tc>
          <w:tcPr>
            <w:tcW w:w="2300" w:type="dxa"/>
            <w:tcBorders>
              <w:tl2br w:val="nil"/>
              <w:tr2bl w:val="nil"/>
            </w:tcBorders>
            <w:shd w:val="clear" w:color="auto" w:fill="auto"/>
            <w:vAlign w:val="center"/>
          </w:tcPr>
          <w:p>
            <w:pPr>
              <w:keepNext w:val="0"/>
              <w:keepLines w:val="0"/>
              <w:suppressLineNumbers w:val="0"/>
              <w:shd w:val="clear" w:color="auto" w:fill="FFFFFF"/>
              <w:snapToGrid w:val="0"/>
              <w:spacing w:before="0" w:beforeAutospacing="0" w:after="0" w:afterAutospacing="0"/>
              <w:ind w:left="0" w:right="0"/>
              <w:jc w:val="center"/>
              <w:rPr>
                <w:rFonts w:hint="default" w:ascii="宋体" w:hAnsi="宋体" w:eastAsia="宋体" w:cs="宋体"/>
                <w:b/>
                <w:szCs w:val="24"/>
                <w:shd w:val="clear" w:color="auto" w:fill="FFFFFF"/>
                <w:lang w:bidi="ar"/>
              </w:rPr>
            </w:pPr>
            <w:r>
              <w:rPr>
                <w:rFonts w:hint="eastAsia" w:ascii="宋体" w:hAnsi="宋体" w:eastAsia="宋体" w:cs="宋体"/>
                <w:b/>
                <w:szCs w:val="24"/>
                <w:shd w:val="clear" w:color="auto" w:fill="FFFFFF"/>
                <w:lang w:bidi="ar"/>
              </w:rPr>
              <w:t>服务期</w:t>
            </w:r>
          </w:p>
        </w:tc>
        <w:tc>
          <w:tcPr>
            <w:tcW w:w="1877" w:type="dxa"/>
            <w:tcBorders>
              <w:tl2br w:val="nil"/>
              <w:tr2bl w:val="nil"/>
            </w:tcBorders>
            <w:shd w:val="clear" w:color="auto" w:fill="auto"/>
            <w:vAlign w:val="center"/>
          </w:tcPr>
          <w:p>
            <w:pPr>
              <w:keepNext w:val="0"/>
              <w:keepLines w:val="0"/>
              <w:suppressLineNumbers w:val="0"/>
              <w:shd w:val="clear" w:color="auto" w:fill="FFFFFF"/>
              <w:snapToGrid w:val="0"/>
              <w:spacing w:before="0" w:beforeAutospacing="0" w:after="0" w:afterAutospacing="0"/>
              <w:ind w:left="0" w:right="0"/>
              <w:jc w:val="center"/>
              <w:rPr>
                <w:rFonts w:hint="default" w:ascii="宋体" w:hAnsi="宋体" w:eastAsia="宋体" w:cs="宋体"/>
                <w:b/>
                <w:szCs w:val="24"/>
                <w:shd w:val="clear" w:color="auto" w:fill="FFFFFF"/>
              </w:rPr>
            </w:pPr>
            <w:r>
              <w:rPr>
                <w:rFonts w:hint="eastAsia" w:ascii="宋体" w:hAnsi="宋体" w:eastAsia="宋体" w:cs="宋体"/>
                <w:b/>
                <w:szCs w:val="24"/>
                <w:shd w:val="clear" w:color="auto" w:fill="FFFFFF"/>
                <w:lang w:bidi="ar"/>
              </w:rPr>
              <w:t>报价（人民币 元）</w:t>
            </w:r>
          </w:p>
        </w:tc>
        <w:tc>
          <w:tcPr>
            <w:tcW w:w="1692" w:type="dxa"/>
            <w:tcBorders>
              <w:tl2br w:val="nil"/>
              <w:tr2bl w:val="nil"/>
            </w:tcBorders>
            <w:shd w:val="clear" w:color="auto" w:fill="auto"/>
            <w:vAlign w:val="center"/>
          </w:tcPr>
          <w:p>
            <w:pPr>
              <w:keepNext w:val="0"/>
              <w:keepLines w:val="0"/>
              <w:suppressLineNumbers w:val="0"/>
              <w:shd w:val="clear" w:color="auto" w:fill="FFFFFF"/>
              <w:snapToGrid w:val="0"/>
              <w:spacing w:before="0" w:beforeAutospacing="0" w:after="0" w:afterAutospacing="0"/>
              <w:ind w:left="0" w:right="0"/>
              <w:jc w:val="center"/>
              <w:rPr>
                <w:rFonts w:hint="default" w:ascii="宋体" w:hAnsi="宋体" w:eastAsia="宋体" w:cs="宋体"/>
                <w:b/>
                <w:szCs w:val="24"/>
                <w:shd w:val="clear" w:color="auto" w:fill="FFFFFF"/>
              </w:rPr>
            </w:pPr>
            <w:r>
              <w:rPr>
                <w:rFonts w:hint="eastAsia" w:ascii="宋体" w:hAnsi="宋体" w:eastAsia="宋体" w:cs="宋体"/>
                <w:b/>
                <w:szCs w:val="24"/>
                <w:shd w:val="clear" w:color="auto" w:fill="FFFFFF"/>
                <w:lang w:bidi="ar"/>
              </w:rPr>
              <w:t>备注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28" w:hRule="atLeast"/>
          <w:jc w:val="center"/>
        </w:trPr>
        <w:tc>
          <w:tcPr>
            <w:tcW w:w="2158" w:type="dxa"/>
            <w:tcBorders>
              <w:tl2br w:val="nil"/>
              <w:tr2bl w:val="nil"/>
            </w:tcBorders>
            <w:shd w:val="clear" w:color="auto" w:fill="auto"/>
            <w:vAlign w:val="center"/>
          </w:tcPr>
          <w:p>
            <w:pPr>
              <w:keepNext w:val="0"/>
              <w:keepLines w:val="0"/>
              <w:suppressLineNumbers w:val="0"/>
              <w:shd w:val="clear" w:color="auto" w:fill="FFFFFF"/>
              <w:spacing w:before="156" w:beforeAutospacing="0" w:after="156" w:afterAutospacing="0"/>
              <w:ind w:left="0" w:right="0"/>
              <w:jc w:val="center"/>
              <w:rPr>
                <w:rFonts w:hint="default" w:ascii="宋体" w:hAnsi="宋体" w:eastAsia="宋体" w:cs="宋体"/>
                <w:szCs w:val="24"/>
                <w:shd w:val="clear" w:color="auto" w:fill="FFFFFF"/>
              </w:rPr>
            </w:pPr>
            <w:r>
              <w:rPr>
                <w:rFonts w:hint="eastAsia" w:ascii="宋体" w:hAnsi="宋体" w:eastAsia="宋体" w:cs="宋体"/>
                <w:szCs w:val="24"/>
                <w:shd w:val="clear" w:color="auto" w:fill="FFFFFF"/>
                <w:lang w:bidi="ar"/>
              </w:rPr>
              <w:t>沙溪镇中心幼儿园房屋安全鉴定服务采购</w:t>
            </w:r>
          </w:p>
        </w:tc>
        <w:tc>
          <w:tcPr>
            <w:tcW w:w="1065" w:type="dxa"/>
            <w:tcBorders>
              <w:tl2br w:val="nil"/>
              <w:tr2bl w:val="nil"/>
            </w:tcBorders>
            <w:shd w:val="clear" w:color="auto" w:fill="auto"/>
            <w:vAlign w:val="center"/>
          </w:tcPr>
          <w:p>
            <w:pPr>
              <w:keepNext w:val="0"/>
              <w:keepLines w:val="0"/>
              <w:suppressLineNumbers w:val="0"/>
              <w:shd w:val="clear" w:color="auto" w:fill="FFFFFF"/>
              <w:spacing w:before="156" w:beforeAutospacing="0" w:after="156" w:afterAutospacing="0"/>
              <w:ind w:left="0" w:right="0"/>
              <w:jc w:val="center"/>
              <w:rPr>
                <w:rFonts w:hint="default" w:ascii="宋体" w:hAnsi="宋体" w:eastAsia="宋体" w:cs="宋体"/>
                <w:szCs w:val="24"/>
                <w:shd w:val="clear" w:color="auto" w:fill="FFFFFF"/>
              </w:rPr>
            </w:pPr>
            <w:r>
              <w:rPr>
                <w:rFonts w:hint="eastAsia" w:ascii="宋体" w:hAnsi="宋体" w:eastAsia="宋体" w:cs="宋体"/>
                <w:szCs w:val="24"/>
                <w:shd w:val="clear" w:color="auto" w:fill="FFFFFF"/>
              </w:rPr>
              <w:t>1项</w:t>
            </w:r>
          </w:p>
        </w:tc>
        <w:tc>
          <w:tcPr>
            <w:tcW w:w="2300" w:type="dxa"/>
            <w:tcBorders>
              <w:tl2br w:val="nil"/>
              <w:tr2bl w:val="nil"/>
            </w:tcBorders>
            <w:shd w:val="clear" w:color="auto" w:fill="auto"/>
            <w:vAlign w:val="center"/>
          </w:tcPr>
          <w:p>
            <w:pPr>
              <w:keepNext w:val="0"/>
              <w:keepLines w:val="0"/>
              <w:suppressLineNumbers w:val="0"/>
              <w:shd w:val="clear" w:color="auto" w:fill="FFFFFF"/>
              <w:spacing w:before="156" w:beforeAutospacing="0" w:after="156" w:afterAutospacing="0"/>
              <w:ind w:left="0" w:right="0"/>
              <w:jc w:val="center"/>
              <w:rPr>
                <w:rFonts w:hint="default" w:ascii="宋体" w:hAnsi="宋体" w:eastAsia="宋体" w:cs="宋体"/>
                <w:szCs w:val="24"/>
                <w:shd w:val="clear" w:color="auto" w:fill="FFFFFF"/>
              </w:rPr>
            </w:pPr>
            <w:r>
              <w:rPr>
                <w:rFonts w:hint="eastAsia" w:ascii="宋体" w:hAnsi="宋体" w:eastAsia="宋体" w:cs="宋体"/>
                <w:color w:val="000000" w:themeColor="text1"/>
                <w:szCs w:val="21"/>
                <w14:textFill>
                  <w14:solidFill>
                    <w14:schemeClr w14:val="tx1"/>
                  </w14:solidFill>
                </w14:textFill>
              </w:rPr>
              <w:t>自接到所对应的工程质量鉴定项目之日起15个日历天内（含出鉴定报告的时间），具体时间安排以对采购人通知为准</w:t>
            </w:r>
          </w:p>
        </w:tc>
        <w:tc>
          <w:tcPr>
            <w:tcW w:w="1877" w:type="dxa"/>
            <w:tcBorders>
              <w:tl2br w:val="nil"/>
              <w:tr2bl w:val="nil"/>
            </w:tcBorders>
            <w:shd w:val="clear" w:color="auto" w:fill="auto"/>
            <w:vAlign w:val="center"/>
          </w:tcPr>
          <w:p>
            <w:pPr>
              <w:keepNext w:val="0"/>
              <w:keepLines w:val="0"/>
              <w:suppressLineNumbers w:val="0"/>
              <w:shd w:val="clear" w:color="auto" w:fill="FFFFFF"/>
              <w:spacing w:before="156" w:beforeAutospacing="0" w:after="156" w:afterAutospacing="0"/>
              <w:ind w:left="0" w:right="0"/>
              <w:jc w:val="center"/>
              <w:rPr>
                <w:rFonts w:hint="default" w:ascii="宋体" w:hAnsi="宋体" w:eastAsia="宋体" w:cs="宋体"/>
                <w:szCs w:val="24"/>
                <w:shd w:val="clear" w:color="auto" w:fill="FFFFFF"/>
              </w:rPr>
            </w:pPr>
          </w:p>
        </w:tc>
        <w:tc>
          <w:tcPr>
            <w:tcW w:w="1692" w:type="dxa"/>
            <w:tcBorders>
              <w:tl2br w:val="nil"/>
              <w:tr2bl w:val="nil"/>
            </w:tcBorders>
            <w:shd w:val="clear" w:color="auto" w:fill="auto"/>
            <w:vAlign w:val="center"/>
          </w:tcPr>
          <w:p>
            <w:pPr>
              <w:keepNext w:val="0"/>
              <w:keepLines w:val="0"/>
              <w:suppressLineNumbers w:val="0"/>
              <w:shd w:val="clear" w:color="auto" w:fill="FFFFFF"/>
              <w:spacing w:before="156" w:beforeAutospacing="0" w:after="156" w:afterAutospacing="0"/>
              <w:ind w:left="0" w:right="0"/>
              <w:jc w:val="center"/>
              <w:rPr>
                <w:rFonts w:hint="eastAsia" w:ascii="宋体" w:hAnsi="宋体" w:eastAsia="宋体" w:cs="宋体"/>
                <w:szCs w:val="24"/>
                <w:shd w:val="clear" w:color="auto" w:fill="FFFFFF"/>
                <w:lang w:val="en-US" w:eastAsia="zh-CN"/>
              </w:rPr>
            </w:pPr>
          </w:p>
        </w:tc>
      </w:tr>
    </w:tbl>
    <w:p>
      <w:pPr>
        <w:tabs>
          <w:tab w:val="left" w:pos="7740"/>
        </w:tabs>
        <w:adjustRightInd w:val="0"/>
        <w:snapToGrid w:val="0"/>
        <w:spacing w:line="360" w:lineRule="auto"/>
        <w:rPr>
          <w:rFonts w:ascii="宋体" w:hAnsi="宋体" w:eastAsia="宋体" w:cs="宋体"/>
          <w:color w:val="000000" w:themeColor="text1"/>
          <w:szCs w:val="21"/>
          <w14:textFill>
            <w14:solidFill>
              <w14:schemeClr w14:val="tx1"/>
            </w14:solidFill>
          </w14:textFill>
        </w:rPr>
      </w:pPr>
    </w:p>
    <w:p>
      <w:pPr>
        <w:spacing w:line="500" w:lineRule="exact"/>
        <w:rPr>
          <w:rFonts w:ascii="宋体" w:hAnsi="宋体" w:eastAsia="宋体" w:cs="宋体"/>
          <w:b/>
          <w:color w:val="000000" w:themeColor="text1"/>
          <w:spacing w:val="4"/>
          <w:szCs w:val="21"/>
          <w14:textFill>
            <w14:solidFill>
              <w14:schemeClr w14:val="tx1"/>
            </w14:solidFill>
          </w14:textFill>
        </w:rPr>
      </w:pPr>
      <w:r>
        <w:rPr>
          <w:rFonts w:hint="eastAsia" w:ascii="宋体" w:hAnsi="宋体" w:eastAsia="宋体" w:cs="宋体"/>
          <w:b/>
          <w:color w:val="000000" w:themeColor="text1"/>
          <w:spacing w:val="4"/>
          <w:szCs w:val="21"/>
          <w14:textFill>
            <w14:solidFill>
              <w14:schemeClr w14:val="tx1"/>
            </w14:solidFill>
          </w14:textFill>
        </w:rPr>
        <w:t>注：</w:t>
      </w:r>
    </w:p>
    <w:p>
      <w:pPr>
        <w:pStyle w:val="18"/>
        <w:numPr>
          <w:ilvl w:val="0"/>
          <w:numId w:val="14"/>
        </w:numPr>
        <w:shd w:val="clear" w:color="auto" w:fill="FFFFFF"/>
        <w:spacing w:before="0" w:beforeAutospacing="0" w:after="0" w:afterAutospacing="0" w:line="360" w:lineRule="auto"/>
        <w:rPr>
          <w:b/>
          <w:bCs/>
          <w:color w:val="000000" w:themeColor="text1"/>
          <w:sz w:val="21"/>
          <w:szCs w:val="21"/>
          <w:u w:val="single"/>
          <w14:textFill>
            <w14:solidFill>
              <w14:schemeClr w14:val="tx1"/>
            </w14:solidFill>
          </w14:textFill>
        </w:rPr>
      </w:pPr>
      <w:r>
        <w:rPr>
          <w:rFonts w:hint="eastAsia"/>
          <w:b/>
          <w:bCs/>
          <w:color w:val="000000" w:themeColor="text1"/>
          <w:sz w:val="21"/>
          <w:szCs w:val="21"/>
          <w:u w:val="single"/>
          <w14:textFill>
            <w14:solidFill>
              <w14:schemeClr w14:val="tx1"/>
            </w14:solidFill>
          </w14:textFill>
        </w:rPr>
        <w:t>供应商必须按报价表的格式填写，不得增加或删除表格内容。除单价、金额或项目要求填写的内容外，不得擅自改动报价表内容，</w:t>
      </w:r>
      <w:r>
        <w:rPr>
          <w:rFonts w:hint="eastAsia"/>
          <w:b/>
          <w:bCs/>
          <w:color w:val="000000" w:themeColor="text1"/>
          <w:sz w:val="21"/>
          <w:szCs w:val="21"/>
          <w14:textFill>
            <w14:solidFill>
              <w14:schemeClr w14:val="tx1"/>
            </w14:solidFill>
          </w14:textFill>
        </w:rPr>
        <w:t>否则将有可能影响成交结果，不推荐为成交候选人</w:t>
      </w:r>
      <w:r>
        <w:rPr>
          <w:rFonts w:hint="eastAsia"/>
          <w:b/>
          <w:bCs/>
          <w:color w:val="000000" w:themeColor="text1"/>
          <w:sz w:val="21"/>
          <w:szCs w:val="21"/>
          <w:u w:val="single"/>
          <w14:textFill>
            <w14:solidFill>
              <w14:schemeClr w14:val="tx1"/>
            </w14:solidFill>
          </w14:textFill>
        </w:rPr>
        <w:t>；</w:t>
      </w:r>
    </w:p>
    <w:p>
      <w:pPr>
        <w:pStyle w:val="18"/>
        <w:numPr>
          <w:ilvl w:val="0"/>
          <w:numId w:val="14"/>
        </w:numPr>
        <w:shd w:val="clear" w:color="auto" w:fill="FFFFFF"/>
        <w:spacing w:before="0" w:beforeAutospacing="0" w:after="0" w:afterAutospacing="0" w:line="360" w:lineRule="auto"/>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所有价格均系用人民币表示，单位为元，</w:t>
      </w:r>
      <w:r>
        <w:rPr>
          <w:rFonts w:hint="eastAsia"/>
          <w:b/>
          <w:bCs/>
          <w:color w:val="000000" w:themeColor="text1"/>
          <w:sz w:val="21"/>
          <w:szCs w:val="21"/>
          <w14:textFill>
            <w14:solidFill>
              <w14:schemeClr w14:val="tx1"/>
            </w14:solidFill>
          </w14:textFill>
        </w:rPr>
        <w:t>均为含税价</w:t>
      </w:r>
      <w:r>
        <w:rPr>
          <w:rFonts w:hint="eastAsia"/>
          <w:b/>
          <w:color w:val="000000" w:themeColor="text1"/>
          <w:sz w:val="21"/>
          <w:szCs w:val="21"/>
          <w14:textFill>
            <w14:solidFill>
              <w14:schemeClr w14:val="tx1"/>
            </w14:solidFill>
          </w14:textFill>
        </w:rPr>
        <w:t>；</w:t>
      </w:r>
    </w:p>
    <w:p>
      <w:pPr>
        <w:pStyle w:val="18"/>
        <w:numPr>
          <w:ilvl w:val="0"/>
          <w:numId w:val="14"/>
        </w:numPr>
        <w:shd w:val="clear" w:color="auto" w:fill="FFFFFF"/>
        <w:spacing w:before="0" w:beforeAutospacing="0" w:after="0" w:afterAutospacing="0" w:line="360" w:lineRule="auto"/>
        <w:rPr>
          <w:b/>
          <w:color w:val="000000" w:themeColor="text1"/>
          <w:sz w:val="21"/>
          <w:szCs w:val="21"/>
          <w14:textFill>
            <w14:solidFill>
              <w14:schemeClr w14:val="tx1"/>
            </w14:solidFill>
          </w14:textFill>
        </w:rPr>
      </w:pPr>
      <w:r>
        <w:rPr>
          <w:rFonts w:hint="eastAsia"/>
          <w:b/>
          <w:bCs/>
          <w:color w:val="000000"/>
          <w:sz w:val="21"/>
          <w:szCs w:val="21"/>
          <w:u w:val="single"/>
          <w:shd w:val="clear" w:color="auto" w:fill="FFFFFF"/>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pPr>
        <w:pStyle w:val="18"/>
        <w:numPr>
          <w:ilvl w:val="0"/>
          <w:numId w:val="14"/>
        </w:numPr>
        <w:shd w:val="clear" w:color="auto" w:fill="FFFFFF"/>
        <w:spacing w:before="0" w:beforeAutospacing="0" w:after="0" w:afterAutospacing="0" w:line="360" w:lineRule="auto"/>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平台上报价与报价表合计不一致的，以报价表合计（经价格核准后的价格）为准。</w:t>
      </w:r>
    </w:p>
    <w:p>
      <w:pPr>
        <w:pStyle w:val="18"/>
        <w:numPr>
          <w:ilvl w:val="0"/>
          <w:numId w:val="14"/>
        </w:numPr>
        <w:shd w:val="clear" w:color="auto" w:fill="FFFFFF"/>
        <w:spacing w:before="0" w:beforeAutospacing="0" w:after="0" w:afterAutospacing="0" w:line="360" w:lineRule="auto"/>
        <w:rPr>
          <w:b/>
          <w:color w:val="000000" w:themeColor="text1"/>
          <w:sz w:val="21"/>
          <w:szCs w:val="21"/>
          <w14:textFill>
            <w14:solidFill>
              <w14:schemeClr w14:val="tx1"/>
            </w14:solidFill>
          </w14:textFill>
        </w:rPr>
      </w:pPr>
      <w:r>
        <w:rPr>
          <w:rFonts w:hint="eastAsia"/>
          <w:b/>
          <w:bCs/>
          <w:color w:val="000000"/>
          <w:sz w:val="21"/>
          <w:szCs w:val="21"/>
          <w:u w:val="single"/>
          <w:shd w:val="clear" w:color="auto" w:fill="FFFFFF"/>
        </w:rPr>
        <w:t>供应商报价表必须加盖公章，否则视作无效报价。</w:t>
      </w:r>
    </w:p>
    <w:p>
      <w:pPr>
        <w:wordWrap w:val="0"/>
        <w:spacing w:line="360" w:lineRule="auto"/>
        <w:ind w:right="218"/>
        <w:jc w:val="right"/>
        <w:rPr>
          <w:rFonts w:ascii="宋体" w:hAnsi="宋体" w:eastAsia="宋体" w:cs="宋体"/>
          <w:color w:val="000000" w:themeColor="text1"/>
          <w:spacing w:val="4"/>
          <w:szCs w:val="21"/>
          <w14:textFill>
            <w14:solidFill>
              <w14:schemeClr w14:val="tx1"/>
            </w14:solidFill>
          </w14:textFill>
        </w:rPr>
      </w:pPr>
    </w:p>
    <w:p>
      <w:pPr>
        <w:wordWrap w:val="0"/>
        <w:spacing w:line="360" w:lineRule="auto"/>
        <w:ind w:right="218"/>
        <w:jc w:val="right"/>
        <w:rPr>
          <w:rFonts w:ascii="宋体" w:hAnsi="宋体" w:eastAsia="宋体" w:cs="宋体"/>
          <w:color w:val="000000" w:themeColor="text1"/>
          <w:spacing w:val="4"/>
          <w:szCs w:val="21"/>
          <w:u w:val="single"/>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供应商名称（</w:t>
      </w:r>
      <w:r>
        <w:rPr>
          <w:rFonts w:hint="eastAsia" w:ascii="宋体" w:hAnsi="宋体" w:eastAsia="宋体" w:cs="宋体"/>
          <w:color w:val="000000" w:themeColor="text1"/>
          <w:szCs w:val="21"/>
          <w14:textFill>
            <w14:solidFill>
              <w14:schemeClr w14:val="tx1"/>
            </w14:solidFill>
          </w14:textFill>
        </w:rPr>
        <w:t>单位盖</w:t>
      </w:r>
      <w:r>
        <w:rPr>
          <w:rFonts w:hint="eastAsia" w:ascii="宋体" w:hAnsi="宋体" w:eastAsia="宋体" w:cs="宋体"/>
          <w:color w:val="000000" w:themeColor="text1"/>
          <w:spacing w:val="4"/>
          <w:szCs w:val="21"/>
          <w14:textFill>
            <w14:solidFill>
              <w14:schemeClr w14:val="tx1"/>
            </w14:solidFill>
          </w14:textFill>
        </w:rPr>
        <w:t>公章）：</w:t>
      </w:r>
      <w:r>
        <w:rPr>
          <w:rFonts w:hint="eastAsia" w:ascii="宋体" w:hAnsi="宋体" w:eastAsia="宋体" w:cs="宋体"/>
          <w:color w:val="000000" w:themeColor="text1"/>
          <w:spacing w:val="4"/>
          <w:szCs w:val="21"/>
          <w:u w:val="single"/>
          <w14:textFill>
            <w14:solidFill>
              <w14:schemeClr w14:val="tx1"/>
            </w14:solidFill>
          </w14:textFill>
        </w:rPr>
        <w:t xml:space="preserve">          </w:t>
      </w:r>
    </w:p>
    <w:p>
      <w:pPr>
        <w:spacing w:line="360" w:lineRule="auto"/>
        <w:ind w:right="218"/>
        <w:jc w:val="right"/>
        <w:rPr>
          <w:rFonts w:ascii="宋体" w:hAnsi="宋体" w:eastAsia="宋体" w:cs="宋体"/>
          <w:color w:val="000000" w:themeColor="text1"/>
          <w:spacing w:val="4"/>
          <w:szCs w:val="21"/>
          <w:u w:val="single"/>
          <w14:textFill>
            <w14:solidFill>
              <w14:schemeClr w14:val="tx1"/>
            </w14:solidFill>
          </w14:textFill>
        </w:rPr>
      </w:pPr>
    </w:p>
    <w:p>
      <w:pPr>
        <w:wordWrap w:val="0"/>
        <w:spacing w:line="360" w:lineRule="auto"/>
        <w:ind w:right="218"/>
        <w:jc w:val="right"/>
        <w:rPr>
          <w:rFonts w:ascii="宋体" w:hAnsi="宋体" w:eastAsia="宋体" w:cs="宋体"/>
          <w:color w:val="000000" w:themeColor="text1"/>
          <w:spacing w:val="4"/>
          <w:szCs w:val="21"/>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日期：</w:t>
      </w:r>
      <w:r>
        <w:rPr>
          <w:rFonts w:hint="eastAsia" w:ascii="宋体" w:hAnsi="宋体" w:eastAsia="宋体" w:cs="宋体"/>
          <w:color w:val="000000" w:themeColor="text1"/>
          <w:spacing w:val="4"/>
          <w:szCs w:val="21"/>
          <w:u w:val="single"/>
          <w14:textFill>
            <w14:solidFill>
              <w14:schemeClr w14:val="tx1"/>
            </w14:solidFill>
          </w14:textFill>
        </w:rPr>
        <w:t xml:space="preserve">         </w:t>
      </w:r>
    </w:p>
    <w:p>
      <w:pPr>
        <w:spacing w:line="360" w:lineRule="auto"/>
        <w:jc w:val="center"/>
        <w:rPr>
          <w:rFonts w:ascii="宋体" w:hAnsi="宋体" w:eastAsia="宋体" w:cs="宋体"/>
          <w:color w:val="000000" w:themeColor="text1"/>
          <w:spacing w:val="4"/>
          <w:szCs w:val="21"/>
          <w:u w:val="single"/>
          <w14:textFill>
            <w14:solidFill>
              <w14:schemeClr w14:val="tx1"/>
            </w14:solidFill>
          </w14:textFill>
        </w:rPr>
      </w:pPr>
    </w:p>
    <w:p>
      <w:r>
        <w:br w:type="page"/>
      </w:r>
    </w:p>
    <w:p>
      <w:pPr>
        <w:pStyle w:val="3"/>
        <w:spacing w:before="0" w:after="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用户需求书响应声明函</w:t>
      </w:r>
    </w:p>
    <w:p>
      <w:pPr>
        <w:spacing w:line="360" w:lineRule="auto"/>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致：中山市沙溪镇中心幼儿园、</w:t>
      </w:r>
      <w:r>
        <w:rPr>
          <w:rFonts w:hint="eastAsia" w:ascii="宋体" w:hAnsi="宋体" w:eastAsia="宋体" w:cs="宋体"/>
          <w:b/>
          <w:color w:val="000000" w:themeColor="text1"/>
          <w14:textFill>
            <w14:solidFill>
              <w14:schemeClr w14:val="tx1"/>
            </w14:solidFill>
          </w14:textFill>
        </w:rPr>
        <w:t>云采链（广州）信息科技有限公司</w:t>
      </w:r>
    </w:p>
    <w:p>
      <w:pPr>
        <w:spacing w:line="360" w:lineRule="auto"/>
        <w:rPr>
          <w:rFonts w:ascii="宋体" w:hAnsi="宋体" w:eastAsia="宋体" w:cs="宋体"/>
          <w:color w:val="000000" w:themeColor="text1"/>
          <w:lang w:val="zh-CN"/>
          <w14:textFill>
            <w14:solidFill>
              <w14:schemeClr w14:val="tx1"/>
            </w14:solidFill>
          </w14:textFill>
        </w:rPr>
      </w:pPr>
    </w:p>
    <w:p>
      <w:pPr>
        <w:snapToGrid w:val="0"/>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关于贵单位、贵司发布</w:t>
      </w:r>
      <w:r>
        <w:rPr>
          <w:rFonts w:hint="eastAsia" w:ascii="宋体" w:hAnsi="宋体" w:eastAsia="宋体" w:cs="宋体"/>
          <w:b/>
          <w:bCs/>
          <w:color w:val="000000" w:themeColor="text1"/>
          <w:szCs w:val="32"/>
          <w:u w:val="single"/>
          <w14:textFill>
            <w14:solidFill>
              <w14:schemeClr w14:val="tx1"/>
            </w14:solidFill>
          </w14:textFill>
        </w:rPr>
        <w:t>沙溪镇中心幼儿园房屋安全鉴定服务采购</w:t>
      </w:r>
      <w:r>
        <w:rPr>
          <w:rFonts w:hint="eastAsia" w:ascii="宋体" w:hAnsi="宋体" w:eastAsia="宋体" w:cs="宋体"/>
          <w:color w:val="000000" w:themeColor="text1"/>
          <w:szCs w:val="21"/>
          <w14:textFill>
            <w14:solidFill>
              <w14:schemeClr w14:val="tx1"/>
            </w14:solidFill>
          </w14:textFill>
        </w:rPr>
        <w:t>的竞价公告，本公司（企业）愿意参加竞价活动，并作出如下声明：</w:t>
      </w:r>
    </w:p>
    <w:p>
      <w:pPr>
        <w:pStyle w:val="40"/>
        <w:tabs>
          <w:tab w:val="left" w:pos="426"/>
        </w:tabs>
        <w:snapToGrid w:val="0"/>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人的要求。</w:t>
      </w:r>
    </w:p>
    <w:p>
      <w:pPr>
        <w:pStyle w:val="40"/>
        <w:tabs>
          <w:tab w:val="left" w:pos="426"/>
        </w:tabs>
        <w:snapToGrid w:val="0"/>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本公司（企业）承诺在本次采购活动中，如有违法、违规、弄虚作假行为，所造成的损失、不良后果及法律责任，一律由我公司（企业）承担。</w:t>
      </w:r>
    </w:p>
    <w:p>
      <w:pPr>
        <w:autoSpaceDE w:val="0"/>
        <w:autoSpaceDN w:val="0"/>
        <w:adjustRightInd w:val="0"/>
        <w:spacing w:line="360" w:lineRule="auto"/>
        <w:ind w:firstLine="413" w:firstLineChars="196"/>
        <w:rPr>
          <w:rFonts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备注：</w:t>
      </w:r>
    </w:p>
    <w:p>
      <w:pPr>
        <w:pStyle w:val="30"/>
        <w:numPr>
          <w:ilvl w:val="0"/>
          <w:numId w:val="15"/>
        </w:numPr>
        <w:autoSpaceDE w:val="0"/>
        <w:autoSpaceDN w:val="0"/>
        <w:adjustRightInd w:val="0"/>
        <w:spacing w:line="360" w:lineRule="auto"/>
        <w:ind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本声明函必须提供且内容不得擅自删改，否则视为响应无效。</w:t>
      </w:r>
    </w:p>
    <w:p>
      <w:pPr>
        <w:pStyle w:val="30"/>
        <w:numPr>
          <w:ilvl w:val="0"/>
          <w:numId w:val="15"/>
        </w:numPr>
        <w:snapToGrid w:val="0"/>
        <w:spacing w:line="360" w:lineRule="auto"/>
        <w:ind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本声明函如有虚假或与事实不符的，作无效报价处理。</w:t>
      </w:r>
    </w:p>
    <w:p>
      <w:pPr>
        <w:widowControl/>
        <w:spacing w:line="360" w:lineRule="auto"/>
        <w:jc w:val="left"/>
        <w:rPr>
          <w:rFonts w:ascii="宋体" w:hAnsi="宋体" w:eastAsia="宋体" w:cs="宋体"/>
          <w:b/>
          <w:bCs/>
          <w:color w:val="000000" w:themeColor="text1"/>
          <w:kern w:val="0"/>
          <w:sz w:val="32"/>
          <w:szCs w:val="32"/>
          <w14:textFill>
            <w14:solidFill>
              <w14:schemeClr w14:val="tx1"/>
            </w14:solidFill>
          </w14:textFill>
        </w:rPr>
      </w:pPr>
    </w:p>
    <w:p>
      <w:pPr>
        <w:wordWrap w:val="0"/>
        <w:spacing w:line="360" w:lineRule="auto"/>
        <w:jc w:val="right"/>
        <w:rPr>
          <w:rFonts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供应商名称（</w:t>
      </w:r>
      <w:r>
        <w:rPr>
          <w:rFonts w:hint="eastAsia" w:ascii="宋体" w:hAnsi="宋体" w:eastAsia="宋体" w:cs="宋体"/>
          <w:color w:val="000000" w:themeColor="text1"/>
          <w:szCs w:val="21"/>
          <w14:textFill>
            <w14:solidFill>
              <w14:schemeClr w14:val="tx1"/>
            </w14:solidFill>
          </w14:textFill>
        </w:rPr>
        <w:t>单位盖</w:t>
      </w:r>
      <w:r>
        <w:rPr>
          <w:rFonts w:hint="eastAsia" w:ascii="宋体" w:hAnsi="宋体" w:eastAsia="宋体" w:cs="宋体"/>
          <w:color w:val="000000" w:themeColor="text1"/>
          <w:spacing w:val="4"/>
          <w:szCs w:val="21"/>
          <w14:textFill>
            <w14:solidFill>
              <w14:schemeClr w14:val="tx1"/>
            </w14:solidFill>
          </w14:textFill>
        </w:rPr>
        <w:t>公章）：</w:t>
      </w:r>
      <w:r>
        <w:rPr>
          <w:rFonts w:hint="eastAsia" w:ascii="宋体" w:hAnsi="宋体" w:eastAsia="宋体" w:cs="宋体"/>
          <w:color w:val="000000" w:themeColor="text1"/>
          <w:spacing w:val="4"/>
          <w:szCs w:val="21"/>
          <w:u w:val="single"/>
          <w14:textFill>
            <w14:solidFill>
              <w14:schemeClr w14:val="tx1"/>
            </w14:solidFill>
          </w14:textFill>
        </w:rPr>
        <w:t xml:space="preserve">          </w:t>
      </w:r>
    </w:p>
    <w:p>
      <w:pPr>
        <w:spacing w:line="360" w:lineRule="auto"/>
        <w:ind w:firstLine="105" w:firstLineChars="50"/>
        <w:jc w:val="right"/>
        <w:rPr>
          <w:rFonts w:ascii="宋体" w:hAnsi="宋体" w:eastAsia="宋体" w:cs="宋体"/>
          <w:color w:val="000000" w:themeColor="text1"/>
          <w:szCs w:val="21"/>
          <w:u w:val="single"/>
          <w14:textFill>
            <w14:solidFill>
              <w14:schemeClr w14:val="tx1"/>
            </w14:solidFill>
          </w14:textFill>
        </w:rPr>
      </w:pPr>
    </w:p>
    <w:p>
      <w:pPr>
        <w:wordWrap w:val="0"/>
        <w:spacing w:line="360" w:lineRule="auto"/>
        <w:jc w:val="right"/>
        <w:rPr>
          <w:rFonts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日期：</w:t>
      </w:r>
      <w:r>
        <w:rPr>
          <w:rFonts w:hint="eastAsia" w:ascii="宋体" w:hAnsi="宋体" w:eastAsia="宋体" w:cs="宋体"/>
          <w:color w:val="000000" w:themeColor="text1"/>
          <w:spacing w:val="4"/>
          <w:szCs w:val="21"/>
          <w:u w:val="single"/>
          <w14:textFill>
            <w14:solidFill>
              <w14:schemeClr w14:val="tx1"/>
            </w14:solidFill>
          </w14:textFill>
        </w:rPr>
        <w:t xml:space="preserve">          </w:t>
      </w:r>
    </w:p>
    <w:p>
      <w:pPr>
        <w:widowControl/>
        <w:spacing w:line="360" w:lineRule="auto"/>
        <w:jc w:val="right"/>
        <w:rPr>
          <w:rFonts w:ascii="宋体" w:hAnsi="宋体" w:eastAsia="宋体" w:cs="宋体"/>
          <w:b/>
          <w:bCs/>
          <w:color w:val="000000" w:themeColor="text1"/>
          <w:kern w:val="0"/>
          <w:sz w:val="32"/>
          <w:szCs w:val="32"/>
          <w:lang w:val="zh-CN"/>
          <w14:textFill>
            <w14:solidFill>
              <w14:schemeClr w14:val="tx1"/>
            </w14:solidFill>
          </w14:textFill>
        </w:rPr>
      </w:pPr>
    </w:p>
    <w:p>
      <w:pPr>
        <w:spacing w:line="360" w:lineRule="auto"/>
        <w:rPr>
          <w:rFonts w:ascii="宋体" w:hAnsi="宋体" w:eastAsia="宋体" w:cs="宋体"/>
          <w:color w:val="000000" w:themeColor="text1"/>
          <w14:textFill>
            <w14:solidFill>
              <w14:schemeClr w14:val="tx1"/>
            </w14:solidFill>
          </w14:textFill>
        </w:rPr>
      </w:pPr>
    </w:p>
    <w:p>
      <w:pPr>
        <w:widowControl/>
        <w:spacing w:line="360" w:lineRule="auto"/>
        <w:jc w:val="left"/>
        <w:rPr>
          <w:rFonts w:ascii="宋体" w:hAnsi="宋体" w:eastAsia="宋体" w:cs="宋体"/>
          <w:b/>
          <w:bCs/>
          <w:color w:val="000000" w:themeColor="text1"/>
          <w:kern w:val="0"/>
          <w:sz w:val="32"/>
          <w:szCs w:val="32"/>
          <w:lang w:val="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p>
    <w:p>
      <w:pPr>
        <w:pStyle w:val="3"/>
        <w:spacing w:before="0" w:after="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供应商资格声明函</w:t>
      </w:r>
    </w:p>
    <w:p>
      <w:pPr>
        <w:rPr>
          <w:rFonts w:ascii="宋体" w:hAnsi="宋体" w:eastAsia="宋体" w:cs="宋体"/>
          <w:b/>
          <w:color w:val="000000" w:themeColor="text1"/>
          <w:szCs w:val="24"/>
          <w14:textFill>
            <w14:solidFill>
              <w14:schemeClr w14:val="tx1"/>
            </w14:solidFill>
          </w14:textFill>
        </w:rPr>
      </w:pPr>
    </w:p>
    <w:p>
      <w:pPr>
        <w:rPr>
          <w:rFonts w:ascii="宋体" w:hAnsi="宋体" w:eastAsia="宋体" w:cs="宋体"/>
          <w:b/>
          <w:color w:val="000000" w:themeColor="text1"/>
          <w:szCs w:val="24"/>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致：</w:t>
      </w:r>
      <w:r>
        <w:rPr>
          <w:rFonts w:hint="eastAsia" w:ascii="宋体" w:hAnsi="宋体" w:eastAsia="宋体" w:cs="宋体"/>
          <w:b/>
          <w:color w:val="000000" w:themeColor="text1"/>
          <w:szCs w:val="24"/>
          <w14:textFill>
            <w14:solidFill>
              <w14:schemeClr w14:val="tx1"/>
            </w14:solidFill>
          </w14:textFill>
        </w:rPr>
        <w:t>中山市沙溪镇中心幼儿园、</w:t>
      </w:r>
      <w:r>
        <w:rPr>
          <w:rFonts w:hint="eastAsia" w:ascii="宋体" w:hAnsi="宋体" w:eastAsia="宋体" w:cs="宋体"/>
          <w:b/>
          <w:color w:val="000000" w:themeColor="text1"/>
          <w14:textFill>
            <w14:solidFill>
              <w14:schemeClr w14:val="tx1"/>
            </w14:solidFill>
          </w14:textFill>
        </w:rPr>
        <w:t>云采链（广州）信息科技有限公司</w:t>
      </w:r>
      <w:r>
        <w:rPr>
          <w:rFonts w:hint="eastAsia" w:ascii="宋体" w:hAnsi="宋体" w:eastAsia="宋体" w:cs="宋体"/>
          <w:b/>
          <w:color w:val="000000" w:themeColor="text1"/>
          <w:szCs w:val="24"/>
          <w14:textFill>
            <w14:solidFill>
              <w14:schemeClr w14:val="tx1"/>
            </w14:solidFill>
          </w14:textFill>
        </w:rPr>
        <w:t>：</w:t>
      </w:r>
    </w:p>
    <w:p>
      <w:pPr>
        <w:rPr>
          <w:rFonts w:ascii="宋体" w:hAnsi="宋体" w:eastAsia="宋体" w:cs="宋体"/>
          <w:b/>
          <w:color w:val="000000" w:themeColor="text1"/>
          <w:szCs w:val="24"/>
          <w14:textFill>
            <w14:solidFill>
              <w14:schemeClr w14:val="tx1"/>
            </w14:solidFill>
          </w14:textFill>
        </w:rPr>
      </w:pPr>
    </w:p>
    <w:p>
      <w:pPr>
        <w:snapToGrid w:val="0"/>
        <w:spacing w:line="360" w:lineRule="auto"/>
        <w:ind w:firstLine="424" w:firstLineChars="202"/>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关于贵单位、贵司发布</w:t>
      </w:r>
      <w:r>
        <w:rPr>
          <w:rFonts w:hint="eastAsia" w:ascii="宋体" w:hAnsi="宋体" w:eastAsia="宋体" w:cs="宋体"/>
          <w:b/>
          <w:bCs/>
          <w:color w:val="000000" w:themeColor="text1"/>
          <w:szCs w:val="32"/>
          <w:u w:val="single"/>
          <w14:textFill>
            <w14:solidFill>
              <w14:schemeClr w14:val="tx1"/>
            </w14:solidFill>
          </w14:textFill>
        </w:rPr>
        <w:t>沙溪镇中心幼儿园房屋安全鉴定服务采购</w:t>
      </w:r>
      <w:r>
        <w:rPr>
          <w:rFonts w:hint="eastAsia" w:ascii="宋体" w:hAnsi="宋体" w:eastAsia="宋体" w:cs="宋体"/>
          <w:color w:val="000000" w:themeColor="text1"/>
          <w:szCs w:val="24"/>
          <w14:textFill>
            <w14:solidFill>
              <w14:schemeClr w14:val="tx1"/>
            </w14:solidFill>
          </w14:textFill>
        </w:rPr>
        <w:t>的竞价公告，本公司（企业）愿意参加竞价活动，并作出如下声明：</w:t>
      </w:r>
    </w:p>
    <w:p>
      <w:pPr>
        <w:numPr>
          <w:ilvl w:val="0"/>
          <w:numId w:val="16"/>
        </w:numPr>
        <w:snapToGrid w:val="0"/>
        <w:spacing w:line="360" w:lineRule="auto"/>
        <w:rPr>
          <w:rFonts w:ascii="宋体" w:hAnsi="宋体" w:eastAsia="宋体" w:cs="宋体"/>
          <w:bCs/>
          <w:color w:val="000000" w:themeColor="text1"/>
          <w:szCs w:val="20"/>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本公司（企业）</w:t>
      </w:r>
      <w:r>
        <w:rPr>
          <w:rFonts w:hint="eastAsia" w:ascii="宋体" w:hAnsi="宋体" w:eastAsia="宋体" w:cs="宋体"/>
          <w:bCs/>
          <w:color w:val="000000" w:themeColor="text1"/>
          <w:szCs w:val="20"/>
          <w14:textFill>
            <w14:solidFill>
              <w14:schemeClr w14:val="tx1"/>
            </w14:solidFill>
          </w14:textFill>
        </w:rPr>
        <w:t>具备《中华人民共和国政府采购法》第二十二条规定的条件：</w:t>
      </w:r>
    </w:p>
    <w:p>
      <w:pPr>
        <w:widowControl/>
        <w:spacing w:line="360" w:lineRule="auto"/>
        <w:ind w:firstLine="360"/>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（一）具有独立承担民事责任的能力；</w:t>
      </w:r>
    </w:p>
    <w:p>
      <w:pPr>
        <w:widowControl/>
        <w:spacing w:line="360" w:lineRule="auto"/>
        <w:ind w:firstLine="360"/>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（二）具有良好的商业信誉和健全的财务会计制度； </w:t>
      </w:r>
    </w:p>
    <w:p>
      <w:pPr>
        <w:widowControl/>
        <w:spacing w:line="360" w:lineRule="auto"/>
        <w:ind w:firstLine="360"/>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（三）具有履行合同所必需的设备和专业技术能力；</w:t>
      </w:r>
    </w:p>
    <w:p>
      <w:pPr>
        <w:widowControl/>
        <w:spacing w:line="360" w:lineRule="auto"/>
        <w:ind w:firstLine="360"/>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（四）有依法缴纳税收和社会保障资金的良好记录；</w:t>
      </w:r>
    </w:p>
    <w:p>
      <w:pPr>
        <w:widowControl/>
        <w:spacing w:line="360" w:lineRule="auto"/>
        <w:ind w:firstLine="360"/>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（五）参加政府采购活动前三年内，在经营活动中没有重大违法记录；</w:t>
      </w:r>
    </w:p>
    <w:p>
      <w:pPr>
        <w:widowControl/>
        <w:spacing w:line="360" w:lineRule="auto"/>
        <w:ind w:firstLine="360"/>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（六）法律、行政法规规定的其他条件。</w:t>
      </w:r>
    </w:p>
    <w:p>
      <w:pPr>
        <w:numPr>
          <w:ilvl w:val="0"/>
          <w:numId w:val="16"/>
        </w:numPr>
        <w:snapToGrid w:val="0"/>
        <w:spacing w:line="360" w:lineRule="auto"/>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本公司（企业）具有本次采购项目供货及服务能力。</w:t>
      </w:r>
    </w:p>
    <w:p>
      <w:pPr>
        <w:numPr>
          <w:ilvl w:val="0"/>
          <w:numId w:val="16"/>
        </w:numPr>
        <w:snapToGrid w:val="0"/>
        <w:spacing w:line="360" w:lineRule="auto"/>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本公司（企业）有固定的经营场所，信誉良好、售后维护服务好，并且在经营活动中无严重违法记录。</w:t>
      </w:r>
    </w:p>
    <w:p>
      <w:pPr>
        <w:numPr>
          <w:ilvl w:val="0"/>
          <w:numId w:val="16"/>
        </w:numPr>
        <w:snapToGrid w:val="0"/>
        <w:spacing w:line="360" w:lineRule="auto"/>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本公司（企业）没有为采购项目同一合同项下提供整体设计、规范编制或者项目管理、监理、检测等服务。</w:t>
      </w:r>
    </w:p>
    <w:p>
      <w:pPr>
        <w:numPr>
          <w:ilvl w:val="0"/>
          <w:numId w:val="16"/>
        </w:numPr>
        <w:snapToGrid w:val="0"/>
        <w:spacing w:line="360" w:lineRule="auto"/>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本公司（企业）的法定代表人或单位负责人与所参投的本项目其他供应商的法定代表人或单位负责人不为同一人且与其他供应商之间不存在直接控股、管理关系。</w:t>
      </w:r>
    </w:p>
    <w:p>
      <w:pPr>
        <w:numPr>
          <w:ilvl w:val="0"/>
          <w:numId w:val="16"/>
        </w:numPr>
        <w:snapToGrid w:val="0"/>
        <w:spacing w:line="360" w:lineRule="auto"/>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本公司（企业）在本项目中不分包、转包且不联合参与竞价。</w:t>
      </w:r>
    </w:p>
    <w:p>
      <w:pPr>
        <w:snapToGrid w:val="0"/>
        <w:spacing w:line="360" w:lineRule="auto"/>
        <w:ind w:firstLine="424" w:firstLineChars="202"/>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本公司（企业）承诺在本次采购活动中，如有违法、违规</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szCs w:val="24"/>
          <w14:textFill>
            <w14:solidFill>
              <w14:schemeClr w14:val="tx1"/>
            </w14:solidFill>
          </w14:textFill>
        </w:rPr>
        <w:t>弄虚作假行为，所造成的损失、不良后果及法律责任，一律由我公司（企业）承担。</w:t>
      </w:r>
    </w:p>
    <w:p>
      <w:pPr>
        <w:spacing w:line="360" w:lineRule="auto"/>
        <w:ind w:firstLine="42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特此声明！</w:t>
      </w:r>
    </w:p>
    <w:p>
      <w:pPr>
        <w:autoSpaceDE w:val="0"/>
        <w:autoSpaceDN w:val="0"/>
        <w:adjustRightInd w:val="0"/>
        <w:spacing w:line="360" w:lineRule="auto"/>
        <w:ind w:firstLine="413" w:firstLineChars="196"/>
        <w:rPr>
          <w:rFonts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备注：</w:t>
      </w:r>
    </w:p>
    <w:p>
      <w:pPr>
        <w:pStyle w:val="30"/>
        <w:numPr>
          <w:ilvl w:val="0"/>
          <w:numId w:val="17"/>
        </w:numPr>
        <w:autoSpaceDE w:val="0"/>
        <w:autoSpaceDN w:val="0"/>
        <w:adjustRightInd w:val="0"/>
        <w:spacing w:line="360" w:lineRule="auto"/>
        <w:ind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本声明函必须提供且内容不得擅自删改，否则视为响应无效。</w:t>
      </w:r>
    </w:p>
    <w:p>
      <w:pPr>
        <w:pStyle w:val="30"/>
        <w:numPr>
          <w:ilvl w:val="0"/>
          <w:numId w:val="17"/>
        </w:numPr>
        <w:snapToGrid w:val="0"/>
        <w:spacing w:line="360" w:lineRule="auto"/>
        <w:ind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本声明函如有虚假或与事实不符的，作无效报价处理。</w:t>
      </w:r>
    </w:p>
    <w:p>
      <w:pPr>
        <w:pStyle w:val="30"/>
        <w:wordWrap w:val="0"/>
        <w:spacing w:line="360" w:lineRule="auto"/>
        <w:ind w:left="1200" w:right="218" w:firstLine="0" w:firstLineChars="0"/>
        <w:jc w:val="right"/>
        <w:rPr>
          <w:rFonts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供应商名称（</w:t>
      </w:r>
      <w:r>
        <w:rPr>
          <w:rFonts w:hint="eastAsia" w:ascii="宋体" w:hAnsi="宋体" w:eastAsia="宋体" w:cs="宋体"/>
          <w:color w:val="000000" w:themeColor="text1"/>
          <w:szCs w:val="21"/>
          <w14:textFill>
            <w14:solidFill>
              <w14:schemeClr w14:val="tx1"/>
            </w14:solidFill>
          </w14:textFill>
        </w:rPr>
        <w:t>单位盖</w:t>
      </w:r>
      <w:r>
        <w:rPr>
          <w:rFonts w:hint="eastAsia" w:ascii="宋体" w:hAnsi="宋体" w:eastAsia="宋体" w:cs="宋体"/>
          <w:color w:val="000000" w:themeColor="text1"/>
          <w:spacing w:val="4"/>
          <w:szCs w:val="21"/>
          <w14:textFill>
            <w14:solidFill>
              <w14:schemeClr w14:val="tx1"/>
            </w14:solidFill>
          </w14:textFill>
        </w:rPr>
        <w:t>公章）：</w:t>
      </w:r>
      <w:r>
        <w:rPr>
          <w:rFonts w:hint="eastAsia" w:ascii="宋体" w:hAnsi="宋体" w:eastAsia="宋体" w:cs="宋体"/>
          <w:color w:val="000000" w:themeColor="text1"/>
          <w:spacing w:val="4"/>
          <w:szCs w:val="21"/>
          <w:u w:val="single"/>
          <w14:textFill>
            <w14:solidFill>
              <w14:schemeClr w14:val="tx1"/>
            </w14:solidFill>
          </w14:textFill>
        </w:rPr>
        <w:t xml:space="preserve">          </w:t>
      </w:r>
    </w:p>
    <w:p>
      <w:pPr>
        <w:pStyle w:val="30"/>
        <w:wordWrap w:val="0"/>
        <w:spacing w:line="360" w:lineRule="auto"/>
        <w:ind w:left="1200" w:right="218" w:firstLine="0" w:firstLineChars="0"/>
        <w:jc w:val="right"/>
        <w:rPr>
          <w:rFonts w:ascii="宋体" w:hAnsi="宋体" w:eastAsia="宋体" w:cs="宋体"/>
          <w:color w:val="000000" w:themeColor="text1"/>
          <w:spacing w:val="4"/>
          <w:szCs w:val="21"/>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日期：</w:t>
      </w:r>
      <w:r>
        <w:rPr>
          <w:rFonts w:hint="eastAsia" w:ascii="宋体" w:hAnsi="宋体" w:eastAsia="宋体" w:cs="宋体"/>
          <w:color w:val="000000" w:themeColor="text1"/>
          <w:spacing w:val="4"/>
          <w:szCs w:val="21"/>
          <w:u w:val="single"/>
          <w14:textFill>
            <w14:solidFill>
              <w14:schemeClr w14:val="tx1"/>
            </w14:solidFill>
          </w14:textFill>
        </w:rPr>
        <w:t xml:space="preserve">          </w:t>
      </w:r>
    </w:p>
    <w:p>
      <w:pPr>
        <w:spacing w:line="360" w:lineRule="auto"/>
        <w:rPr>
          <w:rFonts w:ascii="宋体" w:hAnsi="宋体" w:eastAsia="宋体" w:cs="宋体"/>
          <w:color w:val="000000"/>
          <w:szCs w:val="21"/>
          <w:lang w:val="zh-CN" w:bidi="ar"/>
        </w:rPr>
      </w:pPr>
      <w:bookmarkStart w:id="0" w:name="_GoBack"/>
      <w:bookmarkEnd w:id="0"/>
    </w:p>
    <w:sectPr>
      <w:headerReference r:id="rId4" w:type="first"/>
      <w:headerReference r:id="rId3" w:type="default"/>
      <w:type w:val="continuous"/>
      <w:pgSz w:w="11906" w:h="16838"/>
      <w:pgMar w:top="1417" w:right="1800" w:bottom="1417" w:left="1800" w:header="720" w:footer="720"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left"/>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1AE412"/>
    <w:multiLevelType w:val="singleLevel"/>
    <w:tmpl w:val="C21AE412"/>
    <w:lvl w:ilvl="0" w:tentative="0">
      <w:start w:val="1"/>
      <w:numFmt w:val="chineseCounting"/>
      <w:suff w:val="nothing"/>
      <w:lvlText w:val="%1、"/>
      <w:lvlJc w:val="left"/>
      <w:pPr>
        <w:ind w:left="0" w:firstLine="420"/>
      </w:pPr>
      <w:rPr>
        <w:rFonts w:hint="eastAsia"/>
      </w:rPr>
    </w:lvl>
  </w:abstractNum>
  <w:abstractNum w:abstractNumId="1">
    <w:nsid w:val="D7010DB7"/>
    <w:multiLevelType w:val="singleLevel"/>
    <w:tmpl w:val="D7010DB7"/>
    <w:lvl w:ilvl="0" w:tentative="0">
      <w:start w:val="1"/>
      <w:numFmt w:val="decimal"/>
      <w:suff w:val="nothing"/>
      <w:lvlText w:val="%1．"/>
      <w:lvlJc w:val="left"/>
      <w:pPr>
        <w:ind w:left="0" w:firstLine="400"/>
      </w:pPr>
      <w:rPr>
        <w:rFonts w:hint="default" w:ascii="宋体" w:hAnsi="宋体" w:eastAsia="宋体" w:cstheme="minorEastAsia"/>
        <w:sz w:val="21"/>
        <w:szCs w:val="21"/>
      </w:rPr>
    </w:lvl>
  </w:abstractNum>
  <w:abstractNum w:abstractNumId="2">
    <w:nsid w:val="F09CFC33"/>
    <w:multiLevelType w:val="singleLevel"/>
    <w:tmpl w:val="F09CFC33"/>
    <w:lvl w:ilvl="0" w:tentative="0">
      <w:start w:val="1"/>
      <w:numFmt w:val="decimal"/>
      <w:lvlText w:val="(%1)"/>
      <w:lvlJc w:val="left"/>
      <w:pPr>
        <w:ind w:left="425" w:hanging="425"/>
      </w:pPr>
      <w:rPr>
        <w:rFonts w:hint="default" w:ascii="宋体" w:hAnsi="宋体" w:eastAsia="宋体" w:cs="宋体"/>
        <w:sz w:val="21"/>
        <w:szCs w:val="21"/>
      </w:rPr>
    </w:lvl>
  </w:abstractNum>
  <w:abstractNum w:abstractNumId="3">
    <w:nsid w:val="F47A0796"/>
    <w:multiLevelType w:val="singleLevel"/>
    <w:tmpl w:val="F47A0796"/>
    <w:lvl w:ilvl="0" w:tentative="0">
      <w:start w:val="1"/>
      <w:numFmt w:val="chineseCounting"/>
      <w:suff w:val="nothing"/>
      <w:lvlText w:val="（%1）"/>
      <w:lvlJc w:val="left"/>
      <w:pPr>
        <w:ind w:left="0" w:firstLine="420"/>
      </w:pPr>
      <w:rPr>
        <w:rFonts w:hint="eastAsia"/>
        <w:b/>
        <w:bCs/>
      </w:rPr>
    </w:lvl>
  </w:abstractNum>
  <w:abstractNum w:abstractNumId="4">
    <w:nsid w:val="F4E25012"/>
    <w:multiLevelType w:val="multilevel"/>
    <w:tmpl w:val="F4E25012"/>
    <w:lvl w:ilvl="0" w:tentative="0">
      <w:start w:val="1"/>
      <w:numFmt w:val="chineseCountingThousand"/>
      <w:lvlText w:val="%1、"/>
      <w:lvlJc w:val="left"/>
      <w:pPr>
        <w:tabs>
          <w:tab w:val="left" w:pos="420"/>
        </w:tabs>
        <w:ind w:left="420" w:hanging="420"/>
      </w:pPr>
      <w:rPr>
        <w:rFonts w:hint="eastAsia" w:ascii="宋体" w:hAnsi="宋体" w:eastAsia="宋体" w:cs="宋体"/>
        <w:b/>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10"/>
    <w:multiLevelType w:val="multilevel"/>
    <w:tmpl w:val="00000010"/>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default" w:ascii="宋体" w:hAnsi="宋体" w:eastAsia="宋体" w:cs="Times New Roman"/>
        <w:b w:val="0"/>
        <w:dstrike w:val="0"/>
      </w:rPr>
    </w:lvl>
    <w:lvl w:ilvl="2" w:tentative="0">
      <w:start w:val="1"/>
      <w:numFmt w:val="decimal"/>
      <w:lvlText w:val="%1.%2.%3"/>
      <w:lvlJc w:val="left"/>
      <w:pPr>
        <w:tabs>
          <w:tab w:val="left" w:pos="1703"/>
        </w:tabs>
        <w:ind w:left="1703" w:hanging="851"/>
      </w:pPr>
      <w:rPr>
        <w:rFonts w:hint="default" w:ascii="宋体" w:hAnsi="宋体" w:eastAsia="宋体" w:cs="Times New Roman"/>
        <w:b w:val="0"/>
        <w:color w:val="auto"/>
        <w:sz w:val="21"/>
        <w:szCs w:val="21"/>
      </w:rPr>
    </w:lvl>
    <w:lvl w:ilvl="3" w:tentative="0">
      <w:start w:val="1"/>
      <w:numFmt w:val="decimal"/>
      <w:pStyle w:val="39"/>
      <w:lvlText w:val="%1.%2.%3.%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
    <w:nsid w:val="0304B097"/>
    <w:multiLevelType w:val="singleLevel"/>
    <w:tmpl w:val="0304B097"/>
    <w:lvl w:ilvl="0" w:tentative="0">
      <w:start w:val="1"/>
      <w:numFmt w:val="decimal"/>
      <w:suff w:val="nothing"/>
      <w:lvlText w:val="%1．"/>
      <w:lvlJc w:val="left"/>
      <w:pPr>
        <w:ind w:left="0" w:firstLine="400"/>
      </w:pPr>
      <w:rPr>
        <w:rFonts w:hint="default" w:ascii="宋体" w:hAnsi="宋体" w:eastAsia="宋体" w:cs="宋体"/>
        <w:sz w:val="21"/>
        <w:szCs w:val="21"/>
      </w:rPr>
    </w:lvl>
  </w:abstractNum>
  <w:abstractNum w:abstractNumId="7">
    <w:nsid w:val="1579B33C"/>
    <w:multiLevelType w:val="singleLevel"/>
    <w:tmpl w:val="1579B33C"/>
    <w:lvl w:ilvl="0" w:tentative="0">
      <w:start w:val="1"/>
      <w:numFmt w:val="decimal"/>
      <w:suff w:val="nothing"/>
      <w:lvlText w:val="%1．"/>
      <w:lvlJc w:val="left"/>
      <w:pPr>
        <w:ind w:left="0" w:firstLine="400"/>
      </w:pPr>
      <w:rPr>
        <w:rFonts w:hint="default" w:ascii="宋体" w:hAnsi="宋体" w:eastAsia="宋体" w:cs="宋体"/>
        <w:sz w:val="21"/>
        <w:szCs w:val="21"/>
      </w:rPr>
    </w:lvl>
  </w:abstractNum>
  <w:abstractNum w:abstractNumId="8">
    <w:nsid w:val="1C0F739A"/>
    <w:multiLevelType w:val="singleLevel"/>
    <w:tmpl w:val="1C0F739A"/>
    <w:lvl w:ilvl="0" w:tentative="0">
      <w:start w:val="1"/>
      <w:numFmt w:val="decimal"/>
      <w:suff w:val="nothing"/>
      <w:lvlText w:val="%1．"/>
      <w:lvlJc w:val="left"/>
      <w:pPr>
        <w:ind w:left="0" w:firstLine="400"/>
      </w:pPr>
      <w:rPr>
        <w:rFonts w:hint="default" w:ascii="宋体" w:hAnsi="宋体" w:eastAsia="宋体" w:cstheme="minorEastAsia"/>
        <w:sz w:val="21"/>
        <w:szCs w:val="21"/>
      </w:rPr>
    </w:lvl>
  </w:abstractNum>
  <w:abstractNum w:abstractNumId="9">
    <w:nsid w:val="288C32E4"/>
    <w:multiLevelType w:val="multilevel"/>
    <w:tmpl w:val="288C32E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2F0E7B2B"/>
    <w:multiLevelType w:val="multilevel"/>
    <w:tmpl w:val="2F0E7B2B"/>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11">
    <w:nsid w:val="4A4E5F20"/>
    <w:multiLevelType w:val="multilevel"/>
    <w:tmpl w:val="4A4E5F20"/>
    <w:lvl w:ilvl="0" w:tentative="0">
      <w:start w:val="1"/>
      <w:numFmt w:val="decimal"/>
      <w:lvlText w:val="%1."/>
      <w:lvlJc w:val="left"/>
      <w:pPr>
        <w:tabs>
          <w:tab w:val="left" w:pos="425"/>
        </w:tabs>
        <w:ind w:left="425" w:hanging="425"/>
      </w:pPr>
      <w:rPr>
        <w:rFonts w:hint="default" w:ascii="等线" w:hAnsi="等线" w:eastAsia="等线" w:cs="Times New Roman"/>
        <w:b w:val="0"/>
      </w:r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2">
    <w:nsid w:val="4CCCCDC4"/>
    <w:multiLevelType w:val="singleLevel"/>
    <w:tmpl w:val="4CCCCDC4"/>
    <w:lvl w:ilvl="0" w:tentative="0">
      <w:start w:val="1"/>
      <w:numFmt w:val="decimal"/>
      <w:suff w:val="nothing"/>
      <w:lvlText w:val="%1．"/>
      <w:lvlJc w:val="left"/>
      <w:pPr>
        <w:ind w:left="0" w:firstLine="400"/>
      </w:pPr>
      <w:rPr>
        <w:rFonts w:hint="default" w:ascii="宋体" w:hAnsi="宋体" w:eastAsia="宋体" w:cstheme="minorEastAsia"/>
        <w:sz w:val="21"/>
        <w:szCs w:val="21"/>
      </w:rPr>
    </w:lvl>
  </w:abstractNum>
  <w:abstractNum w:abstractNumId="13">
    <w:nsid w:val="4CE23F7C"/>
    <w:multiLevelType w:val="multilevel"/>
    <w:tmpl w:val="4CE23F7C"/>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14">
    <w:nsid w:val="590DFEAE"/>
    <w:multiLevelType w:val="singleLevel"/>
    <w:tmpl w:val="590DFEAE"/>
    <w:lvl w:ilvl="0" w:tentative="0">
      <w:start w:val="1"/>
      <w:numFmt w:val="decimal"/>
      <w:suff w:val="nothing"/>
      <w:lvlText w:val="%1．"/>
      <w:lvlJc w:val="left"/>
      <w:pPr>
        <w:ind w:left="0" w:firstLine="400"/>
      </w:pPr>
      <w:rPr>
        <w:rFonts w:hint="default" w:ascii="宋体" w:hAnsi="宋体" w:eastAsia="宋体" w:cs="宋体"/>
        <w:sz w:val="21"/>
        <w:szCs w:val="21"/>
      </w:rPr>
    </w:lvl>
  </w:abstractNum>
  <w:abstractNum w:abstractNumId="15">
    <w:nsid w:val="63784A10"/>
    <w:multiLevelType w:val="multilevel"/>
    <w:tmpl w:val="63784A10"/>
    <w:lvl w:ilvl="0" w:tentative="0">
      <w:start w:val="1"/>
      <w:numFmt w:val="chineseCountingThousand"/>
      <w:suff w:val="nothing"/>
      <w:lvlText w:val="%1、"/>
      <w:lvlJc w:val="left"/>
      <w:pPr>
        <w:ind w:left="420" w:hanging="420"/>
      </w:pPr>
      <w:rPr>
        <w:rFonts w:hint="eastAsia"/>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6E19083E"/>
    <w:multiLevelType w:val="multilevel"/>
    <w:tmpl w:val="6E19083E"/>
    <w:lvl w:ilvl="0" w:tentative="0">
      <w:start w:val="1"/>
      <w:numFmt w:val="decimal"/>
      <w:lvlText w:val="%1."/>
      <w:lvlJc w:val="left"/>
      <w:pPr>
        <w:ind w:left="420" w:hanging="420"/>
      </w:pPr>
      <w:rPr>
        <w:rFonts w:hint="default"/>
        <w:sz w:val="21"/>
        <w:szCs w:val="21"/>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15"/>
  </w:num>
  <w:num w:numId="3">
    <w:abstractNumId w:val="3"/>
  </w:num>
  <w:num w:numId="4">
    <w:abstractNumId w:val="12"/>
  </w:num>
  <w:num w:numId="5">
    <w:abstractNumId w:val="1"/>
  </w:num>
  <w:num w:numId="6">
    <w:abstractNumId w:val="6"/>
  </w:num>
  <w:num w:numId="7">
    <w:abstractNumId w:val="7"/>
  </w:num>
  <w:num w:numId="8">
    <w:abstractNumId w:val="14"/>
  </w:num>
  <w:num w:numId="9">
    <w:abstractNumId w:val="8"/>
  </w:num>
  <w:num w:numId="10">
    <w:abstractNumId w:val="2"/>
  </w:num>
  <w:num w:numId="11">
    <w:abstractNumId w:val="9"/>
  </w:num>
  <w:num w:numId="12">
    <w:abstractNumId w:val="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0"/>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xZTlhZWY5YzcxZDcyMjNlNTA2YTA3MGU5NWIyMDYifQ=="/>
  </w:docVars>
  <w:rsids>
    <w:rsidRoot w:val="00603670"/>
    <w:rsid w:val="0000298A"/>
    <w:rsid w:val="00011A82"/>
    <w:rsid w:val="000163AB"/>
    <w:rsid w:val="00027036"/>
    <w:rsid w:val="00042B6B"/>
    <w:rsid w:val="000431C9"/>
    <w:rsid w:val="00045E6F"/>
    <w:rsid w:val="00050534"/>
    <w:rsid w:val="00053978"/>
    <w:rsid w:val="000565F1"/>
    <w:rsid w:val="0006472A"/>
    <w:rsid w:val="00072D57"/>
    <w:rsid w:val="000749D9"/>
    <w:rsid w:val="00075391"/>
    <w:rsid w:val="00082CDE"/>
    <w:rsid w:val="00083BE6"/>
    <w:rsid w:val="00086BDC"/>
    <w:rsid w:val="000B040C"/>
    <w:rsid w:val="000B3F59"/>
    <w:rsid w:val="000C5ABD"/>
    <w:rsid w:val="000E1199"/>
    <w:rsid w:val="000E2971"/>
    <w:rsid w:val="000E4C42"/>
    <w:rsid w:val="000F1249"/>
    <w:rsid w:val="000F423D"/>
    <w:rsid w:val="00107E2D"/>
    <w:rsid w:val="0011556A"/>
    <w:rsid w:val="00116EDF"/>
    <w:rsid w:val="00123BEA"/>
    <w:rsid w:val="001304CF"/>
    <w:rsid w:val="00140AD2"/>
    <w:rsid w:val="00143DFC"/>
    <w:rsid w:val="00145AE8"/>
    <w:rsid w:val="0016171E"/>
    <w:rsid w:val="00175ECB"/>
    <w:rsid w:val="001775AE"/>
    <w:rsid w:val="00182BE9"/>
    <w:rsid w:val="001863E0"/>
    <w:rsid w:val="001A0DDF"/>
    <w:rsid w:val="001A769F"/>
    <w:rsid w:val="001B0A70"/>
    <w:rsid w:val="001B74DB"/>
    <w:rsid w:val="001C071E"/>
    <w:rsid w:val="001C3D61"/>
    <w:rsid w:val="001C43C7"/>
    <w:rsid w:val="001C6BE3"/>
    <w:rsid w:val="001D1026"/>
    <w:rsid w:val="001D33E6"/>
    <w:rsid w:val="001D3E3B"/>
    <w:rsid w:val="001E48AC"/>
    <w:rsid w:val="001E5C33"/>
    <w:rsid w:val="001F3F8C"/>
    <w:rsid w:val="002056C6"/>
    <w:rsid w:val="00220312"/>
    <w:rsid w:val="002379C7"/>
    <w:rsid w:val="0024390D"/>
    <w:rsid w:val="00251790"/>
    <w:rsid w:val="00253352"/>
    <w:rsid w:val="00262DAA"/>
    <w:rsid w:val="0026399A"/>
    <w:rsid w:val="002674A4"/>
    <w:rsid w:val="00270E13"/>
    <w:rsid w:val="00274FF8"/>
    <w:rsid w:val="00283853"/>
    <w:rsid w:val="00283A1B"/>
    <w:rsid w:val="002920CA"/>
    <w:rsid w:val="002A1D82"/>
    <w:rsid w:val="002A1FE5"/>
    <w:rsid w:val="002A50F6"/>
    <w:rsid w:val="002B2992"/>
    <w:rsid w:val="002B4DF8"/>
    <w:rsid w:val="002B6EEB"/>
    <w:rsid w:val="002C7CC8"/>
    <w:rsid w:val="002D4EBD"/>
    <w:rsid w:val="002D5B83"/>
    <w:rsid w:val="002E0263"/>
    <w:rsid w:val="002E5F86"/>
    <w:rsid w:val="002E61D3"/>
    <w:rsid w:val="002E66A9"/>
    <w:rsid w:val="002F352E"/>
    <w:rsid w:val="002F4A33"/>
    <w:rsid w:val="002F5E67"/>
    <w:rsid w:val="0031356B"/>
    <w:rsid w:val="00327C22"/>
    <w:rsid w:val="00332AF3"/>
    <w:rsid w:val="00336F07"/>
    <w:rsid w:val="00342E19"/>
    <w:rsid w:val="00355F34"/>
    <w:rsid w:val="00361074"/>
    <w:rsid w:val="00366797"/>
    <w:rsid w:val="003818F2"/>
    <w:rsid w:val="00383905"/>
    <w:rsid w:val="00384761"/>
    <w:rsid w:val="00392847"/>
    <w:rsid w:val="00393D24"/>
    <w:rsid w:val="00394537"/>
    <w:rsid w:val="00395A64"/>
    <w:rsid w:val="00395C9C"/>
    <w:rsid w:val="00396F62"/>
    <w:rsid w:val="003B0A20"/>
    <w:rsid w:val="003B48C0"/>
    <w:rsid w:val="003B5D20"/>
    <w:rsid w:val="003C419C"/>
    <w:rsid w:val="003D2DE8"/>
    <w:rsid w:val="003D3C42"/>
    <w:rsid w:val="003E273C"/>
    <w:rsid w:val="003F38D5"/>
    <w:rsid w:val="00403AB2"/>
    <w:rsid w:val="00412749"/>
    <w:rsid w:val="004211A3"/>
    <w:rsid w:val="00425F66"/>
    <w:rsid w:val="00431BF0"/>
    <w:rsid w:val="00431DBE"/>
    <w:rsid w:val="00433B9F"/>
    <w:rsid w:val="00456ED5"/>
    <w:rsid w:val="0045760A"/>
    <w:rsid w:val="004610D7"/>
    <w:rsid w:val="004613B9"/>
    <w:rsid w:val="0047081D"/>
    <w:rsid w:val="004765F8"/>
    <w:rsid w:val="00476745"/>
    <w:rsid w:val="00476899"/>
    <w:rsid w:val="00491492"/>
    <w:rsid w:val="00492B35"/>
    <w:rsid w:val="00493336"/>
    <w:rsid w:val="00494623"/>
    <w:rsid w:val="00496883"/>
    <w:rsid w:val="004A36A8"/>
    <w:rsid w:val="004B4136"/>
    <w:rsid w:val="004B57DA"/>
    <w:rsid w:val="004B7182"/>
    <w:rsid w:val="004D2165"/>
    <w:rsid w:val="004D2A3E"/>
    <w:rsid w:val="004D491B"/>
    <w:rsid w:val="004D6D34"/>
    <w:rsid w:val="004E3790"/>
    <w:rsid w:val="004F1479"/>
    <w:rsid w:val="00501334"/>
    <w:rsid w:val="00501F2E"/>
    <w:rsid w:val="00521996"/>
    <w:rsid w:val="00522280"/>
    <w:rsid w:val="005316BD"/>
    <w:rsid w:val="00533B92"/>
    <w:rsid w:val="00534F6E"/>
    <w:rsid w:val="00535EEC"/>
    <w:rsid w:val="005456E9"/>
    <w:rsid w:val="005462F7"/>
    <w:rsid w:val="005521A5"/>
    <w:rsid w:val="00555B34"/>
    <w:rsid w:val="00565168"/>
    <w:rsid w:val="005656FE"/>
    <w:rsid w:val="005678E8"/>
    <w:rsid w:val="00577172"/>
    <w:rsid w:val="00585A83"/>
    <w:rsid w:val="00591BC0"/>
    <w:rsid w:val="00593C7A"/>
    <w:rsid w:val="005B1D70"/>
    <w:rsid w:val="005B3711"/>
    <w:rsid w:val="005C064C"/>
    <w:rsid w:val="005C3A40"/>
    <w:rsid w:val="005D0B0F"/>
    <w:rsid w:val="005D4A57"/>
    <w:rsid w:val="005D72B7"/>
    <w:rsid w:val="005D796C"/>
    <w:rsid w:val="005E4015"/>
    <w:rsid w:val="005E748F"/>
    <w:rsid w:val="005F00ED"/>
    <w:rsid w:val="005F4F7A"/>
    <w:rsid w:val="005F6D53"/>
    <w:rsid w:val="00603670"/>
    <w:rsid w:val="006037D5"/>
    <w:rsid w:val="00616532"/>
    <w:rsid w:val="00616AE3"/>
    <w:rsid w:val="00620F2C"/>
    <w:rsid w:val="00627F1C"/>
    <w:rsid w:val="0064715C"/>
    <w:rsid w:val="00653613"/>
    <w:rsid w:val="00655177"/>
    <w:rsid w:val="0066018A"/>
    <w:rsid w:val="00662408"/>
    <w:rsid w:val="00673379"/>
    <w:rsid w:val="006779F7"/>
    <w:rsid w:val="00680244"/>
    <w:rsid w:val="006817FD"/>
    <w:rsid w:val="006923B3"/>
    <w:rsid w:val="006948F2"/>
    <w:rsid w:val="006A61C8"/>
    <w:rsid w:val="006B07B5"/>
    <w:rsid w:val="006B1BFB"/>
    <w:rsid w:val="006B764E"/>
    <w:rsid w:val="006D213E"/>
    <w:rsid w:val="006D5FC6"/>
    <w:rsid w:val="006D7E04"/>
    <w:rsid w:val="00700C51"/>
    <w:rsid w:val="00704006"/>
    <w:rsid w:val="00704031"/>
    <w:rsid w:val="00704C21"/>
    <w:rsid w:val="007056A1"/>
    <w:rsid w:val="007059E9"/>
    <w:rsid w:val="0071097B"/>
    <w:rsid w:val="007128C2"/>
    <w:rsid w:val="00713BF5"/>
    <w:rsid w:val="00715D44"/>
    <w:rsid w:val="00717FA5"/>
    <w:rsid w:val="007214B0"/>
    <w:rsid w:val="00721994"/>
    <w:rsid w:val="00724E13"/>
    <w:rsid w:val="00726EDF"/>
    <w:rsid w:val="007342B9"/>
    <w:rsid w:val="00741354"/>
    <w:rsid w:val="007440B0"/>
    <w:rsid w:val="007470DA"/>
    <w:rsid w:val="00761C9A"/>
    <w:rsid w:val="00762179"/>
    <w:rsid w:val="00766BD6"/>
    <w:rsid w:val="00772ED2"/>
    <w:rsid w:val="00781170"/>
    <w:rsid w:val="00781957"/>
    <w:rsid w:val="00783B9B"/>
    <w:rsid w:val="00786D28"/>
    <w:rsid w:val="00793437"/>
    <w:rsid w:val="0079465B"/>
    <w:rsid w:val="007B645B"/>
    <w:rsid w:val="007C5792"/>
    <w:rsid w:val="007E26FA"/>
    <w:rsid w:val="007E3EDE"/>
    <w:rsid w:val="007F26F4"/>
    <w:rsid w:val="007F6B25"/>
    <w:rsid w:val="0080065E"/>
    <w:rsid w:val="008034FC"/>
    <w:rsid w:val="00803518"/>
    <w:rsid w:val="00811E08"/>
    <w:rsid w:val="00812470"/>
    <w:rsid w:val="008124C1"/>
    <w:rsid w:val="0082229E"/>
    <w:rsid w:val="00825FF0"/>
    <w:rsid w:val="00830919"/>
    <w:rsid w:val="00847407"/>
    <w:rsid w:val="008537C7"/>
    <w:rsid w:val="008556E4"/>
    <w:rsid w:val="00856F2F"/>
    <w:rsid w:val="00875023"/>
    <w:rsid w:val="00881257"/>
    <w:rsid w:val="00882269"/>
    <w:rsid w:val="008A5110"/>
    <w:rsid w:val="008A7093"/>
    <w:rsid w:val="008A75A4"/>
    <w:rsid w:val="008B7BAC"/>
    <w:rsid w:val="008B7C71"/>
    <w:rsid w:val="008C2AB1"/>
    <w:rsid w:val="008C3917"/>
    <w:rsid w:val="008C7245"/>
    <w:rsid w:val="008D0A5A"/>
    <w:rsid w:val="008D1A5C"/>
    <w:rsid w:val="008D522B"/>
    <w:rsid w:val="008E3CD8"/>
    <w:rsid w:val="008E49E5"/>
    <w:rsid w:val="008E6EDC"/>
    <w:rsid w:val="008F3BD8"/>
    <w:rsid w:val="008F3E0F"/>
    <w:rsid w:val="008F3F79"/>
    <w:rsid w:val="008F480D"/>
    <w:rsid w:val="00904D13"/>
    <w:rsid w:val="009227C3"/>
    <w:rsid w:val="0092421F"/>
    <w:rsid w:val="00932E40"/>
    <w:rsid w:val="00937F4D"/>
    <w:rsid w:val="00940CEB"/>
    <w:rsid w:val="00945388"/>
    <w:rsid w:val="00945FC8"/>
    <w:rsid w:val="0094675A"/>
    <w:rsid w:val="009500CB"/>
    <w:rsid w:val="00950D89"/>
    <w:rsid w:val="00966193"/>
    <w:rsid w:val="009666D4"/>
    <w:rsid w:val="00966E16"/>
    <w:rsid w:val="00977403"/>
    <w:rsid w:val="00981FCF"/>
    <w:rsid w:val="009877F1"/>
    <w:rsid w:val="00990253"/>
    <w:rsid w:val="00991F41"/>
    <w:rsid w:val="009A21C0"/>
    <w:rsid w:val="009A4BF3"/>
    <w:rsid w:val="009B4D41"/>
    <w:rsid w:val="009C2904"/>
    <w:rsid w:val="009C2D78"/>
    <w:rsid w:val="009C51EA"/>
    <w:rsid w:val="009D0859"/>
    <w:rsid w:val="009D4FC9"/>
    <w:rsid w:val="009E5075"/>
    <w:rsid w:val="009E5F7B"/>
    <w:rsid w:val="009F22AA"/>
    <w:rsid w:val="00A042E3"/>
    <w:rsid w:val="00A0472A"/>
    <w:rsid w:val="00A13934"/>
    <w:rsid w:val="00A16824"/>
    <w:rsid w:val="00A16C1A"/>
    <w:rsid w:val="00A202CE"/>
    <w:rsid w:val="00A258AD"/>
    <w:rsid w:val="00A30C64"/>
    <w:rsid w:val="00A35A63"/>
    <w:rsid w:val="00A444BF"/>
    <w:rsid w:val="00A45A6D"/>
    <w:rsid w:val="00A82740"/>
    <w:rsid w:val="00AA2719"/>
    <w:rsid w:val="00AA4A01"/>
    <w:rsid w:val="00AB6105"/>
    <w:rsid w:val="00AC2AF9"/>
    <w:rsid w:val="00AD08E8"/>
    <w:rsid w:val="00AD3C05"/>
    <w:rsid w:val="00AD6219"/>
    <w:rsid w:val="00AE270A"/>
    <w:rsid w:val="00AE2F48"/>
    <w:rsid w:val="00AF1D6C"/>
    <w:rsid w:val="00AF4372"/>
    <w:rsid w:val="00B0099A"/>
    <w:rsid w:val="00B06AE0"/>
    <w:rsid w:val="00B141DC"/>
    <w:rsid w:val="00B16927"/>
    <w:rsid w:val="00B4687C"/>
    <w:rsid w:val="00B5406D"/>
    <w:rsid w:val="00B617FE"/>
    <w:rsid w:val="00B85FC9"/>
    <w:rsid w:val="00B9732A"/>
    <w:rsid w:val="00BA1245"/>
    <w:rsid w:val="00BA578C"/>
    <w:rsid w:val="00BB45E3"/>
    <w:rsid w:val="00BB566D"/>
    <w:rsid w:val="00BB5881"/>
    <w:rsid w:val="00BB67EB"/>
    <w:rsid w:val="00BC4505"/>
    <w:rsid w:val="00BC697C"/>
    <w:rsid w:val="00BD3301"/>
    <w:rsid w:val="00BD4CD9"/>
    <w:rsid w:val="00BF04FE"/>
    <w:rsid w:val="00BF568B"/>
    <w:rsid w:val="00C00098"/>
    <w:rsid w:val="00C02598"/>
    <w:rsid w:val="00C2026A"/>
    <w:rsid w:val="00C21B82"/>
    <w:rsid w:val="00C31252"/>
    <w:rsid w:val="00C368FE"/>
    <w:rsid w:val="00C40805"/>
    <w:rsid w:val="00C455DD"/>
    <w:rsid w:val="00C476C2"/>
    <w:rsid w:val="00C541C5"/>
    <w:rsid w:val="00C56A1C"/>
    <w:rsid w:val="00C65789"/>
    <w:rsid w:val="00C776A4"/>
    <w:rsid w:val="00C83E6E"/>
    <w:rsid w:val="00C90DA1"/>
    <w:rsid w:val="00CA090A"/>
    <w:rsid w:val="00CA0CCB"/>
    <w:rsid w:val="00CA0FD7"/>
    <w:rsid w:val="00CC17D4"/>
    <w:rsid w:val="00CD143C"/>
    <w:rsid w:val="00CD57F2"/>
    <w:rsid w:val="00CE71FC"/>
    <w:rsid w:val="00CF2666"/>
    <w:rsid w:val="00CF59AA"/>
    <w:rsid w:val="00D002F2"/>
    <w:rsid w:val="00D015A2"/>
    <w:rsid w:val="00D10E67"/>
    <w:rsid w:val="00D2020D"/>
    <w:rsid w:val="00D221F4"/>
    <w:rsid w:val="00D24487"/>
    <w:rsid w:val="00D30F45"/>
    <w:rsid w:val="00D32910"/>
    <w:rsid w:val="00D4308A"/>
    <w:rsid w:val="00D467C0"/>
    <w:rsid w:val="00D533FC"/>
    <w:rsid w:val="00D61271"/>
    <w:rsid w:val="00D638E3"/>
    <w:rsid w:val="00D7179D"/>
    <w:rsid w:val="00D71805"/>
    <w:rsid w:val="00D72607"/>
    <w:rsid w:val="00D8277B"/>
    <w:rsid w:val="00D82EF0"/>
    <w:rsid w:val="00D834B2"/>
    <w:rsid w:val="00D9501D"/>
    <w:rsid w:val="00D953AB"/>
    <w:rsid w:val="00D95437"/>
    <w:rsid w:val="00D95FC8"/>
    <w:rsid w:val="00D96CBE"/>
    <w:rsid w:val="00DA5447"/>
    <w:rsid w:val="00DA677A"/>
    <w:rsid w:val="00DD1F0C"/>
    <w:rsid w:val="00DD2C2A"/>
    <w:rsid w:val="00DD3557"/>
    <w:rsid w:val="00DD4221"/>
    <w:rsid w:val="00E01F9F"/>
    <w:rsid w:val="00E06F98"/>
    <w:rsid w:val="00E07AB9"/>
    <w:rsid w:val="00E127FA"/>
    <w:rsid w:val="00E255DD"/>
    <w:rsid w:val="00E300EB"/>
    <w:rsid w:val="00E33E2A"/>
    <w:rsid w:val="00E3421A"/>
    <w:rsid w:val="00E34EB3"/>
    <w:rsid w:val="00E4552F"/>
    <w:rsid w:val="00E456ED"/>
    <w:rsid w:val="00E52B0C"/>
    <w:rsid w:val="00E63355"/>
    <w:rsid w:val="00E70313"/>
    <w:rsid w:val="00E81F84"/>
    <w:rsid w:val="00E84F37"/>
    <w:rsid w:val="00E94445"/>
    <w:rsid w:val="00E96562"/>
    <w:rsid w:val="00EA08B8"/>
    <w:rsid w:val="00EA1D68"/>
    <w:rsid w:val="00EA6C46"/>
    <w:rsid w:val="00EB3E5D"/>
    <w:rsid w:val="00EC6A4D"/>
    <w:rsid w:val="00EC6B71"/>
    <w:rsid w:val="00ED5181"/>
    <w:rsid w:val="00EE154B"/>
    <w:rsid w:val="00EE203B"/>
    <w:rsid w:val="00EE22B8"/>
    <w:rsid w:val="00EE6332"/>
    <w:rsid w:val="00EE7439"/>
    <w:rsid w:val="00EF1B95"/>
    <w:rsid w:val="00EF3265"/>
    <w:rsid w:val="00EF5F21"/>
    <w:rsid w:val="00F124EF"/>
    <w:rsid w:val="00F14A8B"/>
    <w:rsid w:val="00F15985"/>
    <w:rsid w:val="00F1651A"/>
    <w:rsid w:val="00F16A55"/>
    <w:rsid w:val="00F20BBF"/>
    <w:rsid w:val="00F21DD8"/>
    <w:rsid w:val="00F2484C"/>
    <w:rsid w:val="00F264F6"/>
    <w:rsid w:val="00F31DBA"/>
    <w:rsid w:val="00F31E19"/>
    <w:rsid w:val="00F4747C"/>
    <w:rsid w:val="00F5165D"/>
    <w:rsid w:val="00F523A2"/>
    <w:rsid w:val="00F61DA9"/>
    <w:rsid w:val="00F67ABD"/>
    <w:rsid w:val="00F705B7"/>
    <w:rsid w:val="00F71BEE"/>
    <w:rsid w:val="00F74919"/>
    <w:rsid w:val="00FA5D03"/>
    <w:rsid w:val="00FC353C"/>
    <w:rsid w:val="00FD12C6"/>
    <w:rsid w:val="00FD56B9"/>
    <w:rsid w:val="00FE1170"/>
    <w:rsid w:val="00FE3A2F"/>
    <w:rsid w:val="00FF04E2"/>
    <w:rsid w:val="00FF0ED7"/>
    <w:rsid w:val="00FF424F"/>
    <w:rsid w:val="016A6C79"/>
    <w:rsid w:val="01702465"/>
    <w:rsid w:val="02181129"/>
    <w:rsid w:val="02CE4282"/>
    <w:rsid w:val="02E42FCA"/>
    <w:rsid w:val="033112BB"/>
    <w:rsid w:val="03316E9F"/>
    <w:rsid w:val="03F3121B"/>
    <w:rsid w:val="04375C44"/>
    <w:rsid w:val="052B2EF5"/>
    <w:rsid w:val="05ED15B8"/>
    <w:rsid w:val="05FB2573"/>
    <w:rsid w:val="062251E4"/>
    <w:rsid w:val="06327957"/>
    <w:rsid w:val="067C1BC2"/>
    <w:rsid w:val="06A03941"/>
    <w:rsid w:val="06B56F6B"/>
    <w:rsid w:val="06BA455D"/>
    <w:rsid w:val="06FD3346"/>
    <w:rsid w:val="07560F7E"/>
    <w:rsid w:val="08210B4F"/>
    <w:rsid w:val="08380D9F"/>
    <w:rsid w:val="08C136B6"/>
    <w:rsid w:val="08E32A0F"/>
    <w:rsid w:val="090D12BC"/>
    <w:rsid w:val="0936476E"/>
    <w:rsid w:val="09476ADF"/>
    <w:rsid w:val="096B28E1"/>
    <w:rsid w:val="098413F8"/>
    <w:rsid w:val="09BC2FDC"/>
    <w:rsid w:val="09CF5276"/>
    <w:rsid w:val="09D75DE9"/>
    <w:rsid w:val="09ED2957"/>
    <w:rsid w:val="09F22026"/>
    <w:rsid w:val="0A117003"/>
    <w:rsid w:val="0A47106E"/>
    <w:rsid w:val="0A6F7AD4"/>
    <w:rsid w:val="0AD27DEA"/>
    <w:rsid w:val="0B430904"/>
    <w:rsid w:val="0B515A26"/>
    <w:rsid w:val="0B571438"/>
    <w:rsid w:val="0C5602B0"/>
    <w:rsid w:val="0C72525B"/>
    <w:rsid w:val="0C96145B"/>
    <w:rsid w:val="0CBC3BE7"/>
    <w:rsid w:val="0CBE46E5"/>
    <w:rsid w:val="0D040750"/>
    <w:rsid w:val="0D18536E"/>
    <w:rsid w:val="0D5D1325"/>
    <w:rsid w:val="0D8A1656"/>
    <w:rsid w:val="0DC1448E"/>
    <w:rsid w:val="0DE83E06"/>
    <w:rsid w:val="0E317E14"/>
    <w:rsid w:val="0E46090A"/>
    <w:rsid w:val="0E6D18B9"/>
    <w:rsid w:val="0EB2188B"/>
    <w:rsid w:val="0ED75C3A"/>
    <w:rsid w:val="0EDD0C64"/>
    <w:rsid w:val="10864BAF"/>
    <w:rsid w:val="10923864"/>
    <w:rsid w:val="10CA7EC9"/>
    <w:rsid w:val="10ED1E00"/>
    <w:rsid w:val="10F548A0"/>
    <w:rsid w:val="11075A69"/>
    <w:rsid w:val="1110351D"/>
    <w:rsid w:val="112B19A0"/>
    <w:rsid w:val="114233DA"/>
    <w:rsid w:val="11493F48"/>
    <w:rsid w:val="11551A52"/>
    <w:rsid w:val="115A3E79"/>
    <w:rsid w:val="11B60016"/>
    <w:rsid w:val="11EA7CDE"/>
    <w:rsid w:val="127D190F"/>
    <w:rsid w:val="12AF2DD9"/>
    <w:rsid w:val="12B02B5B"/>
    <w:rsid w:val="12EA7C02"/>
    <w:rsid w:val="12FB03D7"/>
    <w:rsid w:val="13D0019E"/>
    <w:rsid w:val="13F34567"/>
    <w:rsid w:val="14347E1A"/>
    <w:rsid w:val="144249E3"/>
    <w:rsid w:val="146C6F48"/>
    <w:rsid w:val="14EF039A"/>
    <w:rsid w:val="14F03EE3"/>
    <w:rsid w:val="159C2AA3"/>
    <w:rsid w:val="15A13F9D"/>
    <w:rsid w:val="15CF03BA"/>
    <w:rsid w:val="15F32D11"/>
    <w:rsid w:val="16310E1E"/>
    <w:rsid w:val="169B6010"/>
    <w:rsid w:val="16AD27BB"/>
    <w:rsid w:val="16C15797"/>
    <w:rsid w:val="171470CF"/>
    <w:rsid w:val="17276DB1"/>
    <w:rsid w:val="172D6BB6"/>
    <w:rsid w:val="175956CC"/>
    <w:rsid w:val="18017181"/>
    <w:rsid w:val="181A5423"/>
    <w:rsid w:val="1834418E"/>
    <w:rsid w:val="183C1E47"/>
    <w:rsid w:val="188B647F"/>
    <w:rsid w:val="18A13EA5"/>
    <w:rsid w:val="19074C20"/>
    <w:rsid w:val="192C29EE"/>
    <w:rsid w:val="19925F08"/>
    <w:rsid w:val="19EC2827"/>
    <w:rsid w:val="1A0A1E61"/>
    <w:rsid w:val="1A3758F9"/>
    <w:rsid w:val="1A396D97"/>
    <w:rsid w:val="1AAF13A6"/>
    <w:rsid w:val="1AF8069A"/>
    <w:rsid w:val="1B1A5A9B"/>
    <w:rsid w:val="1B1F150E"/>
    <w:rsid w:val="1BE16AA3"/>
    <w:rsid w:val="1BE2748B"/>
    <w:rsid w:val="1BE740D4"/>
    <w:rsid w:val="1C13053F"/>
    <w:rsid w:val="1C18719A"/>
    <w:rsid w:val="1C3A66DC"/>
    <w:rsid w:val="1C6B65D4"/>
    <w:rsid w:val="1C8F124D"/>
    <w:rsid w:val="1D1055B3"/>
    <w:rsid w:val="1D4E78C1"/>
    <w:rsid w:val="1D58705A"/>
    <w:rsid w:val="1E0625F1"/>
    <w:rsid w:val="1E3B0316"/>
    <w:rsid w:val="1E670328"/>
    <w:rsid w:val="1EB24774"/>
    <w:rsid w:val="1ED136BD"/>
    <w:rsid w:val="1ED47F4C"/>
    <w:rsid w:val="1F0A3B6F"/>
    <w:rsid w:val="1F143A1A"/>
    <w:rsid w:val="1F48227E"/>
    <w:rsid w:val="1F790D8E"/>
    <w:rsid w:val="1F92627F"/>
    <w:rsid w:val="1FE118EA"/>
    <w:rsid w:val="200902A2"/>
    <w:rsid w:val="2018233B"/>
    <w:rsid w:val="202C4BA0"/>
    <w:rsid w:val="2031368A"/>
    <w:rsid w:val="204D1ECB"/>
    <w:rsid w:val="20664287"/>
    <w:rsid w:val="206E0E34"/>
    <w:rsid w:val="20F37AF2"/>
    <w:rsid w:val="21037791"/>
    <w:rsid w:val="21D175BF"/>
    <w:rsid w:val="228E14B2"/>
    <w:rsid w:val="22F000F4"/>
    <w:rsid w:val="2343188A"/>
    <w:rsid w:val="23753379"/>
    <w:rsid w:val="240C5608"/>
    <w:rsid w:val="242E5DB2"/>
    <w:rsid w:val="24B453FA"/>
    <w:rsid w:val="24BE3ED8"/>
    <w:rsid w:val="24DC02C5"/>
    <w:rsid w:val="251D5715"/>
    <w:rsid w:val="259D1B90"/>
    <w:rsid w:val="25BF29AE"/>
    <w:rsid w:val="25C76443"/>
    <w:rsid w:val="25F767DC"/>
    <w:rsid w:val="26496A09"/>
    <w:rsid w:val="26525F4D"/>
    <w:rsid w:val="26A91D83"/>
    <w:rsid w:val="26E1050A"/>
    <w:rsid w:val="26FF2829"/>
    <w:rsid w:val="27151420"/>
    <w:rsid w:val="27614470"/>
    <w:rsid w:val="27760C10"/>
    <w:rsid w:val="28154713"/>
    <w:rsid w:val="284726EB"/>
    <w:rsid w:val="28C419ED"/>
    <w:rsid w:val="28DF3FCB"/>
    <w:rsid w:val="29D04C89"/>
    <w:rsid w:val="2A7810F6"/>
    <w:rsid w:val="2A8F0D6E"/>
    <w:rsid w:val="2ABC2F92"/>
    <w:rsid w:val="2AF249C8"/>
    <w:rsid w:val="2B192609"/>
    <w:rsid w:val="2B434CEA"/>
    <w:rsid w:val="2BD85A0F"/>
    <w:rsid w:val="2BDE0EA6"/>
    <w:rsid w:val="2C0E18E2"/>
    <w:rsid w:val="2C1A3224"/>
    <w:rsid w:val="2CB953F3"/>
    <w:rsid w:val="2CDE5811"/>
    <w:rsid w:val="2D4743CC"/>
    <w:rsid w:val="2D9A1762"/>
    <w:rsid w:val="2DE67895"/>
    <w:rsid w:val="2E13683F"/>
    <w:rsid w:val="2E4F7ABC"/>
    <w:rsid w:val="2E7C2EEB"/>
    <w:rsid w:val="2F8B41C5"/>
    <w:rsid w:val="2FAF1ED5"/>
    <w:rsid w:val="2FB8401E"/>
    <w:rsid w:val="2FD110DF"/>
    <w:rsid w:val="2FD95850"/>
    <w:rsid w:val="3009348A"/>
    <w:rsid w:val="31496CA7"/>
    <w:rsid w:val="316E6392"/>
    <w:rsid w:val="32696F31"/>
    <w:rsid w:val="32A565BD"/>
    <w:rsid w:val="32A91D1A"/>
    <w:rsid w:val="32D37A29"/>
    <w:rsid w:val="336F2764"/>
    <w:rsid w:val="344C3B08"/>
    <w:rsid w:val="34E70363"/>
    <w:rsid w:val="35B41300"/>
    <w:rsid w:val="3609309B"/>
    <w:rsid w:val="372E75BF"/>
    <w:rsid w:val="379F77B6"/>
    <w:rsid w:val="390458AE"/>
    <w:rsid w:val="392803B0"/>
    <w:rsid w:val="39425EA4"/>
    <w:rsid w:val="39A45FA5"/>
    <w:rsid w:val="39FA04A7"/>
    <w:rsid w:val="3A23021F"/>
    <w:rsid w:val="3B490A10"/>
    <w:rsid w:val="3B864C9E"/>
    <w:rsid w:val="3B9260FC"/>
    <w:rsid w:val="3C4A1D69"/>
    <w:rsid w:val="3C964B49"/>
    <w:rsid w:val="3DB54D85"/>
    <w:rsid w:val="3E7616F0"/>
    <w:rsid w:val="3EE37DED"/>
    <w:rsid w:val="3F025588"/>
    <w:rsid w:val="3F5B3E28"/>
    <w:rsid w:val="40552625"/>
    <w:rsid w:val="40AB0D42"/>
    <w:rsid w:val="40E165C9"/>
    <w:rsid w:val="40E67721"/>
    <w:rsid w:val="413435BC"/>
    <w:rsid w:val="41701D64"/>
    <w:rsid w:val="41CC7D33"/>
    <w:rsid w:val="41DA1B40"/>
    <w:rsid w:val="41F14923"/>
    <w:rsid w:val="41FC16B9"/>
    <w:rsid w:val="42B85710"/>
    <w:rsid w:val="42F4328A"/>
    <w:rsid w:val="435C3439"/>
    <w:rsid w:val="43784CFA"/>
    <w:rsid w:val="438D1DAF"/>
    <w:rsid w:val="439D3B2B"/>
    <w:rsid w:val="43A00300"/>
    <w:rsid w:val="44796D3B"/>
    <w:rsid w:val="44861074"/>
    <w:rsid w:val="44A2656B"/>
    <w:rsid w:val="44B32765"/>
    <w:rsid w:val="450D6168"/>
    <w:rsid w:val="451F3201"/>
    <w:rsid w:val="452A026D"/>
    <w:rsid w:val="456816EF"/>
    <w:rsid w:val="45E345BD"/>
    <w:rsid w:val="45FB2764"/>
    <w:rsid w:val="464E468D"/>
    <w:rsid w:val="46A3378F"/>
    <w:rsid w:val="46BA6A35"/>
    <w:rsid w:val="46C3379F"/>
    <w:rsid w:val="46EB5A91"/>
    <w:rsid w:val="4755115C"/>
    <w:rsid w:val="47562682"/>
    <w:rsid w:val="476A0C71"/>
    <w:rsid w:val="476E7816"/>
    <w:rsid w:val="47972728"/>
    <w:rsid w:val="47DB5B06"/>
    <w:rsid w:val="483A21D4"/>
    <w:rsid w:val="48B546B5"/>
    <w:rsid w:val="48BB1A0F"/>
    <w:rsid w:val="49163AAD"/>
    <w:rsid w:val="49466876"/>
    <w:rsid w:val="49A10C72"/>
    <w:rsid w:val="49ED12FF"/>
    <w:rsid w:val="4A71531C"/>
    <w:rsid w:val="4AFD2237"/>
    <w:rsid w:val="4B1F447C"/>
    <w:rsid w:val="4BD04C50"/>
    <w:rsid w:val="4BF41FBC"/>
    <w:rsid w:val="4BFD59E8"/>
    <w:rsid w:val="4C052E47"/>
    <w:rsid w:val="4C7D3E20"/>
    <w:rsid w:val="4CB9011E"/>
    <w:rsid w:val="4CBC5A8D"/>
    <w:rsid w:val="4D925376"/>
    <w:rsid w:val="4DA17D7B"/>
    <w:rsid w:val="4DA27B88"/>
    <w:rsid w:val="4E1A4C63"/>
    <w:rsid w:val="4E537616"/>
    <w:rsid w:val="4E5C33D0"/>
    <w:rsid w:val="4E6D6B7D"/>
    <w:rsid w:val="4E7E472B"/>
    <w:rsid w:val="4EAF015A"/>
    <w:rsid w:val="4ED35765"/>
    <w:rsid w:val="4EF8468A"/>
    <w:rsid w:val="4F3B3178"/>
    <w:rsid w:val="4F407689"/>
    <w:rsid w:val="4F971FE8"/>
    <w:rsid w:val="4FA72089"/>
    <w:rsid w:val="4FD83BD6"/>
    <w:rsid w:val="4FE305E6"/>
    <w:rsid w:val="5115591C"/>
    <w:rsid w:val="511C07E9"/>
    <w:rsid w:val="51705837"/>
    <w:rsid w:val="519F1952"/>
    <w:rsid w:val="51A644B6"/>
    <w:rsid w:val="51F10EA6"/>
    <w:rsid w:val="51F16B7B"/>
    <w:rsid w:val="526D5EF3"/>
    <w:rsid w:val="52B04FC1"/>
    <w:rsid w:val="53737AE7"/>
    <w:rsid w:val="537D3C2D"/>
    <w:rsid w:val="537F3BB6"/>
    <w:rsid w:val="53C42785"/>
    <w:rsid w:val="5430250C"/>
    <w:rsid w:val="54A82839"/>
    <w:rsid w:val="54D1276A"/>
    <w:rsid w:val="54F22F39"/>
    <w:rsid w:val="551A02D1"/>
    <w:rsid w:val="554E6FE3"/>
    <w:rsid w:val="556F72BE"/>
    <w:rsid w:val="558B26A7"/>
    <w:rsid w:val="55A84294"/>
    <w:rsid w:val="55C8387E"/>
    <w:rsid w:val="55CB2018"/>
    <w:rsid w:val="55D71631"/>
    <w:rsid w:val="56766AE4"/>
    <w:rsid w:val="567D42D7"/>
    <w:rsid w:val="56AF61EA"/>
    <w:rsid w:val="56CB7685"/>
    <w:rsid w:val="56FD215F"/>
    <w:rsid w:val="5714693E"/>
    <w:rsid w:val="57290E23"/>
    <w:rsid w:val="57320A55"/>
    <w:rsid w:val="574D1632"/>
    <w:rsid w:val="5789229C"/>
    <w:rsid w:val="57AF3F9F"/>
    <w:rsid w:val="57B845C7"/>
    <w:rsid w:val="57E86FEA"/>
    <w:rsid w:val="58161CC5"/>
    <w:rsid w:val="581C5F45"/>
    <w:rsid w:val="58302FAC"/>
    <w:rsid w:val="583F0C9A"/>
    <w:rsid w:val="585C1D2F"/>
    <w:rsid w:val="5897303C"/>
    <w:rsid w:val="595819D9"/>
    <w:rsid w:val="598E2946"/>
    <w:rsid w:val="59ED6E7E"/>
    <w:rsid w:val="59F36CDF"/>
    <w:rsid w:val="5A410F44"/>
    <w:rsid w:val="5A494331"/>
    <w:rsid w:val="5ADE53AE"/>
    <w:rsid w:val="5AED3F95"/>
    <w:rsid w:val="5B0B5FE1"/>
    <w:rsid w:val="5B3577D0"/>
    <w:rsid w:val="5B5222F3"/>
    <w:rsid w:val="5C386DDC"/>
    <w:rsid w:val="5C390560"/>
    <w:rsid w:val="5CBE3743"/>
    <w:rsid w:val="5CD86660"/>
    <w:rsid w:val="5D160AEB"/>
    <w:rsid w:val="5D3A70EE"/>
    <w:rsid w:val="5D716AB2"/>
    <w:rsid w:val="5DB645C1"/>
    <w:rsid w:val="5DC9323D"/>
    <w:rsid w:val="5DD154CB"/>
    <w:rsid w:val="5E4C0B1A"/>
    <w:rsid w:val="5E6C042B"/>
    <w:rsid w:val="5E7C233A"/>
    <w:rsid w:val="5E7E1860"/>
    <w:rsid w:val="5E905572"/>
    <w:rsid w:val="5EBF1885"/>
    <w:rsid w:val="5F0026B1"/>
    <w:rsid w:val="5F1A2F16"/>
    <w:rsid w:val="5F9E1458"/>
    <w:rsid w:val="60CF21A4"/>
    <w:rsid w:val="610374C0"/>
    <w:rsid w:val="61251AAF"/>
    <w:rsid w:val="617F6D8C"/>
    <w:rsid w:val="61D90439"/>
    <w:rsid w:val="61DF2A10"/>
    <w:rsid w:val="62045801"/>
    <w:rsid w:val="627A29E2"/>
    <w:rsid w:val="62C21041"/>
    <w:rsid w:val="62CB2154"/>
    <w:rsid w:val="633C28F4"/>
    <w:rsid w:val="63502FA5"/>
    <w:rsid w:val="637C4BF3"/>
    <w:rsid w:val="638330D1"/>
    <w:rsid w:val="649164CF"/>
    <w:rsid w:val="64AF79E0"/>
    <w:rsid w:val="658D448B"/>
    <w:rsid w:val="659869BD"/>
    <w:rsid w:val="65AF4A62"/>
    <w:rsid w:val="660F03DB"/>
    <w:rsid w:val="66617477"/>
    <w:rsid w:val="66872E2E"/>
    <w:rsid w:val="66C71A37"/>
    <w:rsid w:val="67593913"/>
    <w:rsid w:val="679005ED"/>
    <w:rsid w:val="679F6A27"/>
    <w:rsid w:val="67B1082B"/>
    <w:rsid w:val="68005FED"/>
    <w:rsid w:val="68290824"/>
    <w:rsid w:val="689F578C"/>
    <w:rsid w:val="68E32AC1"/>
    <w:rsid w:val="69715434"/>
    <w:rsid w:val="697C6F00"/>
    <w:rsid w:val="69F00E5C"/>
    <w:rsid w:val="69F31A87"/>
    <w:rsid w:val="6A144440"/>
    <w:rsid w:val="6A1E3F06"/>
    <w:rsid w:val="6AF9099E"/>
    <w:rsid w:val="6B0B793D"/>
    <w:rsid w:val="6B206CF4"/>
    <w:rsid w:val="6BAF79B1"/>
    <w:rsid w:val="6BE50451"/>
    <w:rsid w:val="6BEB1554"/>
    <w:rsid w:val="6C420E48"/>
    <w:rsid w:val="6C536ED6"/>
    <w:rsid w:val="6CB63946"/>
    <w:rsid w:val="6CCB3AEB"/>
    <w:rsid w:val="6D46194F"/>
    <w:rsid w:val="6D8B51C3"/>
    <w:rsid w:val="6DA106DD"/>
    <w:rsid w:val="6DA8219D"/>
    <w:rsid w:val="6DC607CE"/>
    <w:rsid w:val="6E0F6C86"/>
    <w:rsid w:val="6E5A17A0"/>
    <w:rsid w:val="6E6F3C8C"/>
    <w:rsid w:val="6E9C7AFE"/>
    <w:rsid w:val="6EB94846"/>
    <w:rsid w:val="6ECC7CC8"/>
    <w:rsid w:val="6EE467D5"/>
    <w:rsid w:val="6EF24EBF"/>
    <w:rsid w:val="6FD809F9"/>
    <w:rsid w:val="703F6E9D"/>
    <w:rsid w:val="70F74EAF"/>
    <w:rsid w:val="710768CA"/>
    <w:rsid w:val="72CE3338"/>
    <w:rsid w:val="72EE3A33"/>
    <w:rsid w:val="73C53042"/>
    <w:rsid w:val="73FF22EE"/>
    <w:rsid w:val="745D7266"/>
    <w:rsid w:val="752224A4"/>
    <w:rsid w:val="75232317"/>
    <w:rsid w:val="75657B4A"/>
    <w:rsid w:val="758B0E6A"/>
    <w:rsid w:val="759C71EE"/>
    <w:rsid w:val="75B16BC8"/>
    <w:rsid w:val="75B66909"/>
    <w:rsid w:val="75EB0D6F"/>
    <w:rsid w:val="760A6ABF"/>
    <w:rsid w:val="762E3521"/>
    <w:rsid w:val="76770854"/>
    <w:rsid w:val="76916271"/>
    <w:rsid w:val="7777006E"/>
    <w:rsid w:val="78724754"/>
    <w:rsid w:val="79AE2ADA"/>
    <w:rsid w:val="7A3B3167"/>
    <w:rsid w:val="7A6E74FD"/>
    <w:rsid w:val="7A7E5845"/>
    <w:rsid w:val="7A9674E6"/>
    <w:rsid w:val="7B6F7701"/>
    <w:rsid w:val="7C097E38"/>
    <w:rsid w:val="7C491C89"/>
    <w:rsid w:val="7C9469C9"/>
    <w:rsid w:val="7CED21F4"/>
    <w:rsid w:val="7CEF62FD"/>
    <w:rsid w:val="7D0761B8"/>
    <w:rsid w:val="7D31799A"/>
    <w:rsid w:val="7D420FD0"/>
    <w:rsid w:val="7D78565E"/>
    <w:rsid w:val="7DBF3442"/>
    <w:rsid w:val="7DC23320"/>
    <w:rsid w:val="7DFD6003"/>
    <w:rsid w:val="7EAB113D"/>
    <w:rsid w:val="7F6000C3"/>
    <w:rsid w:val="7FCC2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qFormat="1"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qFormat="1"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5"/>
    <w:autoRedefine/>
    <w:qFormat/>
    <w:uiPriority w:val="9"/>
    <w:pPr>
      <w:keepNext/>
      <w:keepLines/>
      <w:spacing w:before="340" w:after="330" w:line="576" w:lineRule="auto"/>
      <w:outlineLvl w:val="0"/>
    </w:pPr>
    <w:rPr>
      <w:rFonts w:ascii="Times New Roman" w:hAnsi="Times New Roman" w:eastAsia="宋体" w:cs="Times New Roman"/>
      <w:b/>
      <w:bCs/>
      <w:kern w:val="44"/>
      <w:sz w:val="44"/>
      <w:szCs w:val="44"/>
    </w:rPr>
  </w:style>
  <w:style w:type="paragraph" w:styleId="3">
    <w:name w:val="heading 2"/>
    <w:basedOn w:val="1"/>
    <w:next w:val="1"/>
    <w:link w:val="85"/>
    <w:autoRedefine/>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1"/>
    <w:link w:val="61"/>
    <w:autoRedefine/>
    <w:semiHidden/>
    <w:unhideWhenUsed/>
    <w:qFormat/>
    <w:uiPriority w:val="9"/>
    <w:pPr>
      <w:keepNext/>
      <w:keepLines/>
      <w:spacing w:before="260" w:after="260" w:line="413" w:lineRule="auto"/>
      <w:outlineLvl w:val="2"/>
    </w:pPr>
    <w:rPr>
      <w:b/>
      <w:sz w:val="32"/>
    </w:rPr>
  </w:style>
  <w:style w:type="character" w:default="1" w:styleId="25">
    <w:name w:val="Default Paragraph Font"/>
    <w:autoRedefine/>
    <w:semiHidden/>
    <w:unhideWhenUsed/>
    <w:qFormat/>
    <w:uiPriority w:val="1"/>
  </w:style>
  <w:style w:type="table" w:default="1" w:styleId="23">
    <w:name w:val="Normal Table"/>
    <w:autoRedefin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Normal Indent"/>
    <w:basedOn w:val="1"/>
    <w:autoRedefine/>
    <w:semiHidden/>
    <w:unhideWhenUsed/>
    <w:qFormat/>
    <w:uiPriority w:val="99"/>
    <w:pPr>
      <w:spacing w:line="60" w:lineRule="auto"/>
      <w:ind w:firstLine="420" w:firstLineChars="200"/>
    </w:pPr>
    <w:rPr>
      <w:rFonts w:ascii="Times New Roman" w:hAnsi="Times New Roman" w:eastAsia="宋体" w:cs="Times New Roman"/>
      <w:szCs w:val="24"/>
    </w:rPr>
  </w:style>
  <w:style w:type="paragraph" w:styleId="6">
    <w:name w:val="annotation text"/>
    <w:basedOn w:val="1"/>
    <w:link w:val="86"/>
    <w:autoRedefine/>
    <w:unhideWhenUsed/>
    <w:qFormat/>
    <w:uiPriority w:val="0"/>
    <w:pPr>
      <w:jc w:val="left"/>
    </w:pPr>
    <w:rPr>
      <w:rFonts w:ascii="Times New Roman" w:hAnsi="Times New Roman" w:eastAsia="宋体" w:cs="Times New Roman"/>
      <w:szCs w:val="24"/>
    </w:rPr>
  </w:style>
  <w:style w:type="paragraph" w:styleId="7">
    <w:name w:val="Body Text"/>
    <w:basedOn w:val="1"/>
    <w:link w:val="91"/>
    <w:autoRedefine/>
    <w:semiHidden/>
    <w:unhideWhenUsed/>
    <w:qFormat/>
    <w:uiPriority w:val="99"/>
    <w:pPr>
      <w:spacing w:after="120"/>
    </w:pPr>
  </w:style>
  <w:style w:type="paragraph" w:styleId="8">
    <w:name w:val="Body Text Indent"/>
    <w:basedOn w:val="1"/>
    <w:next w:val="9"/>
    <w:link w:val="88"/>
    <w:autoRedefine/>
    <w:semiHidden/>
    <w:unhideWhenUsed/>
    <w:qFormat/>
    <w:uiPriority w:val="99"/>
    <w:pPr>
      <w:spacing w:after="120"/>
      <w:ind w:left="420" w:leftChars="200"/>
    </w:pPr>
  </w:style>
  <w:style w:type="paragraph" w:styleId="9">
    <w:name w:val="envelope return"/>
    <w:basedOn w:val="1"/>
    <w:autoRedefine/>
    <w:qFormat/>
    <w:uiPriority w:val="0"/>
    <w:pPr>
      <w:snapToGrid w:val="0"/>
    </w:pPr>
    <w:rPr>
      <w:rFonts w:ascii="Arial" w:hAnsi="Arial"/>
    </w:rPr>
  </w:style>
  <w:style w:type="paragraph" w:styleId="10">
    <w:name w:val="Plain Text"/>
    <w:basedOn w:val="1"/>
    <w:link w:val="60"/>
    <w:autoRedefine/>
    <w:qFormat/>
    <w:uiPriority w:val="0"/>
    <w:rPr>
      <w:rFonts w:ascii="宋体" w:hAnsi="Courier New" w:eastAsia="宋体" w:cs="Times New Roman"/>
      <w:kern w:val="0"/>
      <w:sz w:val="20"/>
      <w:szCs w:val="21"/>
    </w:rPr>
  </w:style>
  <w:style w:type="paragraph" w:styleId="11">
    <w:name w:val="Balloon Text"/>
    <w:basedOn w:val="1"/>
    <w:link w:val="32"/>
    <w:autoRedefine/>
    <w:semiHidden/>
    <w:unhideWhenUsed/>
    <w:qFormat/>
    <w:uiPriority w:val="99"/>
    <w:rPr>
      <w:sz w:val="18"/>
      <w:szCs w:val="18"/>
    </w:rPr>
  </w:style>
  <w:style w:type="paragraph" w:styleId="12">
    <w:name w:val="footer"/>
    <w:basedOn w:val="1"/>
    <w:link w:val="56"/>
    <w:unhideWhenUsed/>
    <w:qFormat/>
    <w:uiPriority w:val="99"/>
    <w:pPr>
      <w:tabs>
        <w:tab w:val="center" w:pos="4153"/>
        <w:tab w:val="right" w:pos="8306"/>
      </w:tabs>
      <w:snapToGrid w:val="0"/>
      <w:jc w:val="left"/>
    </w:pPr>
    <w:rPr>
      <w:sz w:val="18"/>
      <w:szCs w:val="18"/>
    </w:rPr>
  </w:style>
  <w:style w:type="paragraph" w:styleId="13">
    <w:name w:val="header"/>
    <w:basedOn w:val="1"/>
    <w:link w:val="10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autoRedefine/>
    <w:semiHidden/>
    <w:unhideWhenUsed/>
    <w:qFormat/>
    <w:uiPriority w:val="39"/>
    <w:pPr>
      <w:spacing w:line="400" w:lineRule="exact"/>
      <w:jc w:val="center"/>
    </w:pPr>
    <w:rPr>
      <w:rFonts w:hint="eastAsia" w:ascii="宋体" w:hAnsi="宋体" w:eastAsia="宋体" w:cs="Times New Roman"/>
      <w:b/>
      <w:bCs/>
    </w:rPr>
  </w:style>
  <w:style w:type="paragraph" w:styleId="15">
    <w:name w:val="footnote text"/>
    <w:basedOn w:val="1"/>
    <w:link w:val="73"/>
    <w:semiHidden/>
    <w:unhideWhenUsed/>
    <w:qFormat/>
    <w:uiPriority w:val="99"/>
    <w:pPr>
      <w:snapToGrid w:val="0"/>
      <w:jc w:val="left"/>
    </w:pPr>
    <w:rPr>
      <w:sz w:val="18"/>
    </w:rPr>
  </w:style>
  <w:style w:type="paragraph" w:styleId="16">
    <w:name w:val="Body Text Indent 3"/>
    <w:basedOn w:val="1"/>
    <w:link w:val="93"/>
    <w:semiHidden/>
    <w:unhideWhenUsed/>
    <w:qFormat/>
    <w:uiPriority w:val="99"/>
    <w:pPr>
      <w:spacing w:after="120"/>
      <w:ind w:left="420" w:leftChars="200"/>
    </w:pPr>
    <w:rPr>
      <w:rFonts w:hint="eastAsia" w:ascii="等线" w:hAnsi="等线" w:eastAsia="等线" w:cs="Times New Roman"/>
      <w:sz w:val="16"/>
      <w:szCs w:val="16"/>
    </w:rPr>
  </w:style>
  <w:style w:type="paragraph" w:styleId="17">
    <w:name w:val="toc 2"/>
    <w:basedOn w:val="1"/>
    <w:next w:val="1"/>
    <w:autoRedefine/>
    <w:semiHidden/>
    <w:unhideWhenUsed/>
    <w:qFormat/>
    <w:uiPriority w:val="39"/>
    <w:pPr>
      <w:tabs>
        <w:tab w:val="left" w:pos="1080"/>
        <w:tab w:val="right" w:leader="dot" w:pos="9540"/>
        <w:tab w:val="right" w:leader="dot" w:pos="9628"/>
      </w:tabs>
      <w:ind w:left="150" w:leftChars="150" w:right="-34" w:rightChars="-34"/>
      <w:jc w:val="left"/>
    </w:pPr>
    <w:rPr>
      <w:rFonts w:ascii="Times New Roman" w:hAnsi="Times New Roman" w:eastAsia="宋体" w:cs="Times New Roman"/>
      <w:smallCaps/>
      <w:sz w:val="20"/>
    </w:rPr>
  </w:style>
  <w:style w:type="paragraph" w:styleId="18">
    <w:name w:val="Normal (Web)"/>
    <w:basedOn w:val="1"/>
    <w:link w:val="87"/>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9">
    <w:name w:val="Title"/>
    <w:basedOn w:val="1"/>
    <w:next w:val="1"/>
    <w:link w:val="72"/>
    <w:autoRedefine/>
    <w:qFormat/>
    <w:uiPriority w:val="0"/>
    <w:pPr>
      <w:spacing w:before="240" w:after="60"/>
      <w:jc w:val="center"/>
      <w:outlineLvl w:val="0"/>
    </w:pPr>
    <w:rPr>
      <w:rFonts w:eastAsia="宋体" w:asciiTheme="majorHAnsi" w:hAnsiTheme="majorHAnsi" w:cstheme="majorBidi"/>
      <w:b/>
      <w:bCs/>
      <w:sz w:val="32"/>
      <w:szCs w:val="32"/>
    </w:rPr>
  </w:style>
  <w:style w:type="paragraph" w:styleId="20">
    <w:name w:val="annotation subject"/>
    <w:basedOn w:val="6"/>
    <w:next w:val="6"/>
    <w:link w:val="33"/>
    <w:autoRedefine/>
    <w:semiHidden/>
    <w:unhideWhenUsed/>
    <w:qFormat/>
    <w:uiPriority w:val="99"/>
    <w:rPr>
      <w:b/>
      <w:bCs/>
    </w:rPr>
  </w:style>
  <w:style w:type="paragraph" w:styleId="21">
    <w:name w:val="Body Text First Indent"/>
    <w:basedOn w:val="7"/>
    <w:link w:val="94"/>
    <w:semiHidden/>
    <w:unhideWhenUsed/>
    <w:qFormat/>
    <w:uiPriority w:val="99"/>
    <w:pPr>
      <w:ind w:firstLine="420" w:firstLineChars="100"/>
    </w:pPr>
    <w:rPr>
      <w:rFonts w:ascii="Calibri" w:hAnsi="Calibri" w:eastAsia="宋体" w:cs="Times New Roman"/>
    </w:rPr>
  </w:style>
  <w:style w:type="paragraph" w:styleId="22">
    <w:name w:val="Body Text First Indent 2"/>
    <w:basedOn w:val="8"/>
    <w:next w:val="1"/>
    <w:link w:val="47"/>
    <w:autoRedefine/>
    <w:semiHidden/>
    <w:unhideWhenUsed/>
    <w:qFormat/>
    <w:uiPriority w:val="99"/>
    <w:pPr>
      <w:ind w:firstLine="420" w:firstLineChars="200"/>
    </w:pPr>
  </w:style>
  <w:style w:type="table" w:styleId="24">
    <w:name w:val="Table Grid"/>
    <w:basedOn w:val="23"/>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character" w:styleId="26">
    <w:name w:val="Strong"/>
    <w:basedOn w:val="25"/>
    <w:autoRedefine/>
    <w:qFormat/>
    <w:uiPriority w:val="22"/>
    <w:rPr>
      <w:b/>
      <w:bCs/>
    </w:rPr>
  </w:style>
  <w:style w:type="character" w:styleId="27">
    <w:name w:val="annotation reference"/>
    <w:basedOn w:val="25"/>
    <w:unhideWhenUsed/>
    <w:qFormat/>
    <w:uiPriority w:val="0"/>
    <w:rPr>
      <w:sz w:val="21"/>
      <w:szCs w:val="21"/>
    </w:rPr>
  </w:style>
  <w:style w:type="character" w:customStyle="1" w:styleId="28">
    <w:name w:val="页眉 字符"/>
    <w:basedOn w:val="25"/>
    <w:qFormat/>
    <w:uiPriority w:val="99"/>
    <w:rPr>
      <w:sz w:val="18"/>
      <w:szCs w:val="18"/>
    </w:rPr>
  </w:style>
  <w:style w:type="character" w:customStyle="1" w:styleId="29">
    <w:name w:val="页脚 字符"/>
    <w:basedOn w:val="25"/>
    <w:qFormat/>
    <w:uiPriority w:val="99"/>
    <w:rPr>
      <w:sz w:val="18"/>
      <w:szCs w:val="18"/>
    </w:rPr>
  </w:style>
  <w:style w:type="paragraph" w:styleId="30">
    <w:name w:val="List Paragraph"/>
    <w:basedOn w:val="1"/>
    <w:link w:val="38"/>
    <w:qFormat/>
    <w:uiPriority w:val="34"/>
    <w:pPr>
      <w:ind w:firstLine="420" w:firstLineChars="200"/>
    </w:pPr>
  </w:style>
  <w:style w:type="character" w:customStyle="1" w:styleId="31">
    <w:name w:val="批注文字 字符"/>
    <w:basedOn w:val="25"/>
    <w:qFormat/>
    <w:uiPriority w:val="0"/>
  </w:style>
  <w:style w:type="character" w:customStyle="1" w:styleId="32">
    <w:name w:val="批注框文本 字符"/>
    <w:basedOn w:val="25"/>
    <w:link w:val="11"/>
    <w:semiHidden/>
    <w:qFormat/>
    <w:uiPriority w:val="99"/>
    <w:rPr>
      <w:sz w:val="18"/>
      <w:szCs w:val="18"/>
    </w:rPr>
  </w:style>
  <w:style w:type="character" w:customStyle="1" w:styleId="33">
    <w:name w:val="批注主题 字符"/>
    <w:basedOn w:val="31"/>
    <w:link w:val="20"/>
    <w:semiHidden/>
    <w:qFormat/>
    <w:uiPriority w:val="99"/>
    <w:rPr>
      <w:b/>
      <w:bCs/>
    </w:rPr>
  </w:style>
  <w:style w:type="character" w:customStyle="1" w:styleId="34">
    <w:name w:val="标题 Char"/>
    <w:basedOn w:val="25"/>
    <w:qFormat/>
    <w:uiPriority w:val="0"/>
    <w:rPr>
      <w:rFonts w:eastAsia="宋体" w:asciiTheme="majorHAnsi" w:hAnsiTheme="majorHAnsi" w:cstheme="majorBidi"/>
      <w:b/>
      <w:bCs/>
      <w:sz w:val="32"/>
      <w:szCs w:val="32"/>
    </w:rPr>
  </w:style>
  <w:style w:type="character" w:customStyle="1" w:styleId="35">
    <w:name w:val="标题 2 字符"/>
    <w:basedOn w:val="25"/>
    <w:qFormat/>
    <w:uiPriority w:val="0"/>
    <w:rPr>
      <w:rFonts w:ascii="Arial" w:hAnsi="Arial" w:eastAsia="黑体" w:cs="Times New Roman"/>
      <w:b/>
      <w:bCs/>
      <w:sz w:val="32"/>
      <w:szCs w:val="32"/>
    </w:rPr>
  </w:style>
  <w:style w:type="character" w:customStyle="1" w:styleId="36">
    <w:name w:val="纯文本 字符"/>
    <w:basedOn w:val="25"/>
    <w:qFormat/>
    <w:uiPriority w:val="0"/>
    <w:rPr>
      <w:rFonts w:ascii="宋体" w:hAnsi="Courier New" w:eastAsia="宋体" w:cs="Times New Roman"/>
      <w:kern w:val="0"/>
      <w:sz w:val="20"/>
      <w:szCs w:val="21"/>
    </w:rPr>
  </w:style>
  <w:style w:type="paragraph" w:customStyle="1" w:styleId="37">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spacing w:val="20"/>
      <w:kern w:val="0"/>
      <w:sz w:val="24"/>
      <w:szCs w:val="20"/>
    </w:rPr>
  </w:style>
  <w:style w:type="character" w:customStyle="1" w:styleId="38">
    <w:name w:val="列表段落 字符4"/>
    <w:link w:val="30"/>
    <w:qFormat/>
    <w:uiPriority w:val="99"/>
  </w:style>
  <w:style w:type="paragraph" w:customStyle="1" w:styleId="39">
    <w:name w:val="样式4"/>
    <w:basedOn w:val="1"/>
    <w:qFormat/>
    <w:uiPriority w:val="0"/>
    <w:pPr>
      <w:numPr>
        <w:ilvl w:val="3"/>
        <w:numId w:val="1"/>
      </w:numPr>
      <w:tabs>
        <w:tab w:val="left" w:pos="425"/>
        <w:tab w:val="left" w:pos="1984"/>
        <w:tab w:val="clear" w:pos="851"/>
      </w:tabs>
    </w:pPr>
    <w:rPr>
      <w:rFonts w:ascii="Times New Roman" w:hAnsi="Times New Roman" w:eastAsia="宋体" w:cs="Times New Roman"/>
      <w:szCs w:val="24"/>
    </w:rPr>
  </w:style>
  <w:style w:type="paragraph" w:customStyle="1" w:styleId="40">
    <w:name w:val="列出段落1"/>
    <w:basedOn w:val="1"/>
    <w:link w:val="41"/>
    <w:qFormat/>
    <w:uiPriority w:val="99"/>
    <w:pPr>
      <w:ind w:firstLine="420" w:firstLineChars="200"/>
    </w:pPr>
    <w:rPr>
      <w:rFonts w:ascii="Times New Roman" w:hAnsi="Times New Roman" w:eastAsia="宋体" w:cs="Times New Roman"/>
      <w:szCs w:val="21"/>
    </w:rPr>
  </w:style>
  <w:style w:type="character" w:customStyle="1" w:styleId="41">
    <w:name w:val="List Paragraph Char"/>
    <w:link w:val="40"/>
    <w:qFormat/>
    <w:locked/>
    <w:uiPriority w:val="99"/>
    <w:rPr>
      <w:rFonts w:ascii="Times New Roman" w:hAnsi="Times New Roman" w:eastAsia="宋体" w:cs="Times New Roman"/>
      <w:szCs w:val="21"/>
    </w:rPr>
  </w:style>
  <w:style w:type="paragraph" w:customStyle="1" w:styleId="42">
    <w:name w:val="_Style 121"/>
    <w:basedOn w:val="1"/>
    <w:next w:val="30"/>
    <w:qFormat/>
    <w:uiPriority w:val="34"/>
    <w:pPr>
      <w:ind w:firstLine="420" w:firstLineChars="200"/>
    </w:pPr>
    <w:rPr>
      <w:rFonts w:ascii="Calibri" w:hAnsi="Calibri" w:eastAsia="宋体" w:cs="Times New Roman"/>
    </w:rPr>
  </w:style>
  <w:style w:type="paragraph" w:customStyle="1" w:styleId="43">
    <w:name w:val="start-font-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4">
    <w:name w:val="start-font-3"/>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45">
    <w:name w:val="纯文本 Char1"/>
    <w:qFormat/>
    <w:uiPriority w:val="0"/>
    <w:rPr>
      <w:rFonts w:ascii="宋体" w:hAnsi="Courier New" w:eastAsia="宋体" w:cs="Times New Roman"/>
      <w:kern w:val="0"/>
      <w:sz w:val="20"/>
      <w:szCs w:val="21"/>
    </w:rPr>
  </w:style>
  <w:style w:type="character" w:customStyle="1" w:styleId="46">
    <w:name w:val="正文文本缩进 字符"/>
    <w:basedOn w:val="25"/>
    <w:qFormat/>
    <w:uiPriority w:val="0"/>
    <w:rPr>
      <w:kern w:val="2"/>
      <w:sz w:val="21"/>
      <w:szCs w:val="24"/>
    </w:rPr>
  </w:style>
  <w:style w:type="character" w:customStyle="1" w:styleId="47">
    <w:name w:val="正文文本首行缩进 2 字符"/>
    <w:basedOn w:val="46"/>
    <w:link w:val="22"/>
    <w:qFormat/>
    <w:uiPriority w:val="0"/>
    <w:rPr>
      <w:kern w:val="2"/>
      <w:sz w:val="21"/>
      <w:szCs w:val="24"/>
    </w:rPr>
  </w:style>
  <w:style w:type="paragraph" w:customStyle="1" w:styleId="48">
    <w:name w:val="msolistparagraph"/>
    <w:basedOn w:val="1"/>
    <w:qFormat/>
    <w:uiPriority w:val="0"/>
    <w:pPr>
      <w:ind w:firstLine="420" w:firstLineChars="200"/>
    </w:pPr>
    <w:rPr>
      <w:rFonts w:ascii="Times New Roman" w:hAnsi="Times New Roman" w:eastAsia="宋体" w:cs="Times New Roman"/>
    </w:rPr>
  </w:style>
  <w:style w:type="character" w:customStyle="1" w:styleId="49">
    <w:name w:val="列出段落 Char"/>
    <w:basedOn w:val="25"/>
    <w:qFormat/>
    <w:uiPriority w:val="0"/>
    <w:rPr>
      <w:kern w:val="2"/>
      <w:sz w:val="21"/>
      <w:szCs w:val="22"/>
    </w:rPr>
  </w:style>
  <w:style w:type="character" w:customStyle="1" w:styleId="50">
    <w:name w:val="正文文本 字符"/>
    <w:basedOn w:val="25"/>
    <w:qFormat/>
    <w:uiPriority w:val="0"/>
    <w:rPr>
      <w:rFonts w:hint="default" w:ascii="Calibri" w:hAnsi="Calibri" w:eastAsia="宋体" w:cs="Times New Roman"/>
      <w:kern w:val="2"/>
      <w:sz w:val="21"/>
      <w:szCs w:val="22"/>
    </w:rPr>
  </w:style>
  <w:style w:type="character" w:customStyle="1" w:styleId="51">
    <w:name w:val="纯文本 Char"/>
    <w:basedOn w:val="25"/>
    <w:qFormat/>
    <w:uiPriority w:val="0"/>
    <w:rPr>
      <w:rFonts w:hint="eastAsia" w:ascii="宋体" w:hAnsi="Courier New" w:eastAsia="宋体" w:cs="宋体"/>
      <w:szCs w:val="21"/>
    </w:rPr>
  </w:style>
  <w:style w:type="paragraph" w:customStyle="1" w:styleId="52">
    <w:name w:val="_Style 116"/>
    <w:basedOn w:val="1"/>
    <w:next w:val="30"/>
    <w:qFormat/>
    <w:uiPriority w:val="99"/>
    <w:pPr>
      <w:ind w:firstLine="420" w:firstLineChars="200"/>
    </w:pPr>
    <w:rPr>
      <w:kern w:val="0"/>
      <w:sz w:val="20"/>
      <w:szCs w:val="20"/>
    </w:rPr>
  </w:style>
  <w:style w:type="character" w:customStyle="1" w:styleId="53">
    <w:name w:val="普通(网站) 字符"/>
    <w:basedOn w:val="25"/>
    <w:qFormat/>
    <w:uiPriority w:val="0"/>
    <w:rPr>
      <w:rFonts w:hint="eastAsia" w:ascii="宋体" w:hAnsi="宋体" w:eastAsia="宋体" w:cs="宋体"/>
      <w:sz w:val="24"/>
      <w:szCs w:val="24"/>
    </w:rPr>
  </w:style>
  <w:style w:type="character" w:customStyle="1" w:styleId="54">
    <w:name w:val="批注文字 Char"/>
    <w:basedOn w:val="25"/>
    <w:qFormat/>
    <w:uiPriority w:val="0"/>
    <w:rPr>
      <w:kern w:val="2"/>
      <w:sz w:val="21"/>
      <w:szCs w:val="24"/>
    </w:rPr>
  </w:style>
  <w:style w:type="character" w:customStyle="1" w:styleId="55">
    <w:name w:val="标题 1 字符"/>
    <w:basedOn w:val="25"/>
    <w:link w:val="2"/>
    <w:qFormat/>
    <w:uiPriority w:val="0"/>
    <w:rPr>
      <w:b/>
      <w:bCs/>
      <w:kern w:val="44"/>
      <w:sz w:val="44"/>
      <w:szCs w:val="44"/>
    </w:rPr>
  </w:style>
  <w:style w:type="character" w:customStyle="1" w:styleId="56">
    <w:name w:val="页脚 字符1"/>
    <w:basedOn w:val="25"/>
    <w:link w:val="12"/>
    <w:qFormat/>
    <w:uiPriority w:val="0"/>
    <w:rPr>
      <w:kern w:val="2"/>
      <w:sz w:val="18"/>
      <w:szCs w:val="18"/>
    </w:rPr>
  </w:style>
  <w:style w:type="character" w:customStyle="1" w:styleId="57">
    <w:name w:val="页眉 字符1"/>
    <w:basedOn w:val="25"/>
    <w:qFormat/>
    <w:uiPriority w:val="0"/>
    <w:rPr>
      <w:kern w:val="2"/>
      <w:sz w:val="18"/>
      <w:szCs w:val="18"/>
    </w:rPr>
  </w:style>
  <w:style w:type="character" w:customStyle="1" w:styleId="58">
    <w:name w:val="标题 2 字符1"/>
    <w:basedOn w:val="25"/>
    <w:qFormat/>
    <w:uiPriority w:val="0"/>
    <w:rPr>
      <w:rFonts w:hint="default" w:ascii="Cambria" w:hAnsi="Cambria" w:eastAsia="Cambria" w:cs="Cambria"/>
      <w:b/>
      <w:bCs/>
      <w:kern w:val="2"/>
      <w:sz w:val="32"/>
      <w:szCs w:val="32"/>
    </w:rPr>
  </w:style>
  <w:style w:type="character" w:customStyle="1" w:styleId="59">
    <w:name w:val="列出段落 Char1"/>
    <w:basedOn w:val="25"/>
    <w:qFormat/>
    <w:uiPriority w:val="0"/>
    <w:rPr>
      <w:rFonts w:hint="default" w:ascii="Calibri" w:hAnsi="Calibri" w:cs="Calibri"/>
      <w:kern w:val="2"/>
      <w:sz w:val="21"/>
      <w:szCs w:val="22"/>
    </w:rPr>
  </w:style>
  <w:style w:type="character" w:customStyle="1" w:styleId="60">
    <w:name w:val="纯文本 字符2"/>
    <w:basedOn w:val="25"/>
    <w:link w:val="10"/>
    <w:qFormat/>
    <w:uiPriority w:val="0"/>
    <w:rPr>
      <w:rFonts w:hint="eastAsia" w:ascii="宋体" w:hAnsi="Courier New" w:eastAsia="宋体" w:cs="宋体"/>
      <w:szCs w:val="21"/>
      <w:lang w:val="zh-CN"/>
    </w:rPr>
  </w:style>
  <w:style w:type="character" w:customStyle="1" w:styleId="61">
    <w:name w:val="标题 3 字符"/>
    <w:basedOn w:val="25"/>
    <w:link w:val="4"/>
    <w:qFormat/>
    <w:uiPriority w:val="0"/>
    <w:rPr>
      <w:b/>
      <w:bCs/>
      <w:kern w:val="2"/>
      <w:sz w:val="32"/>
      <w:szCs w:val="32"/>
    </w:rPr>
  </w:style>
  <w:style w:type="paragraph" w:customStyle="1" w:styleId="62">
    <w:name w:val="列表段落2"/>
    <w:basedOn w:val="1"/>
    <w:qFormat/>
    <w:uiPriority w:val="0"/>
    <w:pPr>
      <w:ind w:firstLine="420" w:firstLineChars="200"/>
    </w:pPr>
    <w:rPr>
      <w:rFonts w:ascii="Times New Roman" w:hAnsi="Times New Roman" w:eastAsia="宋体" w:cs="Times New Roman"/>
      <w:szCs w:val="24"/>
    </w:rPr>
  </w:style>
  <w:style w:type="character" w:customStyle="1" w:styleId="63">
    <w:name w:val="正文文本首行缩进 字符"/>
    <w:qFormat/>
    <w:uiPriority w:val="0"/>
    <w:rPr>
      <w:rFonts w:hint="default" w:ascii="Calibri" w:hAnsi="Calibri" w:eastAsia="宋体" w:cs="Times New Roman"/>
      <w:kern w:val="2"/>
      <w:sz w:val="21"/>
      <w:szCs w:val="22"/>
    </w:rPr>
  </w:style>
  <w:style w:type="paragraph" w:customStyle="1" w:styleId="64">
    <w:name w:val="p0"/>
    <w:basedOn w:val="1"/>
    <w:qFormat/>
    <w:uiPriority w:val="0"/>
    <w:pPr>
      <w:widowControl/>
    </w:pPr>
    <w:rPr>
      <w:rFonts w:ascii="Calibri" w:hAnsi="Calibri" w:eastAsia="宋体" w:cs="Times New Roman"/>
      <w:kern w:val="0"/>
      <w:szCs w:val="21"/>
    </w:rPr>
  </w:style>
  <w:style w:type="character" w:customStyle="1" w:styleId="65">
    <w:name w:val="font51"/>
    <w:basedOn w:val="25"/>
    <w:qFormat/>
    <w:uiPriority w:val="0"/>
    <w:rPr>
      <w:rFonts w:hint="eastAsia" w:ascii="宋体" w:hAnsi="宋体" w:eastAsia="宋体" w:cs="宋体"/>
      <w:color w:val="000000"/>
      <w:sz w:val="21"/>
      <w:szCs w:val="21"/>
      <w:u w:val="none"/>
    </w:rPr>
  </w:style>
  <w:style w:type="character" w:customStyle="1" w:styleId="66">
    <w:name w:val="列表段落 字符2"/>
    <w:basedOn w:val="25"/>
    <w:qFormat/>
    <w:uiPriority w:val="0"/>
  </w:style>
  <w:style w:type="character" w:customStyle="1" w:styleId="67">
    <w:name w:val="NormalCharacter"/>
    <w:basedOn w:val="25"/>
    <w:qFormat/>
    <w:uiPriority w:val="0"/>
  </w:style>
  <w:style w:type="character" w:customStyle="1" w:styleId="68">
    <w:name w:val="font31"/>
    <w:basedOn w:val="25"/>
    <w:qFormat/>
    <w:uiPriority w:val="0"/>
    <w:rPr>
      <w:rFonts w:hint="default" w:ascii="Times New Roman" w:hAnsi="Times New Roman" w:cs="Times New Roman"/>
      <w:color w:val="000000"/>
      <w:sz w:val="21"/>
      <w:szCs w:val="21"/>
      <w:u w:val="none"/>
    </w:rPr>
  </w:style>
  <w:style w:type="character" w:customStyle="1" w:styleId="69">
    <w:name w:val="font21"/>
    <w:basedOn w:val="25"/>
    <w:qFormat/>
    <w:uiPriority w:val="0"/>
    <w:rPr>
      <w:rFonts w:hint="eastAsia" w:ascii="宋体" w:hAnsi="宋体" w:eastAsia="宋体" w:cs="宋体"/>
      <w:color w:val="000000"/>
      <w:sz w:val="24"/>
      <w:szCs w:val="24"/>
      <w:u w:val="none"/>
    </w:rPr>
  </w:style>
  <w:style w:type="character" w:customStyle="1" w:styleId="70">
    <w:name w:val="font11"/>
    <w:basedOn w:val="25"/>
    <w:qFormat/>
    <w:uiPriority w:val="0"/>
    <w:rPr>
      <w:rFonts w:hint="eastAsia" w:ascii="宋体" w:hAnsi="宋体" w:eastAsia="宋体" w:cs="宋体"/>
      <w:color w:val="000000"/>
      <w:sz w:val="21"/>
      <w:szCs w:val="21"/>
      <w:u w:val="none"/>
    </w:rPr>
  </w:style>
  <w:style w:type="character" w:customStyle="1" w:styleId="71">
    <w:name w:val="纯文本 字符1"/>
    <w:basedOn w:val="25"/>
    <w:qFormat/>
    <w:uiPriority w:val="0"/>
    <w:rPr>
      <w:rFonts w:hint="eastAsia" w:ascii="宋体" w:hAnsi="Courier New" w:eastAsia="宋体" w:cs="宋体"/>
      <w:szCs w:val="21"/>
    </w:rPr>
  </w:style>
  <w:style w:type="character" w:customStyle="1" w:styleId="72">
    <w:name w:val="标题 字符"/>
    <w:basedOn w:val="25"/>
    <w:link w:val="19"/>
    <w:qFormat/>
    <w:uiPriority w:val="0"/>
    <w:rPr>
      <w:rFonts w:hint="default" w:ascii="Cambria" w:hAnsi="Cambria" w:eastAsia="Cambria" w:cs="Times New Roman"/>
      <w:b/>
      <w:bCs/>
      <w:kern w:val="2"/>
      <w:sz w:val="32"/>
      <w:szCs w:val="32"/>
    </w:rPr>
  </w:style>
  <w:style w:type="character" w:customStyle="1" w:styleId="73">
    <w:name w:val="脚注文本 字符"/>
    <w:basedOn w:val="25"/>
    <w:link w:val="15"/>
    <w:qFormat/>
    <w:uiPriority w:val="0"/>
    <w:rPr>
      <w:rFonts w:hint="eastAsia" w:ascii="宋体" w:hAnsi="宋体" w:eastAsia="宋体" w:cs="Times New Roman"/>
      <w:kern w:val="2"/>
      <w:sz w:val="24"/>
      <w:szCs w:val="18"/>
    </w:rPr>
  </w:style>
  <w:style w:type="character" w:customStyle="1" w:styleId="74">
    <w:name w:val="脚注文本 Char1"/>
    <w:basedOn w:val="25"/>
    <w:qFormat/>
    <w:uiPriority w:val="0"/>
    <w:rPr>
      <w:rFonts w:hint="default" w:ascii="Calibri" w:hAnsi="Calibri" w:eastAsia="宋体" w:cs="Times New Roman"/>
      <w:kern w:val="2"/>
      <w:sz w:val="18"/>
      <w:szCs w:val="18"/>
    </w:rPr>
  </w:style>
  <w:style w:type="character" w:customStyle="1" w:styleId="75">
    <w:name w:val="列表段落 字符1"/>
    <w:basedOn w:val="25"/>
    <w:qFormat/>
    <w:uiPriority w:val="0"/>
  </w:style>
  <w:style w:type="paragraph" w:customStyle="1" w:styleId="76">
    <w:name w:val="Table Paragraph"/>
    <w:basedOn w:val="1"/>
    <w:qFormat/>
    <w:uiPriority w:val="0"/>
    <w:rPr>
      <w:rFonts w:hint="eastAsia" w:ascii="宋体" w:hAnsi="宋体" w:eastAsia="宋体" w:cs="Times New Roman"/>
      <w:szCs w:val="24"/>
    </w:rPr>
  </w:style>
  <w:style w:type="character" w:customStyle="1" w:styleId="77">
    <w:name w:val="font41"/>
    <w:basedOn w:val="25"/>
    <w:qFormat/>
    <w:uiPriority w:val="0"/>
    <w:rPr>
      <w:rFonts w:hint="eastAsia" w:ascii="宋体" w:hAnsi="宋体" w:eastAsia="宋体" w:cs="宋体"/>
      <w:color w:val="FF0000"/>
      <w:sz w:val="24"/>
      <w:szCs w:val="24"/>
      <w:u w:val="none"/>
    </w:rPr>
  </w:style>
  <w:style w:type="character" w:customStyle="1" w:styleId="78">
    <w:name w:val="font91"/>
    <w:basedOn w:val="25"/>
    <w:qFormat/>
    <w:uiPriority w:val="0"/>
    <w:rPr>
      <w:rFonts w:hint="default" w:ascii="Times New Roman" w:hAnsi="Times New Roman" w:cs="Times New Roman"/>
      <w:color w:val="000000"/>
      <w:sz w:val="21"/>
      <w:szCs w:val="21"/>
      <w:u w:val="none"/>
    </w:rPr>
  </w:style>
  <w:style w:type="paragraph" w:customStyle="1" w:styleId="79">
    <w:name w:val="正文_0_0"/>
    <w:basedOn w:val="1"/>
    <w:autoRedefine/>
    <w:qFormat/>
    <w:uiPriority w:val="0"/>
    <w:rPr>
      <w:rFonts w:ascii="Calibri" w:hAnsi="Calibri" w:eastAsia="宋体" w:cs="Times New Roman"/>
    </w:rPr>
  </w:style>
  <w:style w:type="character" w:customStyle="1" w:styleId="80">
    <w:name w:val="批注文字 字符1"/>
    <w:basedOn w:val="25"/>
    <w:qFormat/>
    <w:uiPriority w:val="0"/>
    <w:rPr>
      <w:szCs w:val="24"/>
    </w:rPr>
  </w:style>
  <w:style w:type="character" w:customStyle="1" w:styleId="81">
    <w:name w:val="列表段落 字符"/>
    <w:basedOn w:val="25"/>
    <w:qFormat/>
    <w:uiPriority w:val="0"/>
    <w:rPr>
      <w:rFonts w:hint="default" w:ascii="Calibri" w:hAnsi="Calibri" w:cs="Calibri"/>
      <w:kern w:val="2"/>
      <w:sz w:val="21"/>
      <w:szCs w:val="22"/>
    </w:rPr>
  </w:style>
  <w:style w:type="paragraph" w:customStyle="1" w:styleId="82">
    <w:name w:val="_Style 24"/>
    <w:basedOn w:val="1"/>
    <w:qFormat/>
    <w:uiPriority w:val="0"/>
    <w:pPr>
      <w:ind w:firstLine="420" w:firstLineChars="200"/>
    </w:pPr>
    <w:rPr>
      <w:rFonts w:ascii="Calibri" w:hAnsi="Calibri" w:eastAsia="宋体" w:cs="Times New Roman"/>
    </w:rPr>
  </w:style>
  <w:style w:type="character" w:customStyle="1" w:styleId="83">
    <w:name w:val="列表段落 字符3"/>
    <w:basedOn w:val="25"/>
    <w:qFormat/>
    <w:uiPriority w:val="0"/>
    <w:rPr>
      <w:rFonts w:hint="default" w:ascii="Calibri" w:hAnsi="Calibri" w:eastAsia="宋体" w:cs="Times New Roman"/>
      <w:kern w:val="2"/>
      <w:sz w:val="21"/>
      <w:szCs w:val="22"/>
    </w:rPr>
  </w:style>
  <w:style w:type="character" w:customStyle="1" w:styleId="84">
    <w:name w:val="列出段落 Char2"/>
    <w:basedOn w:val="25"/>
    <w:qFormat/>
    <w:uiPriority w:val="0"/>
    <w:rPr>
      <w:rFonts w:hint="default" w:ascii="Calibri" w:hAnsi="Calibri" w:eastAsia="宋体" w:cs="Times New Roman"/>
      <w:kern w:val="2"/>
      <w:sz w:val="21"/>
      <w:szCs w:val="22"/>
    </w:rPr>
  </w:style>
  <w:style w:type="character" w:customStyle="1" w:styleId="85">
    <w:name w:val="标题 2 字符2"/>
    <w:basedOn w:val="25"/>
    <w:link w:val="3"/>
    <w:qFormat/>
    <w:uiPriority w:val="0"/>
    <w:rPr>
      <w:rFonts w:hint="default" w:ascii="Arial" w:hAnsi="Arial" w:eastAsia="黑体" w:cs="Arial"/>
      <w:b/>
      <w:bCs/>
      <w:kern w:val="2"/>
      <w:sz w:val="32"/>
      <w:szCs w:val="32"/>
    </w:rPr>
  </w:style>
  <w:style w:type="character" w:customStyle="1" w:styleId="86">
    <w:name w:val="批注文字 字符2"/>
    <w:basedOn w:val="25"/>
    <w:link w:val="6"/>
    <w:autoRedefine/>
    <w:qFormat/>
    <w:uiPriority w:val="0"/>
    <w:rPr>
      <w:kern w:val="2"/>
      <w:sz w:val="21"/>
      <w:szCs w:val="24"/>
    </w:rPr>
  </w:style>
  <w:style w:type="character" w:customStyle="1" w:styleId="87">
    <w:name w:val="普通(网站) 字符1"/>
    <w:basedOn w:val="25"/>
    <w:link w:val="18"/>
    <w:autoRedefine/>
    <w:qFormat/>
    <w:uiPriority w:val="0"/>
    <w:rPr>
      <w:rFonts w:hint="eastAsia" w:ascii="宋体" w:hAnsi="宋体" w:eastAsia="宋体" w:cs="宋体"/>
      <w:sz w:val="24"/>
      <w:szCs w:val="24"/>
    </w:rPr>
  </w:style>
  <w:style w:type="character" w:customStyle="1" w:styleId="88">
    <w:name w:val="正文文本缩进 字符1"/>
    <w:basedOn w:val="25"/>
    <w:link w:val="8"/>
    <w:autoRedefine/>
    <w:qFormat/>
    <w:uiPriority w:val="0"/>
    <w:rPr>
      <w:kern w:val="2"/>
      <w:sz w:val="21"/>
      <w:szCs w:val="22"/>
    </w:rPr>
  </w:style>
  <w:style w:type="paragraph" w:customStyle="1" w:styleId="89">
    <w:name w:val="正文文本首行缩进 21"/>
    <w:basedOn w:val="8"/>
    <w:qFormat/>
    <w:uiPriority w:val="0"/>
    <w:pPr>
      <w:ind w:firstLine="420" w:firstLineChars="200"/>
    </w:pPr>
    <w:rPr>
      <w:rFonts w:ascii="Times New Roman" w:hAnsi="Times New Roman" w:eastAsia="宋体" w:cs="Times New Roman"/>
      <w:kern w:val="0"/>
      <w:sz w:val="20"/>
      <w:szCs w:val="20"/>
    </w:rPr>
  </w:style>
  <w:style w:type="paragraph" w:customStyle="1" w:styleId="90">
    <w:name w:val="_Style 5"/>
    <w:basedOn w:val="1"/>
    <w:next w:val="1"/>
    <w:qFormat/>
    <w:uiPriority w:val="0"/>
    <w:pPr>
      <w:ind w:firstLine="420" w:firstLineChars="200"/>
    </w:pPr>
    <w:rPr>
      <w:rFonts w:ascii="Times New Roman" w:hAnsi="Times New Roman" w:eastAsia="宋体" w:cs="Times New Roman"/>
    </w:rPr>
  </w:style>
  <w:style w:type="character" w:customStyle="1" w:styleId="91">
    <w:name w:val="正文文本 字符1"/>
    <w:basedOn w:val="25"/>
    <w:link w:val="7"/>
    <w:autoRedefine/>
    <w:qFormat/>
    <w:uiPriority w:val="0"/>
    <w:rPr>
      <w:rFonts w:hint="default" w:ascii="Calibri" w:hAnsi="Calibri" w:eastAsia="宋体" w:cs="Times New Roman"/>
      <w:kern w:val="2"/>
      <w:sz w:val="21"/>
      <w:szCs w:val="22"/>
    </w:rPr>
  </w:style>
  <w:style w:type="paragraph" w:customStyle="1" w:styleId="92">
    <w:name w:val="列表段落1"/>
    <w:basedOn w:val="1"/>
    <w:qFormat/>
    <w:uiPriority w:val="0"/>
    <w:pPr>
      <w:ind w:firstLine="420" w:firstLineChars="200"/>
    </w:pPr>
    <w:rPr>
      <w:rFonts w:hint="eastAsia" w:ascii="等线" w:hAnsi="等线" w:eastAsia="等线" w:cs="Times New Roman"/>
    </w:rPr>
  </w:style>
  <w:style w:type="character" w:customStyle="1" w:styleId="93">
    <w:name w:val="正文文本缩进 3 字符"/>
    <w:basedOn w:val="25"/>
    <w:link w:val="16"/>
    <w:qFormat/>
    <w:uiPriority w:val="0"/>
    <w:rPr>
      <w:rFonts w:hint="eastAsia" w:ascii="等线" w:hAnsi="等线" w:eastAsia="等线" w:cs="等线"/>
      <w:kern w:val="2"/>
      <w:sz w:val="16"/>
      <w:szCs w:val="16"/>
    </w:rPr>
  </w:style>
  <w:style w:type="character" w:customStyle="1" w:styleId="94">
    <w:name w:val="正文文本首行缩进 字符1"/>
    <w:link w:val="21"/>
    <w:qFormat/>
    <w:uiPriority w:val="0"/>
    <w:rPr>
      <w:rFonts w:hint="default" w:ascii="Calibri" w:hAnsi="Calibri" w:eastAsia="楷体_GB2312" w:cs="Calibri"/>
      <w:kern w:val="2"/>
      <w:sz w:val="32"/>
      <w:szCs w:val="22"/>
    </w:rPr>
  </w:style>
  <w:style w:type="character" w:customStyle="1" w:styleId="95">
    <w:name w:val="表格文字 Char"/>
    <w:basedOn w:val="25"/>
    <w:link w:val="96"/>
    <w:qFormat/>
    <w:uiPriority w:val="0"/>
    <w:rPr>
      <w:bCs/>
      <w:spacing w:val="10"/>
      <w:sz w:val="24"/>
    </w:rPr>
  </w:style>
  <w:style w:type="paragraph" w:customStyle="1" w:styleId="96">
    <w:name w:val="表格文字"/>
    <w:basedOn w:val="1"/>
    <w:link w:val="95"/>
    <w:qFormat/>
    <w:uiPriority w:val="0"/>
    <w:pPr>
      <w:spacing w:before="25" w:after="25"/>
      <w:jc w:val="left"/>
    </w:pPr>
    <w:rPr>
      <w:rFonts w:ascii="Times New Roman" w:hAnsi="Times New Roman" w:eastAsia="宋体" w:cs="Times New Roman"/>
      <w:bCs/>
      <w:spacing w:val="10"/>
      <w:kern w:val="0"/>
      <w:sz w:val="24"/>
      <w:szCs w:val="20"/>
    </w:rPr>
  </w:style>
  <w:style w:type="paragraph" w:customStyle="1" w:styleId="97">
    <w:name w:val="_Style 3"/>
    <w:basedOn w:val="1"/>
    <w:autoRedefine/>
    <w:qFormat/>
    <w:uiPriority w:val="0"/>
    <w:rPr>
      <w:rFonts w:ascii="Times New Roman" w:hAnsi="Times New Roman" w:eastAsia="宋体" w:cs="Times New Roman"/>
    </w:rPr>
  </w:style>
  <w:style w:type="paragraph" w:customStyle="1" w:styleId="98">
    <w:name w:val="列表段落3"/>
    <w:basedOn w:val="1"/>
    <w:qFormat/>
    <w:uiPriority w:val="0"/>
    <w:pPr>
      <w:ind w:firstLine="420" w:firstLineChars="200"/>
    </w:pPr>
    <w:rPr>
      <w:rFonts w:ascii="Calibri" w:hAnsi="Calibri" w:eastAsia="宋体" w:cs="Times New Roman"/>
    </w:rPr>
  </w:style>
  <w:style w:type="character" w:customStyle="1" w:styleId="99">
    <w:name w:val="15"/>
    <w:basedOn w:val="25"/>
    <w:qFormat/>
    <w:uiPriority w:val="0"/>
    <w:rPr>
      <w:rFonts w:hint="default" w:ascii="Times New Roman" w:hAnsi="Times New Roman" w:cs="Times New Roman"/>
      <w:b/>
      <w:bCs/>
    </w:rPr>
  </w:style>
  <w:style w:type="character" w:customStyle="1" w:styleId="100">
    <w:name w:val="正文首行缩进 2 Char1"/>
    <w:basedOn w:val="25"/>
    <w:qFormat/>
    <w:uiPriority w:val="0"/>
  </w:style>
  <w:style w:type="character" w:customStyle="1" w:styleId="101">
    <w:name w:val="页眉 字符2"/>
    <w:basedOn w:val="25"/>
    <w:link w:val="13"/>
    <w:qFormat/>
    <w:uiPriority w:val="0"/>
    <w:rPr>
      <w:sz w:val="18"/>
      <w:szCs w:val="18"/>
    </w:rPr>
  </w:style>
  <w:style w:type="character" w:customStyle="1" w:styleId="102">
    <w:name w:val="页眉 Char1"/>
    <w:qFormat/>
    <w:uiPriority w:val="99"/>
    <w:rPr>
      <w:sz w:val="18"/>
      <w:szCs w:val="18"/>
      <w:lang w:val="zh-CN" w:eastAsia="zh-CN"/>
    </w:rPr>
  </w:style>
  <w:style w:type="character" w:customStyle="1" w:styleId="103">
    <w:name w:val="标题 2 Char"/>
    <w:basedOn w:val="25"/>
    <w:qFormat/>
    <w:uiPriority w:val="0"/>
    <w:rPr>
      <w:rFonts w:ascii="Arial" w:hAnsi="Arial" w:eastAsia="黑体" w:cs="Times New Roman"/>
      <w:b/>
      <w:bCs/>
      <w:sz w:val="32"/>
      <w:szCs w:val="32"/>
    </w:rPr>
  </w:style>
  <w:style w:type="character" w:customStyle="1" w:styleId="104">
    <w:name w:val="列出段落 Char3"/>
    <w:basedOn w:val="25"/>
    <w:autoRedefine/>
    <w:qFormat/>
    <w:uiPriority w:val="0"/>
    <w:rPr>
      <w:rFonts w:hint="default" w:ascii="Calibri" w:hAnsi="Calibri" w:eastAsia="宋体" w:cs="Times New Roman"/>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11</Pages>
  <Words>19170</Words>
  <Characters>109275</Characters>
  <Lines>1</Lines>
  <Paragraphs>1</Paragraphs>
  <TotalTime>4</TotalTime>
  <ScaleCrop>false</ScaleCrop>
  <LinksUpToDate>false</LinksUpToDate>
  <CharactersWithSpaces>128189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2023-05-23T09:07:00Z</dcterms:created>
  <dc:creator>dreamsummit</dc:creator>
  <cp:lastModifiedBy>代理机构</cp:lastModifiedBy>
  <cp:lastPrinted>2018-10-16T04:01:00Z</cp:lastPrinted>
  <dcterms:modified xsi:type="dcterms:W3CDTF">2024-04-23T06:59:53Z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BE353DE776EA44E7BE9A052527AF4223_13</vt:lpwstr>
  </property>
</Properties>
</file>