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淮安市疾病预防控制中心营养科试剂采购项目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淮安市疾病预防控制中心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二〇二四年六月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915"/>
        <w:gridCol w:w="3211"/>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37"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88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16"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2"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淮安市疾病预防控制中心营养科试剂采购项目</w:t>
            </w:r>
          </w:p>
        </w:tc>
        <w:tc>
          <w:tcPr>
            <w:tcW w:w="537"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884"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10</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116"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16000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845"/>
        <w:gridCol w:w="869"/>
        <w:gridCol w:w="973"/>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序号</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采购内容</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单位</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数量</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甲醛校准校准管</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根</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PPM-HTV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2</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浑浊度仪校准试剂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套</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2971205-CN，10NTU、20NTU、100NTU、800NTU各一瓶</w:t>
            </w:r>
          </w:p>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/适用于哈希2100Q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3</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氧化还原电位仪标准溶液</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瓶</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222Mv，250ml/适用于SX 712 便携式ORP计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4</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复合电极浸泡液</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瓶</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250ml/适用于SX 712 便携式ORP计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5</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臭氧试剂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箱</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哈希 2517025-CN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6</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总有机碳试剂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包</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哈希 2760345-CN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7</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总磷试剂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包</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哈希 2742645-CN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8</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亚硝酸盐试剂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包</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哈希 2107169-CN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9</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氨氮试剂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包</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哈希 2604545-CN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10</w:t>
            </w:r>
          </w:p>
        </w:tc>
        <w:tc>
          <w:tcPr>
            <w:tcW w:w="1669"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高锰酸盐指数试剂</w:t>
            </w:r>
          </w:p>
        </w:tc>
        <w:tc>
          <w:tcPr>
            <w:tcW w:w="510"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包</w:t>
            </w:r>
          </w:p>
        </w:tc>
        <w:tc>
          <w:tcPr>
            <w:tcW w:w="57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p>
        </w:tc>
        <w:tc>
          <w:tcPr>
            <w:tcW w:w="1741" w:type="pct"/>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哈希 25156000-CN</w:t>
            </w:r>
          </w:p>
        </w:tc>
      </w:tr>
    </w:tbl>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商务要求：</w:t>
      </w:r>
    </w:p>
    <w:p>
      <w:pPr>
        <w:pStyle w:val="10"/>
        <w:numPr>
          <w:ilvl w:val="0"/>
          <w:numId w:val="15"/>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质保期及售后服务要求</w:t>
      </w:r>
    </w:p>
    <w:p>
      <w:pPr>
        <w:pStyle w:val="10"/>
        <w:numPr>
          <w:ilvl w:val="0"/>
          <w:numId w:val="16"/>
        </w:numPr>
        <w:tabs>
          <w:tab w:val="left" w:pos="23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质量保证期（简称“质保期”）为1年，质保期内成交供应商对所供货物实行包修、包换、包退、包维护保养。</w:t>
      </w:r>
    </w:p>
    <w:p>
      <w:pPr>
        <w:numPr>
          <w:ilvl w:val="0"/>
          <w:numId w:val="16"/>
        </w:numPr>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质保期内，如设备或零部件因非人为因素出现故障而造成短期停用时，则质保期和免费维修期相应顺延。如停用时间累计超过60天则质保期重新计算。</w:t>
      </w:r>
    </w:p>
    <w:p>
      <w:pPr>
        <w:numPr>
          <w:ilvl w:val="0"/>
          <w:numId w:val="16"/>
        </w:numPr>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对采购人的服务通知，成交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在接报后1小时内响应，4小时内到达现场，48小时内处理完毕。若在48小时内仍未能有效解决，成交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须免费提供同档次的设备予采购人临时使用。</w:t>
      </w:r>
    </w:p>
    <w:p>
      <w:pPr>
        <w:pStyle w:val="10"/>
        <w:numPr>
          <w:ilvl w:val="0"/>
          <w:numId w:val="15"/>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包装、保险及发运、保管要求</w:t>
      </w:r>
    </w:p>
    <w:p>
      <w:pPr>
        <w:numPr>
          <w:ilvl w:val="0"/>
          <w:numId w:val="17"/>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设备材料的包装必须是制造商原厂包装，其包装均应有良好的防湿、防锈、防潮、防雨、防腐及防碰撞的措施。凡由于包装不良造成的损失和由此产生的费用均由供应商承担。</w:t>
      </w:r>
    </w:p>
    <w:p>
      <w:pPr>
        <w:numPr>
          <w:ilvl w:val="0"/>
          <w:numId w:val="17"/>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负责将设备材料货到现场过程中的全部运输，包括装卸车、货物现场的搬运。</w:t>
      </w:r>
    </w:p>
    <w:p>
      <w:pPr>
        <w:numPr>
          <w:ilvl w:val="0"/>
          <w:numId w:val="17"/>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各种设备必须提供装箱清单，按装箱清单验收货物。</w:t>
      </w:r>
    </w:p>
    <w:p>
      <w:pPr>
        <w:numPr>
          <w:ilvl w:val="0"/>
          <w:numId w:val="17"/>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货物在现场的保管由成交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负责，直至项目安装、验收完毕。</w:t>
      </w:r>
    </w:p>
    <w:p>
      <w:pPr>
        <w:numPr>
          <w:ilvl w:val="0"/>
          <w:numId w:val="17"/>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货物在系统安装调试验收合格前的保险由成交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负责其派出的现场服务人员人身意外保险。</w:t>
      </w:r>
    </w:p>
    <w:p>
      <w:pPr>
        <w:numPr>
          <w:ilvl w:val="0"/>
          <w:numId w:val="17"/>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设备至采购人指定的使用现场的包装、保险及发运等环节和费用均由成交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w:t>
      </w:r>
    </w:p>
    <w:p>
      <w:pPr>
        <w:pStyle w:val="10"/>
        <w:numPr>
          <w:ilvl w:val="0"/>
          <w:numId w:val="15"/>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安装、调试与验收</w:t>
      </w:r>
    </w:p>
    <w:p>
      <w:pPr>
        <w:pStyle w:val="10"/>
        <w:numPr>
          <w:ilvl w:val="0"/>
          <w:numId w:val="18"/>
        </w:numPr>
        <w:tabs>
          <w:tab w:val="left" w:pos="5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成交供应商必须依照采购文件的要求和响应文件的承诺，将设备、系统安装并调试至正常运行的最佳状态。</w:t>
      </w:r>
    </w:p>
    <w:p>
      <w:pPr>
        <w:pStyle w:val="10"/>
        <w:numPr>
          <w:ilvl w:val="0"/>
          <w:numId w:val="18"/>
        </w:numPr>
        <w:tabs>
          <w:tab w:val="left" w:pos="5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8"/>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货物为原厂商未启封全新包装，具出厂合格证，序列号、包装箱号与出厂批号一致，并可追索查阅。所有随设备的附件必须齐全。</w:t>
      </w:r>
    </w:p>
    <w:p>
      <w:pPr>
        <w:numPr>
          <w:ilvl w:val="0"/>
          <w:numId w:val="18"/>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应将关键主机设备的用户手册、保修手册、有关单证资料及配备件、随机工具等交付给采购人，使用操作及安全须知等重要资料应附有中文说明。</w:t>
      </w:r>
    </w:p>
    <w:p>
      <w:pPr>
        <w:numPr>
          <w:ilvl w:val="0"/>
          <w:numId w:val="18"/>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承担。</w:t>
      </w:r>
    </w:p>
    <w:p>
      <w:pPr>
        <w:pStyle w:val="10"/>
        <w:numPr>
          <w:ilvl w:val="0"/>
          <w:numId w:val="15"/>
        </w:numPr>
        <w:tabs>
          <w:tab w:val="left" w:pos="540"/>
        </w:tabs>
        <w:adjustRightIn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付款方式</w:t>
      </w:r>
      <w:bookmarkStart w:id="0" w:name="_GoBack"/>
      <w:bookmarkEnd w:id="0"/>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由采购人按下列程序付款： </w:t>
      </w:r>
    </w:p>
    <w:p>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425" w:hanging="425"/>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从验收合格之日起，正常使用</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10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个工作日内，支付合同总价的</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100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425" w:hanging="425"/>
        <w:jc w:val="left"/>
        <w:textAlignment w:val="auto"/>
        <w:rPr>
          <w:rFonts w:ascii="宋体" w:hAnsi="宋体" w:eastAsia="宋体" w:cs="宋体"/>
          <w:color w:val="000000" w:themeColor="text1"/>
          <w:kern w:val="21"/>
          <w:szCs w:val="21"/>
          <w14:textFill>
            <w14:solidFill>
              <w14:schemeClr w14:val="tx1"/>
            </w14:solidFill>
          </w14:textFill>
        </w:rPr>
      </w:pPr>
      <w:r>
        <w:rPr>
          <w:rFonts w:hint="eastAsia" w:ascii="宋体" w:hAnsi="宋体" w:eastAsia="宋体" w:cs="宋体"/>
          <w:color w:val="000000" w:themeColor="text1"/>
          <w:kern w:val="21"/>
          <w:szCs w:val="21"/>
          <w14:textFill>
            <w14:solidFill>
              <w14:schemeClr w14:val="tx1"/>
            </w14:solidFill>
          </w14:textFill>
        </w:rPr>
        <w:t>成交人凭以下有效文件与采购人结算：</w:t>
      </w:r>
    </w:p>
    <w:p>
      <w:pPr>
        <w:keepNext w:val="0"/>
        <w:keepLines w:val="0"/>
        <w:pageBreakBefore w:val="0"/>
        <w:widowControl w:val="0"/>
        <w:kinsoku/>
        <w:wordWrap/>
        <w:overflowPunct/>
        <w:topLinePunct w:val="0"/>
        <w:bidi w:val="0"/>
        <w:snapToGrid w:val="0"/>
        <w:spacing w:line="360" w:lineRule="auto"/>
        <w:ind w:firstLine="315" w:firstLineChars="15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w:t>
      </w:r>
    </w:p>
    <w:p>
      <w:pPr>
        <w:keepNext w:val="0"/>
        <w:keepLines w:val="0"/>
        <w:pageBreakBefore w:val="0"/>
        <w:widowControl w:val="0"/>
        <w:kinsoku/>
        <w:wordWrap/>
        <w:overflowPunct/>
        <w:topLinePunct w:val="0"/>
        <w:bidi w:val="0"/>
        <w:snapToGrid w:val="0"/>
        <w:spacing w:line="360" w:lineRule="auto"/>
        <w:ind w:firstLine="315" w:firstLineChars="15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（2）成交人开具的正式发票；</w:t>
      </w:r>
    </w:p>
    <w:p>
      <w:pPr>
        <w:keepNext w:val="0"/>
        <w:keepLines w:val="0"/>
        <w:pageBreakBefore w:val="0"/>
        <w:widowControl w:val="0"/>
        <w:kinsoku/>
        <w:wordWrap/>
        <w:overflowPunct/>
        <w:topLinePunct w:val="0"/>
        <w:bidi w:val="0"/>
        <w:snapToGrid w:val="0"/>
        <w:spacing w:line="360" w:lineRule="auto"/>
        <w:ind w:firstLine="315" w:firstLineChars="150"/>
        <w:textAlignment w:val="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（3）成交通知书。</w:t>
      </w:r>
      <w:r>
        <w:rPr>
          <w:rFonts w:hint="eastAsia" w:ascii="宋体" w:hAnsi="宋体" w:eastAsia="宋体" w:cs="宋体"/>
          <w:b/>
          <w:color w:val="000000" w:themeColor="text1"/>
          <w:szCs w:val="21"/>
          <w14:textFill>
            <w14:solidFill>
              <w14:schemeClr w14:val="tx1"/>
            </w14:solidFill>
          </w14:textFill>
        </w:rPr>
        <w:tab/>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89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85"/>
        <w:gridCol w:w="885"/>
        <w:gridCol w:w="825"/>
        <w:gridCol w:w="2085"/>
        <w:gridCol w:w="1320"/>
        <w:gridCol w:w="1200"/>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序号</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采购内容</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单位</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数量</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型号规格</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单价报价（元）</w:t>
            </w: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小计报价（元）</w:t>
            </w: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color w:val="000000"/>
                <w:sz w:val="21"/>
              </w:rPr>
            </w:pPr>
            <w:r>
              <w:rPr>
                <w:rFonts w:hint="eastAsia" w:hAnsi="宋体" w:cs="宋体"/>
                <w:b/>
                <w:color w:val="000000"/>
                <w:sz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1</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甲醛校准校准管</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根</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PPM-HTV</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2</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浑浊度仪校准试剂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套</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2971205-CN，10NTU、20NTU、100NTU、800NTU各一瓶</w:t>
            </w:r>
          </w:p>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/适用于哈希2100Q</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3</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氧化还原电位仪标准溶液</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瓶</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222Mv，250ml/适用于SX 712 便携式ORP计</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4</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复合电极浸泡液</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瓶</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250ml/适用于SX 712 便携式ORP计</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5</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臭氧试剂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箱</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哈希 2517025-CN</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6</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总有机碳试剂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包</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哈希 2760345-CN</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7</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总磷试剂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包</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哈希 2742645-CN</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8</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亚硝酸盐试剂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包</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哈希 2107169-CN</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9</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氨氮试剂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包</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哈希 2604545-CN</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eastAsia" w:hAnsi="宋体" w:cs="宋体"/>
                <w:b w:val="0"/>
                <w:bCs/>
                <w:color w:val="000000"/>
                <w:sz w:val="21"/>
              </w:rPr>
              <w:t>10</w:t>
            </w:r>
          </w:p>
        </w:tc>
        <w:tc>
          <w:tcPr>
            <w:tcW w:w="11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高锰酸盐指数试剂</w:t>
            </w:r>
          </w:p>
        </w:tc>
        <w:tc>
          <w:tcPr>
            <w:tcW w:w="8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包</w:t>
            </w:r>
          </w:p>
        </w:tc>
        <w:tc>
          <w:tcPr>
            <w:tcW w:w="82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1</w:t>
            </w:r>
          </w:p>
        </w:tc>
        <w:tc>
          <w:tcPr>
            <w:tcW w:w="2085"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r>
              <w:rPr>
                <w:rFonts w:hint="default" w:hAnsi="宋体" w:cs="宋体"/>
                <w:b w:val="0"/>
                <w:bCs/>
                <w:color w:val="000000"/>
                <w:sz w:val="21"/>
              </w:rPr>
              <w:t>哈希 25156000-CN</w:t>
            </w:r>
          </w:p>
        </w:tc>
        <w:tc>
          <w:tcPr>
            <w:tcW w:w="132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1200"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c>
          <w:tcPr>
            <w:tcW w:w="787" w:type="dxa"/>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center"/>
              <w:rPr>
                <w:rFonts w:hint="default" w:hAnsi="宋体" w:cs="宋体"/>
                <w:b w:val="0"/>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gridSpan w:val="8"/>
            <w:tcBorders>
              <w:tl2br w:val="nil"/>
              <w:tr2bl w:val="nil"/>
            </w:tcBorders>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right="0"/>
              <w:jc w:val="left"/>
              <w:rPr>
                <w:rFonts w:hint="default" w:hAnsi="宋体" w:cs="宋体"/>
                <w:b/>
                <w:color w:val="000000"/>
                <w:sz w:val="21"/>
              </w:rPr>
            </w:pPr>
            <w:r>
              <w:rPr>
                <w:rFonts w:hint="eastAsia" w:hAnsi="宋体" w:cs="宋体"/>
                <w:b/>
                <w:color w:val="000000"/>
                <w:sz w:val="21"/>
              </w:rPr>
              <w:t>合计（各项小计报价之和）：人民币___元</w:t>
            </w:r>
          </w:p>
        </w:tc>
      </w:tr>
    </w:tbl>
    <w:p>
      <w:pPr>
        <w:rPr>
          <w:rFonts w:ascii="宋体" w:hAnsi="宋体" w:eastAsia="宋体" w:cs="宋体"/>
          <w:lang w:val="zh-CN"/>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致：淮安市疾病预防控制中心、</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淮安市疾病预防控制中心营养科试剂采购项目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淮安市疾病预防控制中心、</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淮安市疾病预防控制中心营养科试剂采购项目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CB6F6"/>
    <w:multiLevelType w:val="singleLevel"/>
    <w:tmpl w:val="9BECB6F6"/>
    <w:lvl w:ilvl="0" w:tentative="0">
      <w:start w:val="1"/>
      <w:numFmt w:val="decimal"/>
      <w:suff w:val="nothing"/>
      <w:lvlText w:val="%1．"/>
      <w:lvlJc w:val="left"/>
      <w:pPr>
        <w:ind w:left="0" w:firstLine="400"/>
      </w:pPr>
      <w:rPr>
        <w:rFonts w:hint="default"/>
      </w:rPr>
    </w:lvl>
  </w:abstractNum>
  <w:abstractNum w:abstractNumId="1">
    <w:nsid w:val="A1C97576"/>
    <w:multiLevelType w:val="multilevel"/>
    <w:tmpl w:val="A1C97576"/>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E91EF292"/>
    <w:multiLevelType w:val="multilevel"/>
    <w:tmpl w:val="E91EF292"/>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36E8F27"/>
    <w:multiLevelType w:val="singleLevel"/>
    <w:tmpl w:val="F36E8F27"/>
    <w:lvl w:ilvl="0" w:tentative="0">
      <w:start w:val="1"/>
      <w:numFmt w:val="decimal"/>
      <w:suff w:val="nothing"/>
      <w:lvlText w:val="%1．"/>
      <w:lvlJc w:val="left"/>
      <w:pPr>
        <w:ind w:left="0" w:firstLine="400"/>
      </w:pPr>
      <w:rPr>
        <w:rFonts w:hint="default"/>
      </w:rPr>
    </w:lvl>
  </w:abstractNum>
  <w:abstractNum w:abstractNumId="8">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9">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3">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8DFED06"/>
    <w:multiLevelType w:val="singleLevel"/>
    <w:tmpl w:val="28DFED06"/>
    <w:lvl w:ilvl="0" w:tentative="0">
      <w:start w:val="1"/>
      <w:numFmt w:val="decimal"/>
      <w:suff w:val="nothing"/>
      <w:lvlText w:val="%1．"/>
      <w:lvlJc w:val="left"/>
      <w:pPr>
        <w:ind w:left="0" w:firstLine="400"/>
      </w:pPr>
      <w:rPr>
        <w:rFonts w:hint="default"/>
      </w:r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1"/>
  </w:num>
  <w:num w:numId="3">
    <w:abstractNumId w:val="8"/>
  </w:num>
  <w:num w:numId="4">
    <w:abstractNumId w:val="18"/>
  </w:num>
  <w:num w:numId="5">
    <w:abstractNumId w:val="4"/>
  </w:num>
  <w:num w:numId="6">
    <w:abstractNumId w:val="11"/>
  </w:num>
  <w:num w:numId="7">
    <w:abstractNumId w:val="13"/>
  </w:num>
  <w:num w:numId="8">
    <w:abstractNumId w:val="20"/>
  </w:num>
  <w:num w:numId="9">
    <w:abstractNumId w:val="14"/>
  </w:num>
  <w:num w:numId="10">
    <w:abstractNumId w:val="6"/>
  </w:num>
  <w:num w:numId="11">
    <w:abstractNumId w:val="2"/>
  </w:num>
  <w:num w:numId="12">
    <w:abstractNumId w:val="12"/>
  </w:num>
  <w:num w:numId="13">
    <w:abstractNumId w:val="15"/>
  </w:num>
  <w:num w:numId="14">
    <w:abstractNumId w:val="9"/>
  </w:num>
  <w:num w:numId="15">
    <w:abstractNumId w:val="5"/>
  </w:num>
  <w:num w:numId="16">
    <w:abstractNumId w:val="7"/>
  </w:num>
  <w:num w:numId="17">
    <w:abstractNumId w:val="1"/>
  </w:num>
  <w:num w:numId="18">
    <w:abstractNumId w:val="16"/>
  </w:num>
  <w:num w:numId="19">
    <w:abstractNumId w:val="0"/>
  </w:num>
  <w:num w:numId="20">
    <w:abstractNumId w:val="22"/>
  </w:num>
  <w:num w:numId="21">
    <w:abstractNumId w:val="17"/>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7A4F43"/>
    <w:rsid w:val="11B60016"/>
    <w:rsid w:val="11EA7CDE"/>
    <w:rsid w:val="11FA1155"/>
    <w:rsid w:val="127D190F"/>
    <w:rsid w:val="12AF2DD9"/>
    <w:rsid w:val="12B02B5B"/>
    <w:rsid w:val="12EA7C02"/>
    <w:rsid w:val="12FB03D7"/>
    <w:rsid w:val="12FE5862"/>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845B8"/>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542671"/>
    <w:rsid w:val="29B607F8"/>
    <w:rsid w:val="29D04C89"/>
    <w:rsid w:val="2A3730F5"/>
    <w:rsid w:val="2A7810F6"/>
    <w:rsid w:val="2A8F0D6E"/>
    <w:rsid w:val="2ABC2F92"/>
    <w:rsid w:val="2AF249C8"/>
    <w:rsid w:val="2B192609"/>
    <w:rsid w:val="2B434CEA"/>
    <w:rsid w:val="2BD85A0F"/>
    <w:rsid w:val="2BDE0EA6"/>
    <w:rsid w:val="2C0E18E2"/>
    <w:rsid w:val="2C1A3224"/>
    <w:rsid w:val="2C9E4FC3"/>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A0BC3"/>
    <w:rsid w:val="40AB0D42"/>
    <w:rsid w:val="40E165C9"/>
    <w:rsid w:val="40E67721"/>
    <w:rsid w:val="413435BC"/>
    <w:rsid w:val="41701D64"/>
    <w:rsid w:val="41CC7D33"/>
    <w:rsid w:val="41DA1B40"/>
    <w:rsid w:val="41F14923"/>
    <w:rsid w:val="41FC16B9"/>
    <w:rsid w:val="42B85710"/>
    <w:rsid w:val="42EB76E2"/>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840D6C"/>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1689E"/>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656D42"/>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1"/>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字符"/>
    <w:basedOn w:val="25"/>
    <w:link w:val="2"/>
    <w:qFormat/>
    <w:uiPriority w:val="0"/>
    <w:rPr>
      <w:b/>
      <w:bCs/>
      <w:kern w:val="44"/>
      <w:sz w:val="44"/>
      <w:szCs w:val="44"/>
    </w:rPr>
  </w:style>
  <w:style w:type="character" w:customStyle="1" w:styleId="56">
    <w:name w:val="页脚 字符1"/>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qFormat/>
    <w:uiPriority w:val="0"/>
    <w:rPr>
      <w:rFonts w:hint="eastAsia" w:ascii="宋体" w:hAnsi="Courier New" w:eastAsia="宋体" w:cs="宋体"/>
      <w:szCs w:val="21"/>
      <w:lang w:val="zh-CN"/>
    </w:rPr>
  </w:style>
  <w:style w:type="character" w:customStyle="1" w:styleId="61">
    <w:name w:val="标题 3 字符"/>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character" w:customStyle="1" w:styleId="104">
    <w:name w:val="列出段落 Char3"/>
    <w:basedOn w:val="25"/>
    <w:qFormat/>
    <w:uiPriority w:val="0"/>
    <w:rPr>
      <w:rFonts w:hint="default" w:ascii="Calibri" w:hAnsi="Calibri" w:eastAsia="宋体" w:cs="Times New Roman"/>
      <w:kern w:val="2"/>
      <w:sz w:val="21"/>
      <w:szCs w:val="22"/>
    </w:rPr>
  </w:style>
  <w:style w:type="character" w:customStyle="1" w:styleId="105">
    <w:name w:val="列出段落 Char4"/>
    <w:basedOn w:val="2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12</Pages>
  <Words>5947</Words>
  <Characters>6215</Characters>
  <Lines>1</Lines>
  <Paragraphs>1</Paragraphs>
  <TotalTime>15</TotalTime>
  <ScaleCrop>false</ScaleCrop>
  <LinksUpToDate>false</LinksUpToDate>
  <CharactersWithSpaces>6343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2024-06-05T02:58:17Z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BE353DE776EA44E7BE9A052527AF4223_13</vt:lpwstr>
  </property>
</Properties>
</file>