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14:textFill>
            <w14:solidFill>
              <w14:schemeClr w14:val="tx1"/>
            </w14:solidFill>
          </w14:textFill>
        </w:rPr>
        <w:t>中山市阜沙中学校园文化宣传建设</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中山市阜沙中学</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采联国际招标采购集团有限公司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19"/>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0"/>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0"/>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竞价说明</w:t>
      </w:r>
    </w:p>
    <w:p>
      <w:pPr>
        <w:pStyle w:val="30"/>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0"/>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0"/>
        <w:numPr>
          <w:ilvl w:val="0"/>
          <w:numId w:val="3"/>
        </w:numPr>
        <w:spacing w:line="360" w:lineRule="auto"/>
        <w:ind w:left="420" w:hanging="420" w:firstLineChars="0"/>
        <w:rPr>
          <w:rStyle w:val="26"/>
          <w:rFonts w:ascii="宋体" w:hAnsi="宋体" w:eastAsia="宋体" w:cs="宋体"/>
          <w:bCs w:val="0"/>
        </w:rPr>
      </w:pPr>
      <w:r>
        <w:rPr>
          <w:rStyle w:val="26"/>
          <w:rFonts w:hint="eastAsia" w:ascii="宋体" w:hAnsi="宋体" w:eastAsia="宋体" w:cs="宋体"/>
          <w:bCs w:val="0"/>
        </w:rPr>
        <w:t>报名要求</w:t>
      </w:r>
      <w:r>
        <w:rPr>
          <w:rStyle w:val="26"/>
          <w:rFonts w:hint="eastAsia" w:ascii="宋体" w:hAnsi="宋体" w:eastAsia="宋体" w:cs="宋体"/>
          <w:b w:val="0"/>
        </w:rPr>
        <w:t>（参与竞价的供应商资质要求: 报名时需要提供以下</w:t>
      </w:r>
      <w:r>
        <w:rPr>
          <w:rStyle w:val="26"/>
          <w:rFonts w:hint="eastAsia" w:ascii="宋体" w:hAnsi="宋体" w:eastAsia="宋体" w:cs="宋体"/>
          <w:bCs w:val="0"/>
          <w:u w:val="single"/>
        </w:rPr>
        <w:t>盖章</w:t>
      </w:r>
      <w:r>
        <w:rPr>
          <w:rStyle w:val="26"/>
          <w:rFonts w:hint="eastAsia" w:ascii="宋体" w:hAnsi="宋体" w:eastAsia="宋体" w:cs="宋体"/>
          <w:b w:val="0"/>
        </w:rPr>
        <w:t>资料，并对上传的报名文件资料承担责任）</w:t>
      </w:r>
    </w:p>
    <w:p>
      <w:pPr>
        <w:pStyle w:val="30"/>
        <w:widowControl/>
        <w:numPr>
          <w:ilvl w:val="0"/>
          <w:numId w:val="6"/>
        </w:numPr>
        <w:spacing w:line="360" w:lineRule="auto"/>
        <w:ind w:left="840" w:hanging="420" w:firstLineChars="0"/>
        <w:jc w:val="left"/>
        <w:rPr>
          <w:rFonts w:hint="eastAsia"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提供在中华人民共和国境内注册的法人或其他组织的营业执照或事业单位法人证书或社会团体法人登记证书复印件；如国家另有规定的，则从其规定</w:t>
      </w:r>
      <w:r>
        <w:rPr>
          <w:rFonts w:hint="eastAsia" w:ascii="宋体" w:hAnsi="宋体" w:eastAsia="宋体" w:cs="宋体"/>
          <w:color w:val="000000" w:themeColor="text1"/>
          <w:kern w:val="0"/>
          <w:szCs w:val="20"/>
          <w:lang w:eastAsia="zh-CN"/>
          <w14:textFill>
            <w14:solidFill>
              <w14:schemeClr w14:val="tx1"/>
            </w14:solidFill>
          </w14:textFill>
        </w:rPr>
        <w:t>，</w:t>
      </w:r>
      <w:r>
        <w:rPr>
          <w:rFonts w:hint="eastAsia" w:ascii="宋体" w:hAnsi="宋体" w:eastAsia="宋体" w:cs="宋体"/>
          <w:color w:val="000000" w:themeColor="text1"/>
          <w:kern w:val="0"/>
          <w:szCs w:val="20"/>
          <w14:textFill>
            <w14:solidFill>
              <w14:schemeClr w14:val="tx1"/>
            </w14:solidFill>
          </w14:textFill>
        </w:rPr>
        <w:t>营业执照经营范围须包含广告设计、广告制作，会议及展览服务</w:t>
      </w:r>
      <w:r>
        <w:rPr>
          <w:rFonts w:hint="eastAsia" w:ascii="宋体" w:hAnsi="宋体" w:eastAsia="宋体" w:cs="宋体"/>
          <w:color w:val="000000" w:themeColor="text1"/>
          <w:kern w:val="0"/>
          <w:szCs w:val="20"/>
          <w:lang w:val="en-US" w:eastAsia="zh-CN"/>
          <w14:textFill>
            <w14:solidFill>
              <w14:schemeClr w14:val="tx1"/>
            </w14:solidFill>
          </w14:textFill>
        </w:rPr>
        <w:t>相关的</w:t>
      </w:r>
      <w:r>
        <w:rPr>
          <w:rFonts w:hint="eastAsia" w:ascii="宋体" w:hAnsi="宋体" w:eastAsia="宋体" w:cs="宋体"/>
          <w:color w:val="000000" w:themeColor="text1"/>
          <w:kern w:val="0"/>
          <w:szCs w:val="20"/>
          <w14:textFill>
            <w14:solidFill>
              <w14:schemeClr w14:val="tx1"/>
            </w14:solidFill>
          </w14:textFill>
        </w:rPr>
        <w:t>。</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满足《中华人民共和国政府采购法》第二十二条规定；本项目不允许联合竞价；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格式见附件）；</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0"/>
        <w:widowControl/>
        <w:numPr>
          <w:ilvl w:val="0"/>
          <w:numId w:val="6"/>
        </w:numPr>
        <w:spacing w:line="360" w:lineRule="auto"/>
        <w:ind w:left="840" w:hanging="420" w:firstLineChars="0"/>
        <w:jc w:val="left"/>
        <w:rPr>
          <w:rFonts w:ascii="宋体" w:hAnsi="宋体" w:eastAsia="宋体" w:cs="宋体"/>
          <w:b w:val="0"/>
          <w:bCs w:val="0"/>
          <w:color w:val="000000" w:themeColor="text1"/>
          <w:kern w:val="0"/>
          <w:szCs w:val="20"/>
          <w14:textFill>
            <w14:solidFill>
              <w14:schemeClr w14:val="tx1"/>
            </w14:solidFill>
          </w14:textFill>
        </w:rPr>
      </w:pPr>
      <w:r>
        <w:rPr>
          <w:rFonts w:hint="eastAsia" w:ascii="宋体" w:hAnsi="宋体" w:eastAsia="宋体" w:cs="宋体"/>
          <w:b w:val="0"/>
          <w:bCs w:val="0"/>
          <w:kern w:val="2"/>
          <w:sz w:val="21"/>
          <w:szCs w:val="21"/>
          <w:lang w:val="en-US" w:eastAsia="zh-CN" w:bidi="ar"/>
        </w:rPr>
        <w:t>供应商须提供两名安装人员的《高空特种作业操作证（高处作业）》，提供人员证书复印件。</w:t>
      </w:r>
    </w:p>
    <w:p>
      <w:pPr>
        <w:pStyle w:val="30"/>
        <w:widowControl/>
        <w:spacing w:line="360" w:lineRule="auto"/>
        <w:ind w:left="420" w:firstLine="0" w:firstLineChars="0"/>
        <w:jc w:val="left"/>
        <w:rPr>
          <w:rFonts w:ascii="宋体" w:hAnsi="宋体" w:cs="宋体"/>
          <w:b/>
          <w:color w:val="000000" w:themeColor="text1"/>
          <w14:textFill>
            <w14:solidFill>
              <w14:schemeClr w14:val="tx1"/>
            </w14:solidFill>
          </w14:textFill>
        </w:rPr>
      </w:pP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报价要求</w:t>
      </w:r>
      <w:r>
        <w:rPr>
          <w:rStyle w:val="26"/>
          <w:rFonts w:hint="eastAsia" w:ascii="宋体" w:hAnsi="宋体" w:eastAsia="宋体" w:cs="宋体"/>
          <w:color w:val="000000" w:themeColor="text1"/>
          <w:szCs w:val="21"/>
          <w14:textFill>
            <w14:solidFill>
              <w14:schemeClr w14:val="tx1"/>
            </w14:solidFill>
          </w14:textFill>
        </w:rPr>
        <w:t>（</w:t>
      </w:r>
      <w:r>
        <w:rPr>
          <w:rStyle w:val="26"/>
          <w:rFonts w:hint="eastAsia" w:ascii="宋体" w:hAnsi="宋体" w:eastAsia="宋体" w:cs="宋体"/>
          <w:b w:val="0"/>
          <w:color w:val="000000" w:themeColor="text1"/>
          <w:szCs w:val="21"/>
          <w14:textFill>
            <w14:solidFill>
              <w14:schemeClr w14:val="tx1"/>
            </w14:solidFill>
          </w14:textFill>
        </w:rPr>
        <w:t>报价时需要提供以下</w:t>
      </w:r>
      <w:r>
        <w:rPr>
          <w:rStyle w:val="26"/>
          <w:rFonts w:hint="eastAsia" w:ascii="宋体" w:hAnsi="宋体" w:eastAsia="宋体" w:cs="宋体"/>
          <w:color w:val="000000" w:themeColor="text1"/>
          <w:szCs w:val="21"/>
          <w:u w:val="double"/>
          <w14:textFill>
            <w14:solidFill>
              <w14:schemeClr w14:val="tx1"/>
            </w14:solidFill>
          </w14:textFill>
        </w:rPr>
        <w:t>盖章</w:t>
      </w:r>
      <w:r>
        <w:rPr>
          <w:rStyle w:val="26"/>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6"/>
          <w:rFonts w:hint="eastAsia" w:ascii="宋体" w:hAnsi="宋体" w:eastAsia="宋体" w:cs="宋体"/>
          <w:color w:val="000000" w:themeColor="text1"/>
          <w:szCs w:val="21"/>
          <w14:textFill>
            <w14:solidFill>
              <w14:schemeClr w14:val="tx1"/>
            </w14:solidFill>
          </w14:textFill>
        </w:rPr>
        <w:t>）</w:t>
      </w:r>
    </w:p>
    <w:p>
      <w:pPr>
        <w:pStyle w:val="30"/>
        <w:numPr>
          <w:ilvl w:val="0"/>
          <w:numId w:val="7"/>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确定成交候选人</w:t>
      </w:r>
    </w:p>
    <w:p>
      <w:pPr>
        <w:pStyle w:val="30"/>
        <w:numPr>
          <w:ilvl w:val="0"/>
          <w:numId w:val="8"/>
        </w:numPr>
        <w:spacing w:line="360" w:lineRule="auto"/>
        <w:ind w:left="840" w:hanging="420"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本项目以下浮率形式进行报价，如项目存在最高限价或单价最高限价，成交总金额（单价）=最高限价（单价最高限价）×（1-下浮率）。报价时间截止后，系统按下浮率由高到低顺序排列</w:t>
      </w:r>
      <w:r>
        <w:rPr>
          <w:rFonts w:hint="eastAsia" w:ascii="宋体" w:hAnsi="宋体" w:eastAsia="宋体" w:cs="宋体"/>
          <w:b/>
          <w:bCs/>
          <w:color w:val="000000" w:themeColor="text1"/>
          <w14:textFill>
            <w14:solidFill>
              <w14:schemeClr w14:val="tx1"/>
            </w14:solidFill>
          </w14:textFill>
        </w:rPr>
        <w:t>，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20元/桶，某供应商报下浮率为10%，则成交单价=20元/桶*（1-10%）=18元/桶）。</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42"/>
        <w:numPr>
          <w:ilvl w:val="0"/>
          <w:numId w:val="9"/>
        </w:numPr>
        <w:spacing w:line="360" w:lineRule="auto"/>
        <w:ind w:left="840" w:hanging="420" w:firstLineChars="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下浮率报价没有大于或等于100%，也没有为负数，且是固定唯一值的，否则为无效报价。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9"/>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0"/>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0"/>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出现影响采购公正的违法、违规行为的；</w:t>
      </w:r>
    </w:p>
    <w:p>
      <w:pPr>
        <w:pStyle w:val="30"/>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因重大变故，采购任务取消的；</w:t>
      </w:r>
    </w:p>
    <w:p>
      <w:pPr>
        <w:pStyle w:val="30"/>
        <w:numPr>
          <w:ilvl w:val="0"/>
          <w:numId w:val="11"/>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无符合资格供应商响应报价。</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spacing w:line="360" w:lineRule="auto"/>
        <w:ind w:left="840" w:hanging="420"/>
        <w:jc w:val="both"/>
      </w:pPr>
      <w:r>
        <w:rPr>
          <w:rFonts w:ascii="宋体" w:hAnsi="宋体" w:eastAsia="宋体" w:cs="宋体"/>
          <w:color w:val="000000"/>
          <w:sz w:val="21"/>
          <w:szCs w:val="21"/>
        </w:rPr>
        <w:t>1．成交供应商须向平台服务商云采链线上采购一体化平台缴纳平台使用费，金额为预算金额的1%（四舍五入取整数）。</w:t>
      </w:r>
    </w:p>
    <w:p>
      <w:pPr>
        <w:spacing w:line="360" w:lineRule="auto"/>
        <w:ind w:left="840" w:hanging="420"/>
        <w:jc w:val="both"/>
      </w:pPr>
      <w:r>
        <w:rPr>
          <w:rFonts w:ascii="宋体" w:hAnsi="宋体" w:eastAsia="宋体" w:cs="宋体"/>
          <w:color w:val="000000"/>
          <w:sz w:val="21"/>
          <w:szCs w:val="21"/>
        </w:rPr>
        <w:t>1．各包组成交供应商须向平台服务商云采链线上采购一体化平台缴纳平台使用费，金额为成交金额的1.5%（四舍五入取整数）。</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0"/>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8"/>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2"/>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3"/>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1121"/>
        <w:gridCol w:w="3433"/>
        <w:gridCol w:w="23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69"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000000" w:themeColor="text1"/>
                <w:szCs w:val="21"/>
                <w:lang w:val="en-US" w:eastAsia="zh-CN"/>
                <w14:textFill>
                  <w14:solidFill>
                    <w14:schemeClr w14:val="tx1"/>
                  </w14:solidFill>
                </w14:textFill>
              </w:rPr>
            </w:pPr>
            <w:r>
              <w:rPr>
                <w:rFonts w:hint="eastAsia" w:ascii="宋体" w:hAnsi="宋体" w:eastAsia="宋体" w:cs="宋体"/>
                <w:b/>
                <w:color w:val="000000" w:themeColor="text1"/>
                <w:szCs w:val="21"/>
                <w:lang w:val="en-US" w:eastAsia="zh-CN"/>
                <w14:textFill>
                  <w14:solidFill>
                    <w14:schemeClr w14:val="tx1"/>
                  </w14:solidFill>
                </w14:textFill>
              </w:rPr>
              <w:t>服务期</w:t>
            </w:r>
          </w:p>
        </w:tc>
        <w:tc>
          <w:tcPr>
            <w:tcW w:w="1183"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bookmarkStart w:id="0" w:name="_GoBack"/>
            <w:r>
              <w:rPr>
                <w:rFonts w:hint="eastAsia" w:ascii="宋体" w:hAnsi="宋体" w:eastAsia="宋体" w:cs="宋体"/>
                <w:color w:val="000000" w:themeColor="text1"/>
                <w:szCs w:val="21"/>
                <w14:textFill>
                  <w14:solidFill>
                    <w14:schemeClr w14:val="tx1"/>
                  </w14:solidFill>
                </w14:textFill>
              </w:rPr>
              <w:t>中山市阜沙中学校园文化宣传建设</w:t>
            </w:r>
            <w:bookmarkEnd w:id="0"/>
          </w:p>
        </w:tc>
        <w:tc>
          <w:tcPr>
            <w:tcW w:w="569"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1项</w:t>
            </w:r>
          </w:p>
        </w:tc>
        <w:tc>
          <w:tcPr>
            <w:tcW w:w="1742"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自合同签订之日起至2024年12月31日止或预算达到</w:t>
            </w:r>
            <w:r>
              <w:rPr>
                <w:rFonts w:hint="eastAsia" w:ascii="宋体" w:hAnsi="宋体" w:eastAsia="宋体" w:cs="宋体"/>
                <w:color w:val="000000" w:themeColor="text1"/>
                <w:szCs w:val="21"/>
                <w14:textFill>
                  <w14:solidFill>
                    <w14:schemeClr w14:val="tx1"/>
                  </w14:solidFill>
                </w14:textFill>
              </w:rPr>
              <w:t>16000元</w:t>
            </w:r>
            <w:r>
              <w:rPr>
                <w:rFonts w:hint="eastAsia" w:ascii="宋体" w:hAnsi="宋体" w:eastAsia="宋体" w:cs="宋体"/>
                <w:color w:val="000000" w:themeColor="text1"/>
                <w:szCs w:val="21"/>
                <w:lang w:val="en-US" w:eastAsia="zh-CN"/>
                <w14:textFill>
                  <w14:solidFill>
                    <w14:schemeClr w14:val="tx1"/>
                  </w14:solidFill>
                </w14:textFill>
              </w:rPr>
              <w:t>止</w:t>
            </w:r>
          </w:p>
        </w:tc>
        <w:tc>
          <w:tcPr>
            <w:tcW w:w="1183"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人民币16000</w:t>
            </w:r>
            <w:r>
              <w:rPr>
                <w:rFonts w:hint="eastAsia" w:ascii="宋体" w:hAnsi="宋体" w:eastAsia="宋体" w:cs="宋体"/>
                <w:color w:val="000000" w:themeColor="text1"/>
                <w:szCs w:val="21"/>
                <w14:textFill>
                  <w14:solidFill>
                    <w14:schemeClr w14:val="tx1"/>
                  </w14:solidFill>
                </w14:textFill>
              </w:rPr>
              <w:t>元</w:t>
            </w:r>
          </w:p>
        </w:tc>
      </w:tr>
    </w:tbl>
    <w:p>
      <w:pPr>
        <w:pStyle w:val="10"/>
        <w:numPr>
          <w:ilvl w:val="0"/>
          <w:numId w:val="13"/>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tbl>
      <w:tblPr>
        <w:tblStyle w:val="23"/>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2"/>
        <w:gridCol w:w="1436"/>
        <w:gridCol w:w="3766"/>
        <w:gridCol w:w="737"/>
        <w:gridCol w:w="1384"/>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1"/>
                <w:szCs w:val="21"/>
                <w:bdr w:val="none" w:color="auto" w:sz="0" w:space="0"/>
              </w:rPr>
            </w:pPr>
            <w:r>
              <w:rPr>
                <w:rFonts w:hint="eastAsia" w:ascii="宋体" w:hAnsi="宋体" w:eastAsia="宋体" w:cs="宋体"/>
                <w:b/>
                <w:bCs/>
                <w:i w:val="0"/>
                <w:iCs w:val="0"/>
                <w:color w:val="000000"/>
                <w:kern w:val="0"/>
                <w:sz w:val="21"/>
                <w:szCs w:val="21"/>
                <w:bdr w:val="none" w:color="auto" w:sz="0" w:space="0"/>
                <w:lang w:val="en-US" w:eastAsia="zh-CN" w:bidi="ar"/>
              </w:rPr>
              <w:t>序号</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1"/>
                <w:szCs w:val="21"/>
                <w:bdr w:val="none" w:color="auto" w:sz="0" w:space="0"/>
              </w:rPr>
            </w:pPr>
            <w:r>
              <w:rPr>
                <w:rFonts w:hint="eastAsia" w:ascii="宋体" w:hAnsi="宋体" w:eastAsia="宋体" w:cs="宋体"/>
                <w:b/>
                <w:bCs/>
                <w:i w:val="0"/>
                <w:iCs w:val="0"/>
                <w:color w:val="000000"/>
                <w:kern w:val="0"/>
                <w:sz w:val="21"/>
                <w:szCs w:val="21"/>
                <w:bdr w:val="none" w:color="auto" w:sz="0" w:space="0"/>
                <w:lang w:val="en-US" w:eastAsia="zh-CN" w:bidi="ar"/>
              </w:rPr>
              <w:t>品名</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1"/>
                <w:szCs w:val="21"/>
                <w:bdr w:val="none" w:color="auto" w:sz="0" w:space="0"/>
              </w:rPr>
            </w:pPr>
            <w:r>
              <w:rPr>
                <w:rFonts w:hint="eastAsia" w:ascii="宋体" w:hAnsi="宋体" w:eastAsia="宋体" w:cs="宋体"/>
                <w:b/>
                <w:bCs/>
                <w:i w:val="0"/>
                <w:iCs w:val="0"/>
                <w:color w:val="000000"/>
                <w:kern w:val="0"/>
                <w:sz w:val="21"/>
                <w:szCs w:val="21"/>
                <w:bdr w:val="none" w:color="auto" w:sz="0" w:space="0"/>
                <w:lang w:val="en-US" w:eastAsia="zh-CN" w:bidi="ar"/>
              </w:rPr>
              <w:t>规格材质工艺</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1"/>
                <w:szCs w:val="21"/>
                <w:bdr w:val="none" w:color="auto" w:sz="0" w:space="0"/>
              </w:rPr>
            </w:pPr>
            <w:r>
              <w:rPr>
                <w:rFonts w:hint="eastAsia" w:ascii="宋体" w:hAnsi="宋体" w:eastAsia="宋体" w:cs="宋体"/>
                <w:b/>
                <w:bCs/>
                <w:i w:val="0"/>
                <w:iCs w:val="0"/>
                <w:color w:val="000000"/>
                <w:kern w:val="0"/>
                <w:sz w:val="21"/>
                <w:szCs w:val="21"/>
                <w:bdr w:val="none" w:color="auto" w:sz="0" w:space="0"/>
                <w:lang w:val="en-US" w:eastAsia="zh-CN" w:bidi="ar"/>
              </w:rPr>
              <w:t>单位</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kern w:val="2"/>
                <w:sz w:val="21"/>
                <w:szCs w:val="21"/>
                <w:bdr w:val="none" w:color="auto" w:sz="0" w:space="0"/>
                <w:lang w:val="en-US"/>
              </w:rPr>
            </w:pPr>
            <w:r>
              <w:rPr>
                <w:rFonts w:hint="eastAsia" w:ascii="宋体" w:hAnsi="宋体" w:eastAsia="宋体" w:cs="宋体"/>
                <w:b/>
                <w:bCs/>
                <w:i w:val="0"/>
                <w:iCs w:val="0"/>
                <w:color w:val="000000"/>
                <w:kern w:val="0"/>
                <w:sz w:val="21"/>
                <w:szCs w:val="21"/>
                <w:bdr w:val="none" w:color="auto" w:sz="0" w:space="0"/>
                <w:lang w:val="en-US" w:eastAsia="zh-CN" w:bidi="ar"/>
              </w:rPr>
              <w:t>单价最高限价（元）</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1"/>
                <w:szCs w:val="21"/>
                <w:bdr w:val="none" w:color="auto" w:sz="0" w:space="0"/>
              </w:rPr>
            </w:pPr>
            <w:r>
              <w:rPr>
                <w:rFonts w:hint="eastAsia" w:ascii="宋体" w:hAnsi="宋体" w:eastAsia="宋体" w:cs="宋体"/>
                <w:b/>
                <w:bCs/>
                <w:i w:val="0"/>
                <w:iCs w:val="0"/>
                <w:color w:val="00000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彩旗</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8条柱子拉8条彩旗。①呈三角形布置：30x30x15M；②旗子尺寸：20x30CM/面；③每条拉绳30米，每米3面彩旗，户外安装</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条</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￥35.00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2</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立体展示架</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3x6m，进口亚克力 15+10厘+内容UV，底部支架固定，户外安装</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套</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￥800.00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3</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活动背景板</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黑底灯布，桁架搭建，双面，折边80cm以上，沙袋，防风，户外安装</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￥80.00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4</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横（竖）幅1</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长15米以上，25米以内，宽1.5米以内，红底黄字（或其它颜色），两端留绳、穿线竹杆，高空作业。</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条</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￥150.00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含清拆历史横（竖）幅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5</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横（竖）幅2</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长12米以上，15米以内，宽0.8米以内，红底黄字（或其它颜色），两端留绳、布耳，竹杆，高空作业。</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条</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￥130.00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含清拆历史横（竖）幅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6</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横（竖）幅3</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长8米以上，12米以内，宽0.8米以内，红底黄字（或其它颜色），两端留绳、布耳，竹杆，高空作业。</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条</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￥110.00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含清拆历史横（竖）幅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7</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横（竖）幅4</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长5米以上，8米以内，宽0.8米以内，红底黄字（或其它颜色），两端留绳、布耳，竹杆，高空作业。</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条</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￥100.00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含清拆历史横（竖）幅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8</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横（竖）幅5</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长5米以下，宽0.5-0.8米，红底黄字（或其它颜色），两端留绳、竹杆，高空作业。</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条</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￥60.00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含清拆历史横（竖）幅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9</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宣传栏1</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红木框8cm+底板，户外高精背胶 +过膜</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￥120.00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10</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宣传栏2</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铝塑板边框+底板，户外高精背胶+过膜</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￥150.00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11</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宣传栏3</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304#不锈钢边框8cm+底板，户外高精背胶+过膜</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￥180.00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12</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宣传板1</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20厘PVC+UV+边框</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￥100.00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13</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宣传板2</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KT板+户外高精背胶+过膜+边框</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￥150.00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14</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宣传板3</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进口亚克力15厘+内容UV</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￥120.00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含安装、清拆、搬运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15</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其它类背胶</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户外高精背胶</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￥150.00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含清除历史背胶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16</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其它类灯布</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户外高精灯布</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￥150.00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含清除历史灯布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17</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其它金属材料</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镀锌铁+5厘方通管</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￥180.00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含清除历史镀锌铁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18</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其它类KT板</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KT板</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￥200.00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含清除历史KT板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19</w:t>
            </w:r>
          </w:p>
        </w:tc>
        <w:tc>
          <w:tcPr>
            <w:tcW w:w="7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其它类PVC</w:t>
            </w:r>
          </w:p>
        </w:tc>
        <w:tc>
          <w:tcPr>
            <w:tcW w:w="191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20厘PVC </w:t>
            </w:r>
          </w:p>
        </w:tc>
        <w:tc>
          <w:tcPr>
            <w:tcW w:w="37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平方米</w:t>
            </w:r>
          </w:p>
        </w:tc>
        <w:tc>
          <w:tcPr>
            <w:tcW w:w="7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 xml:space="preserve">￥300.00 </w:t>
            </w:r>
          </w:p>
        </w:tc>
        <w:tc>
          <w:tcPr>
            <w:tcW w:w="951"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含清除历史PVC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33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000000"/>
                <w:kern w:val="0"/>
                <w:sz w:val="21"/>
                <w:szCs w:val="21"/>
                <w:bdr w:val="none" w:color="auto" w:sz="0" w:space="0"/>
                <w:lang w:val="en-US" w:eastAsia="zh-CN" w:bidi="ar"/>
              </w:rPr>
              <w:t>备注：</w:t>
            </w:r>
          </w:p>
        </w:tc>
        <w:tc>
          <w:tcPr>
            <w:tcW w:w="4668" w:type="pct"/>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numPr>
                <w:ilvl w:val="0"/>
                <w:numId w:val="14"/>
              </w:numPr>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bdr w:val="none" w:color="auto" w:sz="0" w:space="0"/>
                <w:lang w:val="en-US" w:eastAsia="zh-CN" w:bidi="ar"/>
              </w:rPr>
            </w:pPr>
            <w:r>
              <w:rPr>
                <w:rFonts w:hint="eastAsia" w:ascii="宋体" w:hAnsi="宋体" w:eastAsia="宋体" w:cs="宋体"/>
                <w:i w:val="0"/>
                <w:iCs w:val="0"/>
                <w:color w:val="auto"/>
                <w:kern w:val="0"/>
                <w:sz w:val="21"/>
                <w:szCs w:val="21"/>
                <w:bdr w:val="none" w:color="auto" w:sz="0" w:space="0"/>
                <w:lang w:val="en-US" w:eastAsia="zh-CN" w:bidi="ar"/>
              </w:rPr>
              <w:t>以上报价包含材料费、人工费、设计费、制作费、悬挂安装费、运输费、税费等（提供设计、制作、送货、安装及售后等服务）。</w:t>
            </w:r>
          </w:p>
          <w:p>
            <w:pPr>
              <w:keepNext w:val="0"/>
              <w:keepLines w:val="0"/>
              <w:widowControl/>
              <w:numPr>
                <w:ilvl w:val="0"/>
                <w:numId w:val="14"/>
              </w:numPr>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1"/>
                <w:szCs w:val="21"/>
                <w:bdr w:val="none" w:color="auto" w:sz="0" w:space="0"/>
              </w:rPr>
            </w:pPr>
            <w:r>
              <w:rPr>
                <w:rFonts w:hint="eastAsia" w:ascii="宋体" w:hAnsi="宋体" w:eastAsia="宋体" w:cs="宋体"/>
                <w:i w:val="0"/>
                <w:iCs w:val="0"/>
                <w:color w:val="auto"/>
                <w:kern w:val="0"/>
                <w:sz w:val="21"/>
                <w:szCs w:val="21"/>
                <w:bdr w:val="none" w:color="auto" w:sz="0" w:space="0"/>
                <w:lang w:val="en-US" w:eastAsia="zh-CN" w:bidi="ar"/>
              </w:rPr>
              <w:t>以上各项项目按实际制作计算，以中标价下浮率折算核算。</w:t>
            </w:r>
          </w:p>
          <w:p>
            <w:pPr>
              <w:keepNext w:val="0"/>
              <w:keepLines w:val="0"/>
              <w:widowControl/>
              <w:numPr>
                <w:ilvl w:val="0"/>
                <w:numId w:val="14"/>
              </w:numPr>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1"/>
                <w:szCs w:val="21"/>
                <w:bdr w:val="none" w:color="auto" w:sz="0" w:space="0"/>
              </w:rPr>
            </w:pPr>
            <w:r>
              <w:rPr>
                <w:rFonts w:hint="eastAsia" w:ascii="宋体" w:hAnsi="宋体" w:eastAsia="宋体" w:cs="宋体"/>
                <w:i w:val="0"/>
                <w:iCs w:val="0"/>
                <w:color w:val="auto"/>
                <w:kern w:val="0"/>
                <w:sz w:val="21"/>
                <w:szCs w:val="21"/>
                <w:bdr w:val="none" w:color="auto" w:sz="0" w:space="0"/>
                <w:lang w:val="en-US" w:eastAsia="zh-CN" w:bidi="ar"/>
              </w:rPr>
              <w:t>2024年此项目预算资金约16000元，中标单位及时结算每次制作费用并反馈给采购单位，实际结算总金额不能超出16000元，若年中结算总金额累计达到16000元时，中标单位应及时向采购单位提出终止采购，超出16000元，按16000元结算；全年结算总金额没有超出16000元，以实际结算为准。</w:t>
            </w:r>
          </w:p>
        </w:tc>
      </w:tr>
    </w:tbl>
    <w:p>
      <w:pPr>
        <w:pStyle w:val="10"/>
        <w:numPr>
          <w:ilvl w:val="0"/>
          <w:numId w:val="13"/>
        </w:numPr>
        <w:tabs>
          <w:tab w:val="left" w:pos="540"/>
        </w:tabs>
        <w:adjustRightInd w:val="0"/>
        <w:snapToGrid w:val="0"/>
        <w:spacing w:line="360" w:lineRule="auto"/>
        <w:rPr>
          <w:rFonts w:hint="eastAsia" w:hAnsi="宋体" w:cs="宋体"/>
          <w:b/>
          <w:bCs/>
          <w:color w:val="000000" w:themeColor="text1"/>
          <w:sz w:val="21"/>
          <w14:textFill>
            <w14:solidFill>
              <w14:schemeClr w14:val="tx1"/>
            </w14:solidFill>
          </w14:textFill>
        </w:rPr>
      </w:pPr>
      <w:r>
        <w:rPr>
          <w:rFonts w:hint="eastAsia" w:hAnsi="宋体" w:cs="宋体"/>
          <w:b/>
          <w:bCs/>
          <w:color w:val="000000" w:themeColor="text1"/>
          <w:sz w:val="21"/>
          <w:lang w:val="en-US" w:eastAsia="zh-CN"/>
          <w14:textFill>
            <w14:solidFill>
              <w14:schemeClr w14:val="tx1"/>
            </w14:solidFill>
          </w14:textFill>
        </w:rPr>
        <w:t>商务要求</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b/>
          <w:bCs w:val="0"/>
          <w:kern w:val="0"/>
          <w:sz w:val="21"/>
          <w:szCs w:val="21"/>
        </w:rPr>
      </w:pPr>
      <w:r>
        <w:rPr>
          <w:rFonts w:hint="eastAsia" w:ascii="宋体" w:hAnsi="宋体" w:eastAsia="宋体" w:cs="宋体"/>
          <w:b/>
          <w:bCs w:val="0"/>
          <w:kern w:val="0"/>
          <w:sz w:val="21"/>
          <w:szCs w:val="21"/>
          <w:lang w:val="en-US" w:eastAsia="zh-CN" w:bidi="ar"/>
        </w:rPr>
        <w:t>（一）安装与调试</w:t>
      </w:r>
    </w:p>
    <w:p>
      <w:pPr>
        <w:keepNext w:val="0"/>
        <w:keepLines w:val="0"/>
        <w:widowControl w:val="0"/>
        <w:numPr>
          <w:ilvl w:val="0"/>
          <w:numId w:val="15"/>
        </w:numPr>
        <w:suppressLineNumbers w:val="0"/>
        <w:autoSpaceDE w:val="0"/>
        <w:autoSpaceDN w:val="0"/>
        <w:adjustRightInd w:val="0"/>
        <w:snapToGrid w:val="0"/>
        <w:spacing w:before="0" w:beforeAutospacing="0" w:after="0" w:afterAutospacing="0" w:line="360" w:lineRule="auto"/>
        <w:ind w:left="425" w:leftChars="0" w:right="0" w:hanging="425"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货物在验收合格前的保险由成交供应商负责，成交供应商负责其派出的现场服务人员人身意外保险。</w:t>
      </w:r>
    </w:p>
    <w:p>
      <w:pPr>
        <w:keepNext w:val="0"/>
        <w:keepLines w:val="0"/>
        <w:widowControl w:val="0"/>
        <w:numPr>
          <w:ilvl w:val="0"/>
          <w:numId w:val="15"/>
        </w:numPr>
        <w:suppressLineNumbers w:val="0"/>
        <w:autoSpaceDE w:val="0"/>
        <w:autoSpaceDN w:val="0"/>
        <w:adjustRightInd w:val="0"/>
        <w:snapToGrid w:val="0"/>
        <w:spacing w:before="0" w:beforeAutospacing="0" w:after="0" w:afterAutospacing="0" w:line="360" w:lineRule="auto"/>
        <w:ind w:left="425" w:leftChars="0" w:right="0" w:hanging="425"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货物至采购人指定的使用现场的包装、保险及发运等环节和费用均由成交供应商负责。</w:t>
      </w:r>
    </w:p>
    <w:p>
      <w:pPr>
        <w:keepNext w:val="0"/>
        <w:keepLines w:val="0"/>
        <w:widowControl w:val="0"/>
        <w:numPr>
          <w:ilvl w:val="0"/>
          <w:numId w:val="15"/>
        </w:numPr>
        <w:suppressLineNumbers w:val="0"/>
        <w:autoSpaceDE w:val="0"/>
        <w:autoSpaceDN w:val="0"/>
        <w:adjustRightInd w:val="0"/>
        <w:snapToGrid w:val="0"/>
        <w:spacing w:before="0" w:beforeAutospacing="0" w:after="0" w:afterAutospacing="0" w:line="360" w:lineRule="auto"/>
        <w:ind w:left="425" w:leftChars="0" w:right="0" w:hanging="425"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包安装已经原有宣传栏的拆卸以及后期垃圾处理。</w:t>
      </w:r>
    </w:p>
    <w:p>
      <w:pPr>
        <w:keepNext w:val="0"/>
        <w:keepLines w:val="0"/>
        <w:widowControl w:val="0"/>
        <w:numPr>
          <w:ilvl w:val="0"/>
          <w:numId w:val="15"/>
        </w:numPr>
        <w:suppressLineNumbers w:val="0"/>
        <w:autoSpaceDE w:val="0"/>
        <w:autoSpaceDN w:val="0"/>
        <w:adjustRightInd w:val="0"/>
        <w:snapToGrid w:val="0"/>
        <w:spacing w:before="0" w:beforeAutospacing="0" w:after="0" w:afterAutospacing="0" w:line="360" w:lineRule="auto"/>
        <w:ind w:left="425" w:leftChars="0" w:right="0" w:hanging="425"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如没有尺寸的需要成交后实地量度。</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b/>
          <w:bCs w:val="0"/>
          <w:kern w:val="0"/>
          <w:sz w:val="21"/>
          <w:szCs w:val="21"/>
        </w:rPr>
      </w:pPr>
      <w:r>
        <w:rPr>
          <w:rFonts w:hint="eastAsia" w:ascii="宋体" w:hAnsi="宋体" w:eastAsia="宋体" w:cs="宋体"/>
          <w:b/>
          <w:bCs w:val="0"/>
          <w:kern w:val="0"/>
          <w:sz w:val="21"/>
          <w:szCs w:val="21"/>
          <w:lang w:val="en-US" w:eastAsia="zh-CN" w:bidi="ar"/>
        </w:rPr>
        <w:t>（二）质保期及售后服务要求</w:t>
      </w:r>
    </w:p>
    <w:p>
      <w:pPr>
        <w:keepNext w:val="0"/>
        <w:keepLines w:val="0"/>
        <w:widowControl w:val="0"/>
        <w:numPr>
          <w:ilvl w:val="0"/>
          <w:numId w:val="16"/>
        </w:numPr>
        <w:suppressLineNumbers w:val="0"/>
        <w:autoSpaceDE w:val="0"/>
        <w:autoSpaceDN w:val="0"/>
        <w:adjustRightInd w:val="0"/>
        <w:snapToGrid w:val="0"/>
        <w:spacing w:before="0" w:beforeAutospacing="0" w:after="0" w:afterAutospacing="0" w:line="360" w:lineRule="auto"/>
        <w:ind w:left="425" w:leftChars="0" w:right="0" w:hanging="425"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质保期1年，质保期内，如宣传栏出现因非人为因素出现故障而出现质量问题时，供应商应免费提供更换或维修。</w:t>
      </w:r>
    </w:p>
    <w:p>
      <w:pPr>
        <w:keepNext w:val="0"/>
        <w:keepLines w:val="0"/>
        <w:widowControl w:val="0"/>
        <w:numPr>
          <w:ilvl w:val="0"/>
          <w:numId w:val="16"/>
        </w:numPr>
        <w:suppressLineNumbers w:val="0"/>
        <w:autoSpaceDE w:val="0"/>
        <w:autoSpaceDN w:val="0"/>
        <w:adjustRightInd w:val="0"/>
        <w:snapToGrid w:val="0"/>
        <w:spacing w:before="0" w:beforeAutospacing="0" w:after="0" w:afterAutospacing="0" w:line="360" w:lineRule="auto"/>
        <w:ind w:left="425" w:leftChars="0" w:right="0" w:hanging="425"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对采购单位的服务通知，供应商在接报后1小时内响应，2小时内到达现场，12小时内处理(安装）完毕。</w:t>
      </w:r>
    </w:p>
    <w:p>
      <w:pPr>
        <w:pStyle w:val="10"/>
        <w:numPr>
          <w:ilvl w:val="0"/>
          <w:numId w:val="13"/>
        </w:numPr>
        <w:tabs>
          <w:tab w:val="left" w:pos="540"/>
        </w:tabs>
        <w:adjustRightInd w:val="0"/>
        <w:snapToGrid w:val="0"/>
        <w:spacing w:line="360" w:lineRule="auto"/>
        <w:rPr>
          <w:rFonts w:hint="eastAsia" w:hAnsi="宋体" w:cs="宋体"/>
          <w:b/>
          <w:bCs/>
          <w:color w:val="000000" w:themeColor="text1"/>
          <w:sz w:val="21"/>
          <w:lang w:val="en-US" w:eastAsia="zh-CN"/>
          <w14:textFill>
            <w14:solidFill>
              <w14:schemeClr w14:val="tx1"/>
            </w14:solidFill>
          </w14:textFill>
        </w:rPr>
      </w:pPr>
      <w:r>
        <w:rPr>
          <w:rFonts w:hint="eastAsia" w:hAnsi="宋体" w:cs="宋体"/>
          <w:b/>
          <w:bCs/>
          <w:color w:val="000000" w:themeColor="text1"/>
          <w:sz w:val="21"/>
          <w:lang w:val="en-US" w:eastAsia="zh-CN"/>
          <w14:textFill>
            <w14:solidFill>
              <w14:schemeClr w14:val="tx1"/>
            </w14:solidFill>
          </w14:textFill>
        </w:rPr>
        <w:t>付款方式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由采购人按下列程序付款：</w:t>
      </w:r>
    </w:p>
    <w:p>
      <w:pPr>
        <w:numPr>
          <w:ilvl w:val="0"/>
          <w:numId w:val="17"/>
        </w:numPr>
        <w:autoSpaceDE w:val="0"/>
        <w:autoSpaceDN w:val="0"/>
        <w:adjustRightInd w:val="0"/>
        <w:snapToGrid w:val="0"/>
        <w:spacing w:line="360" w:lineRule="auto"/>
        <w:rPr>
          <w:rFonts w:hint="eastAsia" w:ascii="宋体" w:hAnsi="宋体" w:cs="宋体"/>
          <w:szCs w:val="21"/>
        </w:rPr>
      </w:pPr>
      <w:r>
        <w:rPr>
          <w:rFonts w:hint="eastAsia" w:ascii="宋体" w:hAnsi="宋体" w:cs="宋体"/>
          <w:szCs w:val="21"/>
        </w:rPr>
        <w:t>付款的方式是转账付款</w:t>
      </w:r>
      <w:r>
        <w:rPr>
          <w:rFonts w:hint="eastAsia" w:ascii="宋体" w:hAnsi="宋体" w:cs="宋体"/>
          <w:szCs w:val="21"/>
          <w:lang w:eastAsia="zh-CN"/>
        </w:rPr>
        <w:t>。</w:t>
      </w:r>
    </w:p>
    <w:p>
      <w:pPr>
        <w:numPr>
          <w:ilvl w:val="0"/>
          <w:numId w:val="17"/>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rPr>
        <w:t>成交人凭以下有效文件与采购人结算：</w:t>
      </w:r>
    </w:p>
    <w:p>
      <w:pPr>
        <w:adjustRightInd w:val="0"/>
        <w:snapToGrid w:val="0"/>
        <w:spacing w:line="360" w:lineRule="auto"/>
        <w:ind w:firstLine="315" w:firstLineChars="150"/>
        <w:rPr>
          <w:rFonts w:ascii="宋体" w:hAnsi="宋体"/>
          <w:szCs w:val="21"/>
        </w:rPr>
      </w:pPr>
      <w:r>
        <w:rPr>
          <w:rFonts w:hint="eastAsia" w:ascii="宋体" w:hAnsi="宋体"/>
          <w:szCs w:val="21"/>
        </w:rPr>
        <w:t>（1）</w:t>
      </w:r>
      <w:r>
        <w:rPr>
          <w:rFonts w:ascii="宋体" w:hAnsi="宋体"/>
          <w:szCs w:val="21"/>
        </w:rPr>
        <w:t>合同；</w:t>
      </w:r>
    </w:p>
    <w:p>
      <w:pPr>
        <w:adjustRightInd w:val="0"/>
        <w:snapToGrid w:val="0"/>
        <w:spacing w:line="360" w:lineRule="auto"/>
        <w:ind w:firstLine="315" w:firstLineChars="150"/>
        <w:rPr>
          <w:rFonts w:ascii="宋体" w:hAnsi="宋体"/>
          <w:szCs w:val="21"/>
        </w:rPr>
      </w:pPr>
      <w:r>
        <w:rPr>
          <w:rFonts w:hint="eastAsia" w:ascii="宋体" w:hAnsi="宋体"/>
          <w:szCs w:val="21"/>
        </w:rPr>
        <w:t>（2）</w:t>
      </w:r>
      <w:r>
        <w:rPr>
          <w:rFonts w:ascii="宋体" w:hAnsi="宋体"/>
          <w:szCs w:val="21"/>
        </w:rPr>
        <w:t>成交人开具的正式发票；</w:t>
      </w:r>
    </w:p>
    <w:p>
      <w:pPr>
        <w:adjustRightInd w:val="0"/>
        <w:snapToGrid w:val="0"/>
        <w:spacing w:line="360" w:lineRule="auto"/>
        <w:ind w:firstLine="315" w:firstLineChars="150"/>
        <w:rPr>
          <w:rFonts w:hint="eastAsia" w:ascii="宋体" w:hAnsi="宋体"/>
          <w:b/>
          <w:szCs w:val="21"/>
        </w:rPr>
      </w:pPr>
      <w:r>
        <w:rPr>
          <w:rFonts w:hint="eastAsia" w:ascii="宋体" w:hAnsi="宋体"/>
          <w:szCs w:val="21"/>
        </w:rPr>
        <w:t>（3）</w:t>
      </w:r>
      <w:r>
        <w:rPr>
          <w:rFonts w:ascii="宋体" w:hAnsi="宋体"/>
          <w:szCs w:val="21"/>
        </w:rPr>
        <w:t>中标通知书。</w:t>
      </w:r>
      <w:r>
        <w:rPr>
          <w:rFonts w:ascii="宋体" w:hAnsi="宋体"/>
          <w:b/>
          <w:szCs w:val="21"/>
        </w:rPr>
        <w:tab/>
      </w:r>
    </w:p>
    <w:p>
      <w:pPr>
        <w:numPr>
          <w:ilvl w:val="0"/>
          <w:numId w:val="17"/>
        </w:numPr>
        <w:autoSpaceDE w:val="0"/>
        <w:autoSpaceDN w:val="0"/>
        <w:adjustRightInd w:val="0"/>
        <w:snapToGrid w:val="0"/>
        <w:spacing w:line="360" w:lineRule="auto"/>
        <w:jc w:val="left"/>
        <w:rPr>
          <w:rFonts w:ascii="宋体" w:hAnsi="宋体"/>
          <w:b/>
          <w:bCs/>
          <w:sz w:val="28"/>
        </w:rPr>
        <w:sectPr>
          <w:headerReference r:id="rId3" w:type="default"/>
          <w:type w:val="continuous"/>
          <w:pgSz w:w="11906" w:h="16838"/>
          <w:pgMar w:top="1134" w:right="1134" w:bottom="1134" w:left="1134" w:header="643" w:footer="1018" w:gutter="0"/>
          <w:cols w:space="720" w:num="1"/>
          <w:docGrid w:type="lines" w:linePitch="312" w:charSpace="0"/>
        </w:sectPr>
      </w:pPr>
      <w:r>
        <w:rPr>
          <w:rFonts w:hint="eastAsia" w:ascii="宋体" w:hAnsi="宋体" w:cs="宋体"/>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r>
        <w:rPr>
          <w:rFonts w:hint="eastAsia" w:ascii="宋体" w:hAnsi="宋体" w:cs="宋体"/>
          <w:szCs w:val="21"/>
          <w:lang w:eastAsia="zh-CN"/>
        </w:rPr>
        <w:t>。</w:t>
      </w:r>
    </w:p>
    <w:p>
      <w:pPr>
        <w:spacing w:line="360" w:lineRule="auto"/>
        <w:jc w:val="both"/>
      </w:pP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19"/>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3"/>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58"/>
        <w:gridCol w:w="1065"/>
        <w:gridCol w:w="2300"/>
        <w:gridCol w:w="1877"/>
        <w:gridCol w:w="16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rPr>
              <w:t>采购内容</w:t>
            </w:r>
          </w:p>
        </w:tc>
        <w:tc>
          <w:tcPr>
            <w:tcW w:w="1065"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数量</w:t>
            </w:r>
          </w:p>
        </w:tc>
        <w:tc>
          <w:tcPr>
            <w:tcW w:w="2300"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val="en-US" w:eastAsia="zh-CN" w:bidi="ar"/>
              </w:rPr>
            </w:pPr>
            <w:r>
              <w:rPr>
                <w:rFonts w:hint="eastAsia" w:ascii="宋体" w:hAnsi="宋体" w:eastAsia="宋体" w:cs="宋体"/>
                <w:b/>
                <w:szCs w:val="24"/>
                <w:shd w:val="clear" w:color="auto" w:fill="FFFFFF"/>
                <w:lang w:val="en-US" w:eastAsia="zh-CN" w:bidi="ar"/>
              </w:rPr>
              <w:t>服务期</w:t>
            </w:r>
          </w:p>
        </w:tc>
        <w:tc>
          <w:tcPr>
            <w:tcW w:w="1877"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报价（</w:t>
            </w:r>
            <w:r>
              <w:rPr>
                <w:rFonts w:hint="eastAsia" w:ascii="宋体" w:hAnsi="宋体" w:eastAsia="宋体" w:cs="宋体"/>
                <w:b/>
                <w:color w:val="000000"/>
                <w:szCs w:val="21"/>
                <w:lang w:bidi="ar"/>
              </w:rPr>
              <w:t>下浮率 %</w:t>
            </w:r>
            <w:r>
              <w:rPr>
                <w:rFonts w:hint="eastAsia" w:ascii="宋体" w:hAnsi="宋体" w:eastAsia="宋体" w:cs="宋体"/>
                <w:b/>
                <w:szCs w:val="24"/>
                <w:shd w:val="clear" w:color="auto" w:fill="FFFFFF"/>
                <w:lang w:bidi="ar"/>
              </w:rPr>
              <w:t>）</w:t>
            </w:r>
          </w:p>
        </w:tc>
        <w:tc>
          <w:tcPr>
            <w:tcW w:w="1692"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lang w:bidi="ar"/>
              </w:rPr>
              <w:t>中山市阜沙中学校园文化宣传建设</w:t>
            </w:r>
          </w:p>
        </w:tc>
        <w:tc>
          <w:tcPr>
            <w:tcW w:w="1065"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rPr>
              <w:t>1项</w:t>
            </w:r>
          </w:p>
        </w:tc>
        <w:tc>
          <w:tcPr>
            <w:tcW w:w="2300"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val="en-US" w:eastAsia="zh-CN"/>
              </w:rPr>
            </w:pPr>
            <w:r>
              <w:rPr>
                <w:rFonts w:hint="eastAsia" w:ascii="宋体" w:hAnsi="宋体" w:eastAsia="宋体" w:cs="宋体"/>
                <w:szCs w:val="24"/>
                <w:u w:val="none"/>
                <w:shd w:val="clear" w:color="auto" w:fill="FFFFFF"/>
                <w:lang w:val="en-US" w:eastAsia="zh-CN"/>
              </w:rPr>
              <w:t>自合同签订之日起至2024年12月31日止或预算达到</w:t>
            </w:r>
            <w:r>
              <w:rPr>
                <w:rFonts w:hint="eastAsia" w:ascii="宋体" w:hAnsi="宋体" w:eastAsia="宋体" w:cs="宋体"/>
                <w:color w:val="000000" w:themeColor="text1"/>
                <w:szCs w:val="21"/>
                <w:u w:val="none"/>
                <w14:textFill>
                  <w14:solidFill>
                    <w14:schemeClr w14:val="tx1"/>
                  </w14:solidFill>
                </w14:textFill>
              </w:rPr>
              <w:t>16000元</w:t>
            </w:r>
            <w:r>
              <w:rPr>
                <w:rFonts w:hint="eastAsia" w:ascii="宋体" w:hAnsi="宋体" w:eastAsia="宋体" w:cs="宋体"/>
                <w:color w:val="000000" w:themeColor="text1"/>
                <w:szCs w:val="21"/>
                <w:u w:val="none"/>
                <w:lang w:val="en-US" w:eastAsia="zh-CN"/>
                <w14:textFill>
                  <w14:solidFill>
                    <w14:schemeClr w14:val="tx1"/>
                  </w14:solidFill>
                </w14:textFill>
              </w:rPr>
              <w:t>止</w:t>
            </w:r>
          </w:p>
        </w:tc>
        <w:tc>
          <w:tcPr>
            <w:tcW w:w="1877"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p>
        </w:tc>
        <w:tc>
          <w:tcPr>
            <w:tcW w:w="1692"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val="en-US" w:eastAsia="zh-CN"/>
              </w:rPr>
            </w:pPr>
          </w:p>
        </w:tc>
      </w:tr>
    </w:tbl>
    <w:p>
      <w:pPr>
        <w:tabs>
          <w:tab w:val="left" w:pos="7740"/>
        </w:tabs>
        <w:adjustRightInd w:val="0"/>
        <w:snapToGrid w:val="0"/>
        <w:spacing w:line="360" w:lineRule="auto"/>
        <w:rPr>
          <w:rFonts w:ascii="宋体" w:hAnsi="宋体" w:eastAsia="宋体" w:cs="宋体"/>
          <w:color w:val="000000" w:themeColor="text1"/>
          <w:szCs w:val="21"/>
          <w14:textFill>
            <w14:solidFill>
              <w14:schemeClr w14:val="tx1"/>
            </w14:solidFill>
          </w14:textFill>
        </w:rPr>
      </w:pP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widowControl/>
        <w:numPr>
          <w:ilvl w:val="0"/>
          <w:numId w:val="18"/>
        </w:numPr>
        <w:shd w:val="clear" w:color="auto" w:fill="FFFFFF"/>
        <w:spacing w:line="360" w:lineRule="auto"/>
        <w:jc w:val="left"/>
        <w:rPr>
          <w:rFonts w:ascii="宋体" w:hAnsi="宋体" w:eastAsia="宋体" w:cs="宋体"/>
          <w:b/>
          <w:bCs/>
          <w:color w:val="000000" w:themeColor="text1"/>
          <w:u w:val="single"/>
          <w14:textFill>
            <w14:solidFill>
              <w14:schemeClr w14:val="tx1"/>
            </w14:solidFill>
          </w14:textFill>
        </w:rPr>
      </w:pPr>
      <w:r>
        <w:rPr>
          <w:rFonts w:hint="eastAsia" w:ascii="宋体" w:hAnsi="宋体" w:eastAsia="宋体" w:cs="宋体"/>
          <w:b/>
          <w:bCs/>
          <w:color w:val="000000" w:themeColor="text1"/>
          <w:u w:val="single"/>
          <w14:textFill>
            <w14:solidFill>
              <w14:schemeClr w14:val="tx1"/>
            </w14:solidFill>
          </w14:textFill>
        </w:rPr>
        <w:t>下浮率报价没有大于或等于100%，也没有为负数，且是固定唯一值的，否则为无效报价；下浮率高的为成交供应商。供应商所报下浮率为成交下浮率，即：合同物品单价=最高单价限价*（1-下浮率）；在本项目合同服务履行期间，该下浮率不作另行调整；</w:t>
      </w:r>
    </w:p>
    <w:p>
      <w:pPr>
        <w:widowControl/>
        <w:numPr>
          <w:ilvl w:val="0"/>
          <w:numId w:val="18"/>
        </w:numPr>
        <w:spacing w:line="360" w:lineRule="auto"/>
        <w:jc w:val="left"/>
        <w:rPr>
          <w:rFonts w:ascii="宋体" w:hAnsi="宋体" w:eastAsia="宋体" w:cs="宋体"/>
          <w:b/>
          <w:bCs/>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响应下浮率的报价均应包含国家规定的税费。</w:t>
      </w:r>
    </w:p>
    <w:p>
      <w:pPr>
        <w:widowControl/>
        <w:numPr>
          <w:ilvl w:val="0"/>
          <w:numId w:val="18"/>
        </w:numPr>
        <w:spacing w:line="360" w:lineRule="auto"/>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本项目不接受有选择性的响应报价，只允许报一个下浮率，且所报的下浮率应当适用于该类别所有产品单品。</w:t>
      </w:r>
    </w:p>
    <w:p>
      <w:pPr>
        <w:pStyle w:val="18"/>
        <w:numPr>
          <w:ilvl w:val="0"/>
          <w:numId w:val="18"/>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8"/>
        <w:numPr>
          <w:ilvl w:val="0"/>
          <w:numId w:val="1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8"/>
        <w:numPr>
          <w:ilvl w:val="0"/>
          <w:numId w:val="1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1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pStyle w:val="18"/>
        <w:numPr>
          <w:ilvl w:val="0"/>
          <w:numId w:val="1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供应商报价表必须加盖公章，否则视作无效报价。</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jc w:val="center"/>
        <w:rPr>
          <w:rFonts w:ascii="宋体" w:hAnsi="宋体" w:eastAsia="宋体" w:cs="宋体"/>
          <w:color w:val="000000" w:themeColor="text1"/>
          <w:spacing w:val="4"/>
          <w:szCs w:val="21"/>
          <w:u w:val="single"/>
          <w14:textFill>
            <w14:solidFill>
              <w14:schemeClr w14:val="tx1"/>
            </w14:solidFill>
          </w14:textFill>
        </w:rPr>
      </w:pPr>
    </w:p>
    <w:p>
      <w: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致：中山市阜沙中学、</w:t>
      </w:r>
      <w:r>
        <w:rPr>
          <w:rFonts w:hint="eastAsia" w:ascii="宋体" w:hAnsi="宋体" w:eastAsia="宋体" w:cs="宋体"/>
          <w:b/>
          <w:color w:val="000000" w:themeColor="text1"/>
          <w14:textFill>
            <w14:solidFill>
              <w14:schemeClr w14:val="tx1"/>
            </w14:solidFill>
          </w14:textFill>
        </w:rPr>
        <w:t>采联国际招标采购集团有限公司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中山市阜沙中学校园文化宣传建设</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19"/>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19"/>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中山市阜沙中学、</w:t>
      </w:r>
      <w:r>
        <w:rPr>
          <w:rFonts w:hint="eastAsia" w:ascii="宋体" w:hAnsi="宋体" w:eastAsia="宋体" w:cs="宋体"/>
          <w:b/>
          <w:color w:val="000000" w:themeColor="text1"/>
          <w14:textFill>
            <w14:solidFill>
              <w14:schemeClr w14:val="tx1"/>
            </w14:solidFill>
          </w14:textFill>
        </w:rPr>
        <w:t>采联国际招标采购集团有限公司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中山市阜沙中学校园文化宣传建设</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numPr>
          <w:ilvl w:val="0"/>
          <w:numId w:val="20"/>
        </w:numPr>
        <w:snapToGrid w:val="0"/>
        <w:spacing w:line="360" w:lineRule="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本公司（企业）具有本次采购项目供货及服务能力。</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本公司（企业）有固定的经营场所，信誉良好、售后维护服务好，并且在经营活动中无严重违法记录。</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本公司（企业）没有为采购项目同一合同项下提供整体设计、规范编制或者项目管理、监理、检测等服务。</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本公司（企业）的法定代表人或单位负责人与所参投的本项目其他供应商的法定代表人或单位负责人不为同一人且与其他供应商之间不存在直接控股、管理关系。</w:t>
      </w:r>
    </w:p>
    <w:p>
      <w:pPr>
        <w:numPr>
          <w:ilvl w:val="0"/>
          <w:numId w:val="20"/>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本公司（企业）在本项目中不分包、转包且不联合参与竞价。</w:t>
      </w: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21"/>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21"/>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0"/>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0"/>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napToGrid w:val="0"/>
        <w:spacing w:line="360" w:lineRule="auto"/>
        <w:textAlignment w:val="baseline"/>
        <w:rPr>
          <w:rFonts w:ascii="宋体" w:hAnsi="宋体" w:eastAsia="宋体" w:cs="宋体"/>
          <w:color w:val="000000"/>
          <w:szCs w:val="21"/>
          <w:lang w:val="zh-CN" w:bidi="ar"/>
        </w:rPr>
      </w:pPr>
    </w:p>
    <w:sectPr>
      <w:headerReference r:id="rId5" w:type="first"/>
      <w:headerReference r:id="rId4"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宋体" w:hAnsi="宋体"/>
      </w:rPr>
    </w:pPr>
    <w:r>
      <w:rPr>
        <w:rFonts w:hint="eastAsia" w:ascii="宋体" w:hAnsi="宋体"/>
      </w:rPr>
      <w:t xml:space="preserve">  ︱让︱您︱的︱选︱择︱更︱专︱业︱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9C72C"/>
    <w:multiLevelType w:val="singleLevel"/>
    <w:tmpl w:val="9A19C72C"/>
    <w:lvl w:ilvl="0" w:tentative="0">
      <w:start w:val="1"/>
      <w:numFmt w:val="decimal"/>
      <w:lvlText w:val="%1."/>
      <w:lvlJc w:val="left"/>
      <w:pPr>
        <w:ind w:left="425" w:hanging="425"/>
      </w:pPr>
      <w:rPr>
        <w:rFonts w:hint="default"/>
      </w:rPr>
    </w:lvl>
  </w:abstractNum>
  <w:abstractNum w:abstractNumId="1">
    <w:nsid w:val="B02F3790"/>
    <w:multiLevelType w:val="singleLevel"/>
    <w:tmpl w:val="B02F3790"/>
    <w:lvl w:ilvl="0" w:tentative="0">
      <w:start w:val="1"/>
      <w:numFmt w:val="decimal"/>
      <w:lvlText w:val="%1."/>
      <w:lvlJc w:val="left"/>
      <w:pPr>
        <w:ind w:left="425" w:hanging="425"/>
      </w:pPr>
      <w:rPr>
        <w:rFonts w:hint="default"/>
      </w:rPr>
    </w:lvl>
  </w:abstractNum>
  <w:abstractNum w:abstractNumId="2">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3">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4">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5">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6">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9"/>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9">
    <w:nsid w:val="140A6B21"/>
    <w:multiLevelType w:val="multilevel"/>
    <w:tmpl w:val="140A6B2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1">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2">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4">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5">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7">
    <w:nsid w:val="61387087"/>
    <w:multiLevelType w:val="multilevel"/>
    <w:tmpl w:val="61387087"/>
    <w:lvl w:ilvl="0" w:tentative="0">
      <w:start w:val="1"/>
      <w:numFmt w:val="decimal"/>
      <w:lvlText w:val="%1."/>
      <w:lvlJc w:val="left"/>
      <w:pPr>
        <w:tabs>
          <w:tab w:val="left" w:pos="425"/>
        </w:tabs>
        <w:ind w:left="425" w:hanging="425"/>
      </w:pPr>
      <w:rPr>
        <w:b w:val="0"/>
        <w:sz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8">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B200A8A"/>
    <w:multiLevelType w:val="singleLevel"/>
    <w:tmpl w:val="6B200A8A"/>
    <w:lvl w:ilvl="0" w:tentative="0">
      <w:start w:val="1"/>
      <w:numFmt w:val="decimal"/>
      <w:lvlText w:val="%1."/>
      <w:lvlJc w:val="left"/>
      <w:pPr>
        <w:tabs>
          <w:tab w:val="left" w:pos="312"/>
        </w:tabs>
      </w:pPr>
    </w:lvl>
  </w:abstractNum>
  <w:abstractNum w:abstractNumId="20">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8"/>
  </w:num>
  <w:num w:numId="3">
    <w:abstractNumId w:val="5"/>
  </w:num>
  <w:num w:numId="4">
    <w:abstractNumId w:val="14"/>
  </w:num>
  <w:num w:numId="5">
    <w:abstractNumId w:val="3"/>
  </w:num>
  <w:num w:numId="6">
    <w:abstractNumId w:val="8"/>
  </w:num>
  <w:num w:numId="7">
    <w:abstractNumId w:val="10"/>
  </w:num>
  <w:num w:numId="8">
    <w:abstractNumId w:val="16"/>
  </w:num>
  <w:num w:numId="9">
    <w:abstractNumId w:val="11"/>
  </w:num>
  <w:num w:numId="10">
    <w:abstractNumId w:val="4"/>
  </w:num>
  <w:num w:numId="11">
    <w:abstractNumId w:val="9"/>
  </w:num>
  <w:num w:numId="12">
    <w:abstractNumId w:val="12"/>
  </w:num>
  <w:num w:numId="13">
    <w:abstractNumId w:val="6"/>
  </w:num>
  <w:num w:numId="14">
    <w:abstractNumId w:val="19"/>
  </w:num>
  <w:num w:numId="15">
    <w:abstractNumId w:val="0"/>
  </w:num>
  <w:num w:numId="16">
    <w:abstractNumId w:val="1"/>
  </w:num>
  <w:num w:numId="17">
    <w:abstractNumId w:val="17"/>
  </w:num>
  <w:num w:numId="18">
    <w:abstractNumId w:val="20"/>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172A27"/>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18536E"/>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0F6481A"/>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5"/>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1"/>
    <w:semiHidden/>
    <w:unhideWhenUsed/>
    <w:qFormat/>
    <w:uiPriority w:val="9"/>
    <w:pPr>
      <w:keepNext/>
      <w:keepLines/>
      <w:spacing w:before="260" w:after="260" w:line="413" w:lineRule="auto"/>
      <w:outlineLvl w:val="2"/>
    </w:pPr>
    <w:rPr>
      <w:b/>
      <w:sz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annotation text"/>
    <w:basedOn w:val="1"/>
    <w:link w:val="86"/>
    <w:autoRedefine/>
    <w:unhideWhenUsed/>
    <w:qFormat/>
    <w:uiPriority w:val="0"/>
    <w:pPr>
      <w:jc w:val="left"/>
    </w:pPr>
    <w:rPr>
      <w:rFonts w:ascii="Times New Roman" w:hAnsi="Times New Roman" w:eastAsia="宋体" w:cs="Times New Roman"/>
      <w:szCs w:val="24"/>
    </w:rPr>
  </w:style>
  <w:style w:type="paragraph" w:styleId="7">
    <w:name w:val="Body Text"/>
    <w:basedOn w:val="1"/>
    <w:link w:val="91"/>
    <w:autoRedefine/>
    <w:semiHidden/>
    <w:unhideWhenUsed/>
    <w:qFormat/>
    <w:uiPriority w:val="99"/>
    <w:pPr>
      <w:spacing w:after="120"/>
    </w:pPr>
  </w:style>
  <w:style w:type="paragraph" w:styleId="8">
    <w:name w:val="Body Text Indent"/>
    <w:basedOn w:val="1"/>
    <w:next w:val="9"/>
    <w:link w:val="88"/>
    <w:autoRedefine/>
    <w:semiHidden/>
    <w:unhideWhenUsed/>
    <w:qFormat/>
    <w:uiPriority w:val="99"/>
    <w:pPr>
      <w:spacing w:after="120"/>
      <w:ind w:left="420" w:leftChars="200"/>
    </w:pPr>
  </w:style>
  <w:style w:type="paragraph" w:styleId="9">
    <w:name w:val="envelope return"/>
    <w:basedOn w:val="1"/>
    <w:qFormat/>
    <w:uiPriority w:val="0"/>
    <w:pPr>
      <w:snapToGrid w:val="0"/>
    </w:pPr>
    <w:rPr>
      <w:rFonts w:ascii="Arial" w:hAnsi="Arial"/>
    </w:rPr>
  </w:style>
  <w:style w:type="paragraph" w:styleId="10">
    <w:name w:val="Plain Text"/>
    <w:basedOn w:val="1"/>
    <w:link w:val="60"/>
    <w:autoRedefine/>
    <w:qFormat/>
    <w:uiPriority w:val="0"/>
    <w:rPr>
      <w:rFonts w:ascii="宋体" w:hAnsi="Courier New" w:eastAsia="宋体" w:cs="Times New Roman"/>
      <w:kern w:val="0"/>
      <w:sz w:val="20"/>
      <w:szCs w:val="21"/>
    </w:rPr>
  </w:style>
  <w:style w:type="paragraph" w:styleId="11">
    <w:name w:val="Balloon Text"/>
    <w:basedOn w:val="1"/>
    <w:link w:val="32"/>
    <w:autoRedefine/>
    <w:semiHidden/>
    <w:unhideWhenUsed/>
    <w:qFormat/>
    <w:uiPriority w:val="99"/>
    <w:rPr>
      <w:sz w:val="18"/>
      <w:szCs w:val="18"/>
    </w:rPr>
  </w:style>
  <w:style w:type="paragraph" w:styleId="12">
    <w:name w:val="footer"/>
    <w:basedOn w:val="1"/>
    <w:link w:val="56"/>
    <w:autoRedefine/>
    <w:unhideWhenUsed/>
    <w:qFormat/>
    <w:uiPriority w:val="99"/>
    <w:pPr>
      <w:tabs>
        <w:tab w:val="center" w:pos="4153"/>
        <w:tab w:val="right" w:pos="8306"/>
      </w:tabs>
      <w:snapToGrid w:val="0"/>
      <w:jc w:val="left"/>
    </w:pPr>
    <w:rPr>
      <w:sz w:val="18"/>
      <w:szCs w:val="18"/>
    </w:rPr>
  </w:style>
  <w:style w:type="paragraph" w:styleId="13">
    <w:name w:val="header"/>
    <w:basedOn w:val="1"/>
    <w:link w:val="10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semiHidden/>
    <w:unhideWhenUsed/>
    <w:qFormat/>
    <w:uiPriority w:val="39"/>
    <w:pPr>
      <w:spacing w:line="400" w:lineRule="exact"/>
      <w:jc w:val="center"/>
    </w:pPr>
    <w:rPr>
      <w:rFonts w:hint="eastAsia" w:ascii="宋体" w:hAnsi="宋体" w:eastAsia="宋体" w:cs="Times New Roman"/>
      <w:b/>
      <w:bCs/>
    </w:rPr>
  </w:style>
  <w:style w:type="paragraph" w:styleId="15">
    <w:name w:val="footnote text"/>
    <w:basedOn w:val="1"/>
    <w:link w:val="73"/>
    <w:autoRedefine/>
    <w:semiHidden/>
    <w:unhideWhenUsed/>
    <w:qFormat/>
    <w:uiPriority w:val="99"/>
    <w:pPr>
      <w:snapToGrid w:val="0"/>
      <w:jc w:val="left"/>
    </w:pPr>
    <w:rPr>
      <w:sz w:val="18"/>
    </w:rPr>
  </w:style>
  <w:style w:type="paragraph" w:styleId="16">
    <w:name w:val="Body Text Indent 3"/>
    <w:basedOn w:val="1"/>
    <w:link w:val="93"/>
    <w:semiHidden/>
    <w:unhideWhenUsed/>
    <w:qFormat/>
    <w:uiPriority w:val="99"/>
    <w:pPr>
      <w:spacing w:after="120"/>
      <w:ind w:left="420" w:leftChars="200"/>
    </w:pPr>
    <w:rPr>
      <w:rFonts w:hint="eastAsia" w:ascii="等线" w:hAnsi="等线" w:eastAsia="等线" w:cs="Times New Roman"/>
      <w:sz w:val="16"/>
      <w:szCs w:val="16"/>
    </w:rPr>
  </w:style>
  <w:style w:type="paragraph" w:styleId="17">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8">
    <w:name w:val="Normal (Web)"/>
    <w:basedOn w:val="1"/>
    <w:link w:val="87"/>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72"/>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3"/>
    <w:autoRedefine/>
    <w:semiHidden/>
    <w:unhideWhenUsed/>
    <w:qFormat/>
    <w:uiPriority w:val="99"/>
    <w:rPr>
      <w:b/>
      <w:bCs/>
    </w:rPr>
  </w:style>
  <w:style w:type="paragraph" w:styleId="21">
    <w:name w:val="Body Text First Indent"/>
    <w:basedOn w:val="7"/>
    <w:link w:val="94"/>
    <w:autoRedefine/>
    <w:semiHidden/>
    <w:unhideWhenUsed/>
    <w:qFormat/>
    <w:uiPriority w:val="99"/>
    <w:pPr>
      <w:ind w:firstLine="420" w:firstLineChars="100"/>
    </w:pPr>
    <w:rPr>
      <w:rFonts w:ascii="Calibri" w:hAnsi="Calibri" w:eastAsia="宋体" w:cs="Times New Roman"/>
    </w:rPr>
  </w:style>
  <w:style w:type="paragraph" w:styleId="22">
    <w:name w:val="Body Text First Indent 2"/>
    <w:basedOn w:val="8"/>
    <w:next w:val="1"/>
    <w:link w:val="47"/>
    <w:autoRedefine/>
    <w:semiHidden/>
    <w:unhideWhenUsed/>
    <w:qFormat/>
    <w:uiPriority w:val="99"/>
    <w:pPr>
      <w:ind w:firstLine="420" w:firstLineChars="200"/>
    </w:p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autoRedefine/>
    <w:qFormat/>
    <w:uiPriority w:val="22"/>
    <w:rPr>
      <w:b/>
      <w:bCs/>
    </w:rPr>
  </w:style>
  <w:style w:type="character" w:styleId="27">
    <w:name w:val="annotation reference"/>
    <w:basedOn w:val="25"/>
    <w:autoRedefine/>
    <w:unhideWhenUsed/>
    <w:qFormat/>
    <w:uiPriority w:val="0"/>
    <w:rPr>
      <w:sz w:val="21"/>
      <w:szCs w:val="21"/>
    </w:rPr>
  </w:style>
  <w:style w:type="character" w:customStyle="1" w:styleId="28">
    <w:name w:val="页眉 字符"/>
    <w:basedOn w:val="25"/>
    <w:autoRedefine/>
    <w:qFormat/>
    <w:uiPriority w:val="99"/>
    <w:rPr>
      <w:sz w:val="18"/>
      <w:szCs w:val="18"/>
    </w:rPr>
  </w:style>
  <w:style w:type="character" w:customStyle="1" w:styleId="29">
    <w:name w:val="页脚 字符"/>
    <w:basedOn w:val="25"/>
    <w:autoRedefine/>
    <w:qFormat/>
    <w:uiPriority w:val="99"/>
    <w:rPr>
      <w:sz w:val="18"/>
      <w:szCs w:val="18"/>
    </w:rPr>
  </w:style>
  <w:style w:type="paragraph" w:styleId="30">
    <w:name w:val="List Paragraph"/>
    <w:basedOn w:val="1"/>
    <w:link w:val="38"/>
    <w:autoRedefine/>
    <w:qFormat/>
    <w:uiPriority w:val="34"/>
    <w:pPr>
      <w:ind w:firstLine="420" w:firstLineChars="200"/>
    </w:pPr>
  </w:style>
  <w:style w:type="character" w:customStyle="1" w:styleId="31">
    <w:name w:val="批注文字 字符"/>
    <w:basedOn w:val="25"/>
    <w:autoRedefine/>
    <w:qFormat/>
    <w:uiPriority w:val="0"/>
  </w:style>
  <w:style w:type="character" w:customStyle="1" w:styleId="32">
    <w:name w:val="批注框文本 字符"/>
    <w:basedOn w:val="25"/>
    <w:link w:val="11"/>
    <w:autoRedefine/>
    <w:semiHidden/>
    <w:qFormat/>
    <w:uiPriority w:val="99"/>
    <w:rPr>
      <w:sz w:val="18"/>
      <w:szCs w:val="18"/>
    </w:rPr>
  </w:style>
  <w:style w:type="character" w:customStyle="1" w:styleId="33">
    <w:name w:val="批注主题 字符"/>
    <w:basedOn w:val="31"/>
    <w:link w:val="20"/>
    <w:autoRedefine/>
    <w:semiHidden/>
    <w:qFormat/>
    <w:uiPriority w:val="99"/>
    <w:rPr>
      <w:b/>
      <w:bCs/>
    </w:rPr>
  </w:style>
  <w:style w:type="character" w:customStyle="1" w:styleId="34">
    <w:name w:val="标题 Char"/>
    <w:basedOn w:val="25"/>
    <w:autoRedefine/>
    <w:qFormat/>
    <w:uiPriority w:val="0"/>
    <w:rPr>
      <w:rFonts w:eastAsia="宋体" w:asciiTheme="majorHAnsi" w:hAnsiTheme="majorHAnsi" w:cstheme="majorBidi"/>
      <w:b/>
      <w:bCs/>
      <w:sz w:val="32"/>
      <w:szCs w:val="32"/>
    </w:rPr>
  </w:style>
  <w:style w:type="character" w:customStyle="1" w:styleId="35">
    <w:name w:val="标题 2 字符"/>
    <w:basedOn w:val="25"/>
    <w:autoRedefine/>
    <w:qFormat/>
    <w:uiPriority w:val="0"/>
    <w:rPr>
      <w:rFonts w:ascii="Arial" w:hAnsi="Arial" w:eastAsia="黑体" w:cs="Times New Roman"/>
      <w:b/>
      <w:bCs/>
      <w:sz w:val="32"/>
      <w:szCs w:val="32"/>
    </w:rPr>
  </w:style>
  <w:style w:type="character" w:customStyle="1" w:styleId="36">
    <w:name w:val="纯文本 字符"/>
    <w:basedOn w:val="25"/>
    <w:autoRedefine/>
    <w:qFormat/>
    <w:uiPriority w:val="0"/>
    <w:rPr>
      <w:rFonts w:ascii="宋体" w:hAnsi="Courier New" w:eastAsia="宋体" w:cs="Times New Roman"/>
      <w:kern w:val="0"/>
      <w:sz w:val="20"/>
      <w:szCs w:val="21"/>
    </w:rPr>
  </w:style>
  <w:style w:type="paragraph" w:customStyle="1" w:styleId="37">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8">
    <w:name w:val="列表段落 字符4"/>
    <w:link w:val="30"/>
    <w:autoRedefine/>
    <w:qFormat/>
    <w:uiPriority w:val="99"/>
  </w:style>
  <w:style w:type="paragraph" w:customStyle="1" w:styleId="39">
    <w:name w:val="样式4"/>
    <w:basedOn w:val="1"/>
    <w:autoRedefine/>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0">
    <w:name w:val="列出段落1"/>
    <w:basedOn w:val="1"/>
    <w:link w:val="41"/>
    <w:autoRedefine/>
    <w:qFormat/>
    <w:uiPriority w:val="99"/>
    <w:pPr>
      <w:ind w:firstLine="420" w:firstLineChars="200"/>
    </w:pPr>
    <w:rPr>
      <w:rFonts w:ascii="Times New Roman" w:hAnsi="Times New Roman" w:eastAsia="宋体" w:cs="Times New Roman"/>
      <w:szCs w:val="21"/>
    </w:rPr>
  </w:style>
  <w:style w:type="character" w:customStyle="1" w:styleId="41">
    <w:name w:val="List Paragraph Char"/>
    <w:link w:val="40"/>
    <w:autoRedefine/>
    <w:qFormat/>
    <w:locked/>
    <w:uiPriority w:val="99"/>
    <w:rPr>
      <w:rFonts w:ascii="Times New Roman" w:hAnsi="Times New Roman" w:eastAsia="宋体" w:cs="Times New Roman"/>
      <w:szCs w:val="21"/>
    </w:rPr>
  </w:style>
  <w:style w:type="paragraph" w:customStyle="1" w:styleId="42">
    <w:name w:val="_Style 121"/>
    <w:basedOn w:val="1"/>
    <w:next w:val="30"/>
    <w:autoRedefine/>
    <w:qFormat/>
    <w:uiPriority w:val="34"/>
    <w:pPr>
      <w:ind w:firstLine="420" w:firstLineChars="200"/>
    </w:pPr>
    <w:rPr>
      <w:rFonts w:ascii="Calibri" w:hAnsi="Calibri" w:eastAsia="宋体" w:cs="Times New Roman"/>
    </w:rPr>
  </w:style>
  <w:style w:type="paragraph" w:customStyle="1" w:styleId="43">
    <w:name w:val="start-font-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start-font-3"/>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纯文本 Char1"/>
    <w:autoRedefine/>
    <w:qFormat/>
    <w:uiPriority w:val="0"/>
    <w:rPr>
      <w:rFonts w:ascii="宋体" w:hAnsi="Courier New" w:eastAsia="宋体" w:cs="Times New Roman"/>
      <w:kern w:val="0"/>
      <w:sz w:val="20"/>
      <w:szCs w:val="21"/>
    </w:rPr>
  </w:style>
  <w:style w:type="character" w:customStyle="1" w:styleId="46">
    <w:name w:val="正文文本缩进 字符"/>
    <w:basedOn w:val="25"/>
    <w:autoRedefine/>
    <w:qFormat/>
    <w:uiPriority w:val="0"/>
    <w:rPr>
      <w:kern w:val="2"/>
      <w:sz w:val="21"/>
      <w:szCs w:val="24"/>
    </w:rPr>
  </w:style>
  <w:style w:type="character" w:customStyle="1" w:styleId="47">
    <w:name w:val="正文文本首行缩进 2 字符"/>
    <w:basedOn w:val="46"/>
    <w:link w:val="22"/>
    <w:autoRedefine/>
    <w:qFormat/>
    <w:uiPriority w:val="0"/>
    <w:rPr>
      <w:kern w:val="2"/>
      <w:sz w:val="21"/>
      <w:szCs w:val="24"/>
    </w:rPr>
  </w:style>
  <w:style w:type="paragraph" w:customStyle="1" w:styleId="48">
    <w:name w:val="msolistparagraph"/>
    <w:basedOn w:val="1"/>
    <w:autoRedefine/>
    <w:qFormat/>
    <w:uiPriority w:val="0"/>
    <w:pPr>
      <w:ind w:firstLine="420" w:firstLineChars="200"/>
    </w:pPr>
    <w:rPr>
      <w:rFonts w:ascii="Times New Roman" w:hAnsi="Times New Roman" w:eastAsia="宋体" w:cs="Times New Roman"/>
    </w:rPr>
  </w:style>
  <w:style w:type="character" w:customStyle="1" w:styleId="49">
    <w:name w:val="列出段落 Char"/>
    <w:basedOn w:val="25"/>
    <w:autoRedefine/>
    <w:qFormat/>
    <w:uiPriority w:val="0"/>
    <w:rPr>
      <w:kern w:val="2"/>
      <w:sz w:val="21"/>
      <w:szCs w:val="22"/>
    </w:rPr>
  </w:style>
  <w:style w:type="character" w:customStyle="1" w:styleId="50">
    <w:name w:val="正文文本 字符"/>
    <w:basedOn w:val="25"/>
    <w:autoRedefine/>
    <w:qFormat/>
    <w:uiPriority w:val="0"/>
    <w:rPr>
      <w:rFonts w:hint="default" w:ascii="Calibri" w:hAnsi="Calibri" w:eastAsia="宋体" w:cs="Times New Roman"/>
      <w:kern w:val="2"/>
      <w:sz w:val="21"/>
      <w:szCs w:val="22"/>
    </w:rPr>
  </w:style>
  <w:style w:type="character" w:customStyle="1" w:styleId="51">
    <w:name w:val="纯文本 Char"/>
    <w:basedOn w:val="25"/>
    <w:autoRedefine/>
    <w:qFormat/>
    <w:uiPriority w:val="0"/>
    <w:rPr>
      <w:rFonts w:hint="eastAsia" w:ascii="宋体" w:hAnsi="Courier New" w:eastAsia="宋体" w:cs="宋体"/>
      <w:szCs w:val="21"/>
    </w:rPr>
  </w:style>
  <w:style w:type="paragraph" w:customStyle="1" w:styleId="52">
    <w:name w:val="_Style 116"/>
    <w:basedOn w:val="1"/>
    <w:next w:val="30"/>
    <w:autoRedefine/>
    <w:qFormat/>
    <w:uiPriority w:val="99"/>
    <w:pPr>
      <w:ind w:firstLine="420" w:firstLineChars="200"/>
    </w:pPr>
    <w:rPr>
      <w:kern w:val="0"/>
      <w:sz w:val="20"/>
      <w:szCs w:val="20"/>
    </w:rPr>
  </w:style>
  <w:style w:type="character" w:customStyle="1" w:styleId="53">
    <w:name w:val="普通(网站) 字符"/>
    <w:basedOn w:val="25"/>
    <w:autoRedefine/>
    <w:qFormat/>
    <w:uiPriority w:val="0"/>
    <w:rPr>
      <w:rFonts w:hint="eastAsia" w:ascii="宋体" w:hAnsi="宋体" w:eastAsia="宋体" w:cs="宋体"/>
      <w:sz w:val="24"/>
      <w:szCs w:val="24"/>
    </w:rPr>
  </w:style>
  <w:style w:type="character" w:customStyle="1" w:styleId="54">
    <w:name w:val="批注文字 Char"/>
    <w:basedOn w:val="25"/>
    <w:autoRedefine/>
    <w:qFormat/>
    <w:uiPriority w:val="0"/>
    <w:rPr>
      <w:kern w:val="2"/>
      <w:sz w:val="21"/>
      <w:szCs w:val="24"/>
    </w:rPr>
  </w:style>
  <w:style w:type="character" w:customStyle="1" w:styleId="55">
    <w:name w:val="标题 1 字符"/>
    <w:basedOn w:val="25"/>
    <w:link w:val="2"/>
    <w:autoRedefine/>
    <w:qFormat/>
    <w:uiPriority w:val="0"/>
    <w:rPr>
      <w:b/>
      <w:bCs/>
      <w:kern w:val="44"/>
      <w:sz w:val="44"/>
      <w:szCs w:val="44"/>
    </w:rPr>
  </w:style>
  <w:style w:type="character" w:customStyle="1" w:styleId="56">
    <w:name w:val="页脚 字符1"/>
    <w:basedOn w:val="25"/>
    <w:link w:val="12"/>
    <w:autoRedefine/>
    <w:qFormat/>
    <w:uiPriority w:val="0"/>
    <w:rPr>
      <w:kern w:val="2"/>
      <w:sz w:val="18"/>
      <w:szCs w:val="18"/>
    </w:rPr>
  </w:style>
  <w:style w:type="character" w:customStyle="1" w:styleId="57">
    <w:name w:val="页眉 字符1"/>
    <w:basedOn w:val="25"/>
    <w:autoRedefine/>
    <w:qFormat/>
    <w:uiPriority w:val="0"/>
    <w:rPr>
      <w:kern w:val="2"/>
      <w:sz w:val="18"/>
      <w:szCs w:val="18"/>
    </w:rPr>
  </w:style>
  <w:style w:type="character" w:customStyle="1" w:styleId="58">
    <w:name w:val="标题 2 字符1"/>
    <w:basedOn w:val="25"/>
    <w:autoRedefine/>
    <w:qFormat/>
    <w:uiPriority w:val="0"/>
    <w:rPr>
      <w:rFonts w:hint="default" w:ascii="Cambria" w:hAnsi="Cambria" w:eastAsia="Cambria" w:cs="Cambria"/>
      <w:b/>
      <w:bCs/>
      <w:kern w:val="2"/>
      <w:sz w:val="32"/>
      <w:szCs w:val="32"/>
    </w:rPr>
  </w:style>
  <w:style w:type="character" w:customStyle="1" w:styleId="59">
    <w:name w:val="列出段落 Char1"/>
    <w:basedOn w:val="25"/>
    <w:autoRedefine/>
    <w:qFormat/>
    <w:uiPriority w:val="0"/>
    <w:rPr>
      <w:rFonts w:hint="default" w:ascii="Calibri" w:hAnsi="Calibri" w:cs="Calibri"/>
      <w:kern w:val="2"/>
      <w:sz w:val="21"/>
      <w:szCs w:val="22"/>
    </w:rPr>
  </w:style>
  <w:style w:type="character" w:customStyle="1" w:styleId="60">
    <w:name w:val="纯文本 字符2"/>
    <w:basedOn w:val="25"/>
    <w:link w:val="10"/>
    <w:autoRedefine/>
    <w:qFormat/>
    <w:uiPriority w:val="0"/>
    <w:rPr>
      <w:rFonts w:hint="eastAsia" w:ascii="宋体" w:hAnsi="Courier New" w:eastAsia="宋体" w:cs="宋体"/>
      <w:szCs w:val="21"/>
      <w:lang w:val="zh-CN"/>
    </w:rPr>
  </w:style>
  <w:style w:type="character" w:customStyle="1" w:styleId="61">
    <w:name w:val="标题 3 字符"/>
    <w:basedOn w:val="25"/>
    <w:link w:val="4"/>
    <w:autoRedefine/>
    <w:qFormat/>
    <w:uiPriority w:val="0"/>
    <w:rPr>
      <w:b/>
      <w:bCs/>
      <w:kern w:val="2"/>
      <w:sz w:val="32"/>
      <w:szCs w:val="32"/>
    </w:rPr>
  </w:style>
  <w:style w:type="paragraph" w:customStyle="1" w:styleId="62">
    <w:name w:val="列表段落2"/>
    <w:basedOn w:val="1"/>
    <w:autoRedefine/>
    <w:qFormat/>
    <w:uiPriority w:val="0"/>
    <w:pPr>
      <w:ind w:firstLine="420" w:firstLineChars="200"/>
    </w:pPr>
    <w:rPr>
      <w:rFonts w:ascii="Times New Roman" w:hAnsi="Times New Roman" w:eastAsia="宋体" w:cs="Times New Roman"/>
      <w:szCs w:val="24"/>
    </w:rPr>
  </w:style>
  <w:style w:type="character" w:customStyle="1" w:styleId="63">
    <w:name w:val="正文文本首行缩进 字符"/>
    <w:autoRedefine/>
    <w:qFormat/>
    <w:uiPriority w:val="0"/>
    <w:rPr>
      <w:rFonts w:hint="default" w:ascii="Calibri" w:hAnsi="Calibri" w:eastAsia="宋体" w:cs="Times New Roman"/>
      <w:kern w:val="2"/>
      <w:sz w:val="21"/>
      <w:szCs w:val="22"/>
    </w:rPr>
  </w:style>
  <w:style w:type="paragraph" w:customStyle="1" w:styleId="64">
    <w:name w:val="p0"/>
    <w:basedOn w:val="1"/>
    <w:autoRedefine/>
    <w:qFormat/>
    <w:uiPriority w:val="0"/>
    <w:pPr>
      <w:widowControl/>
    </w:pPr>
    <w:rPr>
      <w:rFonts w:ascii="Calibri" w:hAnsi="Calibri" w:eastAsia="宋体" w:cs="Times New Roman"/>
      <w:kern w:val="0"/>
      <w:szCs w:val="21"/>
    </w:rPr>
  </w:style>
  <w:style w:type="character" w:customStyle="1" w:styleId="65">
    <w:name w:val="font51"/>
    <w:basedOn w:val="25"/>
    <w:autoRedefine/>
    <w:qFormat/>
    <w:uiPriority w:val="0"/>
    <w:rPr>
      <w:rFonts w:hint="eastAsia" w:ascii="宋体" w:hAnsi="宋体" w:eastAsia="宋体" w:cs="宋体"/>
      <w:color w:val="000000"/>
      <w:sz w:val="21"/>
      <w:szCs w:val="21"/>
      <w:u w:val="none"/>
    </w:rPr>
  </w:style>
  <w:style w:type="character" w:customStyle="1" w:styleId="66">
    <w:name w:val="列表段落 字符2"/>
    <w:basedOn w:val="25"/>
    <w:autoRedefine/>
    <w:qFormat/>
    <w:uiPriority w:val="0"/>
  </w:style>
  <w:style w:type="character" w:customStyle="1" w:styleId="67">
    <w:name w:val="NormalCharacter"/>
    <w:basedOn w:val="25"/>
    <w:autoRedefine/>
    <w:qFormat/>
    <w:uiPriority w:val="0"/>
  </w:style>
  <w:style w:type="character" w:customStyle="1" w:styleId="68">
    <w:name w:val="font31"/>
    <w:basedOn w:val="25"/>
    <w:autoRedefine/>
    <w:qFormat/>
    <w:uiPriority w:val="0"/>
    <w:rPr>
      <w:rFonts w:hint="default" w:ascii="Times New Roman" w:hAnsi="Times New Roman" w:cs="Times New Roman"/>
      <w:color w:val="000000"/>
      <w:sz w:val="21"/>
      <w:szCs w:val="21"/>
      <w:u w:val="none"/>
    </w:rPr>
  </w:style>
  <w:style w:type="character" w:customStyle="1" w:styleId="69">
    <w:name w:val="font21"/>
    <w:basedOn w:val="25"/>
    <w:autoRedefine/>
    <w:qFormat/>
    <w:uiPriority w:val="0"/>
    <w:rPr>
      <w:rFonts w:hint="eastAsia" w:ascii="宋体" w:hAnsi="宋体" w:eastAsia="宋体" w:cs="宋体"/>
      <w:color w:val="000000"/>
      <w:sz w:val="24"/>
      <w:szCs w:val="24"/>
      <w:u w:val="none"/>
    </w:rPr>
  </w:style>
  <w:style w:type="character" w:customStyle="1" w:styleId="70">
    <w:name w:val="font11"/>
    <w:basedOn w:val="25"/>
    <w:autoRedefine/>
    <w:qFormat/>
    <w:uiPriority w:val="0"/>
    <w:rPr>
      <w:rFonts w:hint="eastAsia" w:ascii="宋体" w:hAnsi="宋体" w:eastAsia="宋体" w:cs="宋体"/>
      <w:color w:val="000000"/>
      <w:sz w:val="21"/>
      <w:szCs w:val="21"/>
      <w:u w:val="none"/>
    </w:rPr>
  </w:style>
  <w:style w:type="character" w:customStyle="1" w:styleId="71">
    <w:name w:val="纯文本 字符1"/>
    <w:basedOn w:val="25"/>
    <w:autoRedefine/>
    <w:qFormat/>
    <w:uiPriority w:val="0"/>
    <w:rPr>
      <w:rFonts w:hint="eastAsia" w:ascii="宋体" w:hAnsi="Courier New" w:eastAsia="宋体" w:cs="宋体"/>
      <w:szCs w:val="21"/>
    </w:rPr>
  </w:style>
  <w:style w:type="character" w:customStyle="1" w:styleId="72">
    <w:name w:val="标题 字符"/>
    <w:basedOn w:val="25"/>
    <w:link w:val="19"/>
    <w:autoRedefine/>
    <w:qFormat/>
    <w:uiPriority w:val="0"/>
    <w:rPr>
      <w:rFonts w:hint="default" w:ascii="Cambria" w:hAnsi="Cambria" w:eastAsia="Cambria" w:cs="Times New Roman"/>
      <w:b/>
      <w:bCs/>
      <w:kern w:val="2"/>
      <w:sz w:val="32"/>
      <w:szCs w:val="32"/>
    </w:rPr>
  </w:style>
  <w:style w:type="character" w:customStyle="1" w:styleId="73">
    <w:name w:val="脚注文本 字符"/>
    <w:basedOn w:val="25"/>
    <w:link w:val="15"/>
    <w:autoRedefine/>
    <w:qFormat/>
    <w:uiPriority w:val="0"/>
    <w:rPr>
      <w:rFonts w:hint="eastAsia" w:ascii="宋体" w:hAnsi="宋体" w:eastAsia="宋体" w:cs="Times New Roman"/>
      <w:kern w:val="2"/>
      <w:sz w:val="24"/>
      <w:szCs w:val="18"/>
    </w:rPr>
  </w:style>
  <w:style w:type="character" w:customStyle="1" w:styleId="74">
    <w:name w:val="脚注文本 Char1"/>
    <w:basedOn w:val="25"/>
    <w:autoRedefine/>
    <w:qFormat/>
    <w:uiPriority w:val="0"/>
    <w:rPr>
      <w:rFonts w:hint="default" w:ascii="Calibri" w:hAnsi="Calibri" w:eastAsia="宋体" w:cs="Times New Roman"/>
      <w:kern w:val="2"/>
      <w:sz w:val="18"/>
      <w:szCs w:val="18"/>
    </w:rPr>
  </w:style>
  <w:style w:type="character" w:customStyle="1" w:styleId="75">
    <w:name w:val="列表段落 字符1"/>
    <w:basedOn w:val="25"/>
    <w:autoRedefine/>
    <w:qFormat/>
    <w:uiPriority w:val="0"/>
  </w:style>
  <w:style w:type="paragraph" w:customStyle="1" w:styleId="76">
    <w:name w:val="Table Paragraph"/>
    <w:basedOn w:val="1"/>
    <w:autoRedefine/>
    <w:qFormat/>
    <w:uiPriority w:val="0"/>
    <w:rPr>
      <w:rFonts w:hint="eastAsia" w:ascii="宋体" w:hAnsi="宋体" w:eastAsia="宋体" w:cs="Times New Roman"/>
      <w:szCs w:val="24"/>
    </w:rPr>
  </w:style>
  <w:style w:type="character" w:customStyle="1" w:styleId="77">
    <w:name w:val="font41"/>
    <w:basedOn w:val="25"/>
    <w:qFormat/>
    <w:uiPriority w:val="0"/>
    <w:rPr>
      <w:rFonts w:hint="eastAsia" w:ascii="宋体" w:hAnsi="宋体" w:eastAsia="宋体" w:cs="宋体"/>
      <w:color w:val="FF0000"/>
      <w:sz w:val="24"/>
      <w:szCs w:val="24"/>
      <w:u w:val="none"/>
    </w:rPr>
  </w:style>
  <w:style w:type="character" w:customStyle="1" w:styleId="78">
    <w:name w:val="font91"/>
    <w:basedOn w:val="25"/>
    <w:qFormat/>
    <w:uiPriority w:val="0"/>
    <w:rPr>
      <w:rFonts w:hint="default" w:ascii="Times New Roman" w:hAnsi="Times New Roman" w:cs="Times New Roman"/>
      <w:color w:val="000000"/>
      <w:sz w:val="21"/>
      <w:szCs w:val="21"/>
      <w:u w:val="none"/>
    </w:rPr>
  </w:style>
  <w:style w:type="paragraph" w:customStyle="1" w:styleId="79">
    <w:name w:val="正文_0_0"/>
    <w:basedOn w:val="1"/>
    <w:qFormat/>
    <w:uiPriority w:val="0"/>
    <w:rPr>
      <w:rFonts w:ascii="Calibri" w:hAnsi="Calibri" w:eastAsia="宋体" w:cs="Times New Roman"/>
    </w:rPr>
  </w:style>
  <w:style w:type="character" w:customStyle="1" w:styleId="80">
    <w:name w:val="批注文字 字符1"/>
    <w:basedOn w:val="25"/>
    <w:qFormat/>
    <w:uiPriority w:val="0"/>
    <w:rPr>
      <w:szCs w:val="24"/>
    </w:rPr>
  </w:style>
  <w:style w:type="character" w:customStyle="1" w:styleId="81">
    <w:name w:val="列表段落 字符"/>
    <w:basedOn w:val="25"/>
    <w:qFormat/>
    <w:uiPriority w:val="0"/>
    <w:rPr>
      <w:rFonts w:hint="default" w:ascii="Calibri" w:hAnsi="Calibri" w:cs="Calibri"/>
      <w:kern w:val="2"/>
      <w:sz w:val="21"/>
      <w:szCs w:val="22"/>
    </w:rPr>
  </w:style>
  <w:style w:type="paragraph" w:customStyle="1" w:styleId="82">
    <w:name w:val="_Style 24"/>
    <w:basedOn w:val="1"/>
    <w:qFormat/>
    <w:uiPriority w:val="0"/>
    <w:pPr>
      <w:ind w:firstLine="420" w:firstLineChars="200"/>
    </w:pPr>
    <w:rPr>
      <w:rFonts w:ascii="Calibri" w:hAnsi="Calibri" w:eastAsia="宋体" w:cs="Times New Roman"/>
    </w:rPr>
  </w:style>
  <w:style w:type="character" w:customStyle="1" w:styleId="83">
    <w:name w:val="列表段落 字符3"/>
    <w:basedOn w:val="25"/>
    <w:qFormat/>
    <w:uiPriority w:val="0"/>
    <w:rPr>
      <w:rFonts w:hint="default" w:ascii="Calibri" w:hAnsi="Calibri" w:eastAsia="宋体" w:cs="Times New Roman"/>
      <w:kern w:val="2"/>
      <w:sz w:val="21"/>
      <w:szCs w:val="22"/>
    </w:rPr>
  </w:style>
  <w:style w:type="character" w:customStyle="1" w:styleId="84">
    <w:name w:val="列出段落 Char2"/>
    <w:basedOn w:val="25"/>
    <w:qFormat/>
    <w:uiPriority w:val="0"/>
    <w:rPr>
      <w:rFonts w:hint="default" w:ascii="Calibri" w:hAnsi="Calibri" w:eastAsia="宋体" w:cs="Times New Roman"/>
      <w:kern w:val="2"/>
      <w:sz w:val="21"/>
      <w:szCs w:val="22"/>
    </w:rPr>
  </w:style>
  <w:style w:type="character" w:customStyle="1" w:styleId="85">
    <w:name w:val="标题 2 字符2"/>
    <w:basedOn w:val="25"/>
    <w:link w:val="3"/>
    <w:qFormat/>
    <w:uiPriority w:val="0"/>
    <w:rPr>
      <w:rFonts w:hint="default" w:ascii="Arial" w:hAnsi="Arial" w:eastAsia="黑体" w:cs="Arial"/>
      <w:b/>
      <w:bCs/>
      <w:kern w:val="2"/>
      <w:sz w:val="32"/>
      <w:szCs w:val="32"/>
    </w:rPr>
  </w:style>
  <w:style w:type="character" w:customStyle="1" w:styleId="86">
    <w:name w:val="批注文字 字符2"/>
    <w:basedOn w:val="25"/>
    <w:link w:val="6"/>
    <w:qFormat/>
    <w:uiPriority w:val="0"/>
    <w:rPr>
      <w:kern w:val="2"/>
      <w:sz w:val="21"/>
      <w:szCs w:val="24"/>
    </w:rPr>
  </w:style>
  <w:style w:type="character" w:customStyle="1" w:styleId="87">
    <w:name w:val="普通(网站) 字符1"/>
    <w:basedOn w:val="25"/>
    <w:link w:val="18"/>
    <w:qFormat/>
    <w:uiPriority w:val="0"/>
    <w:rPr>
      <w:rFonts w:hint="eastAsia" w:ascii="宋体" w:hAnsi="宋体" w:eastAsia="宋体" w:cs="宋体"/>
      <w:sz w:val="24"/>
      <w:szCs w:val="24"/>
    </w:rPr>
  </w:style>
  <w:style w:type="character" w:customStyle="1" w:styleId="88">
    <w:name w:val="正文文本缩进 字符1"/>
    <w:basedOn w:val="25"/>
    <w:link w:val="8"/>
    <w:qFormat/>
    <w:uiPriority w:val="0"/>
    <w:rPr>
      <w:kern w:val="2"/>
      <w:sz w:val="21"/>
      <w:szCs w:val="22"/>
    </w:rPr>
  </w:style>
  <w:style w:type="paragraph" w:customStyle="1" w:styleId="89">
    <w:name w:val="正文文本首行缩进 21"/>
    <w:basedOn w:val="8"/>
    <w:qFormat/>
    <w:uiPriority w:val="0"/>
    <w:pPr>
      <w:ind w:firstLine="420" w:firstLineChars="200"/>
    </w:pPr>
    <w:rPr>
      <w:rFonts w:ascii="Times New Roman" w:hAnsi="Times New Roman" w:eastAsia="宋体" w:cs="Times New Roman"/>
      <w:kern w:val="0"/>
      <w:sz w:val="20"/>
      <w:szCs w:val="20"/>
    </w:rPr>
  </w:style>
  <w:style w:type="paragraph" w:customStyle="1" w:styleId="90">
    <w:name w:val="_Style 5"/>
    <w:basedOn w:val="1"/>
    <w:next w:val="1"/>
    <w:qFormat/>
    <w:uiPriority w:val="0"/>
    <w:pPr>
      <w:ind w:firstLine="420" w:firstLineChars="200"/>
    </w:pPr>
    <w:rPr>
      <w:rFonts w:ascii="Times New Roman" w:hAnsi="Times New Roman" w:eastAsia="宋体" w:cs="Times New Roman"/>
    </w:rPr>
  </w:style>
  <w:style w:type="character" w:customStyle="1" w:styleId="91">
    <w:name w:val="正文文本 字符1"/>
    <w:basedOn w:val="25"/>
    <w:link w:val="7"/>
    <w:qFormat/>
    <w:uiPriority w:val="0"/>
    <w:rPr>
      <w:rFonts w:hint="default" w:ascii="Calibri" w:hAnsi="Calibri" w:eastAsia="宋体" w:cs="Times New Roman"/>
      <w:kern w:val="2"/>
      <w:sz w:val="21"/>
      <w:szCs w:val="22"/>
    </w:rPr>
  </w:style>
  <w:style w:type="paragraph" w:customStyle="1" w:styleId="92">
    <w:name w:val="列表段落1"/>
    <w:basedOn w:val="1"/>
    <w:qFormat/>
    <w:uiPriority w:val="0"/>
    <w:pPr>
      <w:ind w:firstLine="420" w:firstLineChars="200"/>
    </w:pPr>
    <w:rPr>
      <w:rFonts w:hint="eastAsia" w:ascii="等线" w:hAnsi="等线" w:eastAsia="等线" w:cs="Times New Roman"/>
    </w:rPr>
  </w:style>
  <w:style w:type="character" w:customStyle="1" w:styleId="93">
    <w:name w:val="正文文本缩进 3 字符"/>
    <w:basedOn w:val="25"/>
    <w:link w:val="16"/>
    <w:qFormat/>
    <w:uiPriority w:val="0"/>
    <w:rPr>
      <w:rFonts w:hint="eastAsia" w:ascii="等线" w:hAnsi="等线" w:eastAsia="等线" w:cs="等线"/>
      <w:kern w:val="2"/>
      <w:sz w:val="16"/>
      <w:szCs w:val="16"/>
    </w:rPr>
  </w:style>
  <w:style w:type="character" w:customStyle="1" w:styleId="94">
    <w:name w:val="正文文本首行缩进 字符1"/>
    <w:link w:val="21"/>
    <w:qFormat/>
    <w:uiPriority w:val="0"/>
    <w:rPr>
      <w:rFonts w:hint="default" w:ascii="Calibri" w:hAnsi="Calibri" w:eastAsia="楷体_GB2312" w:cs="Calibri"/>
      <w:kern w:val="2"/>
      <w:sz w:val="32"/>
      <w:szCs w:val="22"/>
    </w:rPr>
  </w:style>
  <w:style w:type="character" w:customStyle="1" w:styleId="95">
    <w:name w:val="表格文字 Char"/>
    <w:basedOn w:val="25"/>
    <w:link w:val="96"/>
    <w:qFormat/>
    <w:uiPriority w:val="0"/>
    <w:rPr>
      <w:bCs/>
      <w:spacing w:val="10"/>
      <w:sz w:val="24"/>
    </w:rPr>
  </w:style>
  <w:style w:type="paragraph" w:customStyle="1" w:styleId="96">
    <w:name w:val="表格文字"/>
    <w:basedOn w:val="1"/>
    <w:link w:val="95"/>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7">
    <w:name w:val="_Style 3"/>
    <w:basedOn w:val="1"/>
    <w:qFormat/>
    <w:uiPriority w:val="0"/>
    <w:rPr>
      <w:rFonts w:ascii="Times New Roman" w:hAnsi="Times New Roman" w:eastAsia="宋体" w:cs="Times New Roman"/>
    </w:rPr>
  </w:style>
  <w:style w:type="paragraph" w:customStyle="1" w:styleId="98">
    <w:name w:val="列表段落3"/>
    <w:basedOn w:val="1"/>
    <w:qFormat/>
    <w:uiPriority w:val="0"/>
    <w:pPr>
      <w:ind w:firstLine="420" w:firstLineChars="200"/>
    </w:pPr>
    <w:rPr>
      <w:rFonts w:ascii="Calibri" w:hAnsi="Calibri" w:eastAsia="宋体" w:cs="Times New Roman"/>
    </w:rPr>
  </w:style>
  <w:style w:type="character" w:customStyle="1" w:styleId="99">
    <w:name w:val="15"/>
    <w:basedOn w:val="25"/>
    <w:qFormat/>
    <w:uiPriority w:val="0"/>
    <w:rPr>
      <w:rFonts w:hint="default" w:ascii="Times New Roman" w:hAnsi="Times New Roman" w:cs="Times New Roman"/>
      <w:b/>
      <w:bCs/>
    </w:rPr>
  </w:style>
  <w:style w:type="character" w:customStyle="1" w:styleId="100">
    <w:name w:val="正文首行缩进 2 Char1"/>
    <w:basedOn w:val="25"/>
    <w:qFormat/>
    <w:uiPriority w:val="0"/>
  </w:style>
  <w:style w:type="character" w:customStyle="1" w:styleId="101">
    <w:name w:val="页眉 字符2"/>
    <w:basedOn w:val="25"/>
    <w:link w:val="13"/>
    <w:qFormat/>
    <w:uiPriority w:val="0"/>
    <w:rPr>
      <w:sz w:val="18"/>
      <w:szCs w:val="18"/>
    </w:rPr>
  </w:style>
  <w:style w:type="character" w:customStyle="1" w:styleId="102">
    <w:name w:val="页眉 Char1"/>
    <w:qFormat/>
    <w:uiPriority w:val="99"/>
    <w:rPr>
      <w:sz w:val="18"/>
      <w:szCs w:val="18"/>
      <w:lang w:val="zh-CN" w:eastAsia="zh-CN"/>
    </w:rPr>
  </w:style>
  <w:style w:type="character" w:customStyle="1" w:styleId="103">
    <w:name w:val="标题 2 Char"/>
    <w:basedOn w:val="25"/>
    <w:qFormat/>
    <w:uiPriority w:val="0"/>
    <w:rPr>
      <w:rFonts w:ascii="Arial" w:hAnsi="Arial" w:eastAsia="黑体" w:cs="Times New Roman"/>
      <w:b/>
      <w:bCs/>
      <w:sz w:val="32"/>
      <w:szCs w:val="32"/>
    </w:rPr>
  </w:style>
  <w:style w:type="character" w:customStyle="1" w:styleId="104">
    <w:name w:val="列出段落 Char3"/>
    <w:basedOn w:val="25"/>
    <w:uiPriority w:val="0"/>
    <w:rPr>
      <w:rFonts w:hint="default" w:ascii="Calibri" w:hAnsi="Calibri" w:eastAsia="宋体" w:cs="Times New Roman"/>
      <w:kern w:val="2"/>
      <w:sz w:val="21"/>
      <w:szCs w:val="22"/>
    </w:rPr>
  </w:style>
  <w:style w:type="character" w:customStyle="1" w:styleId="105">
    <w:name w:val="10"/>
    <w:basedOn w:val="25"/>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12</Pages>
  <Words>19170</Words>
  <Characters>109275</Characters>
  <Lines>1</Lines>
  <Paragraphs>1</Paragraphs>
  <TotalTime>1</TotalTime>
  <ScaleCrop>false</ScaleCrop>
  <LinksUpToDate>false</LinksUpToDate>
  <CharactersWithSpaces>128189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代理机构</cp:lastModifiedBy>
  <cp:lastPrinted>2018-10-16T04:01:00Z</cp:lastPrinted>
  <dcterms:modified xsi:type="dcterms:W3CDTF">2024-04-26T08:03:05Z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BE353DE776EA44E7BE9A052527AF4223_13</vt:lpwstr>
  </property>
</Properties>
</file>