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730" w:rsidRDefault="00506F13">
      <w:pPr>
        <w:pStyle w:val="1"/>
        <w:jc w:val="center"/>
      </w:pPr>
      <w:r>
        <w:rPr>
          <w:rFonts w:hint="eastAsia"/>
        </w:rPr>
        <w:t>广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附属番禺中心医院态势感知平台及云防护系统升级续保服务</w:t>
      </w:r>
    </w:p>
    <w:p w:rsidR="00360730" w:rsidRDefault="00506F1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用户需求书</w:t>
      </w:r>
    </w:p>
    <w:p w:rsidR="00360730" w:rsidRDefault="00506F13">
      <w:pPr>
        <w:pStyle w:val="1"/>
        <w:numPr>
          <w:ilvl w:val="0"/>
          <w:numId w:val="2"/>
        </w:numPr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项目背景</w:t>
      </w:r>
    </w:p>
    <w:p w:rsidR="00360730" w:rsidRDefault="00506F13">
      <w:pPr>
        <w:rPr>
          <w:sz w:val="28"/>
          <w:szCs w:val="28"/>
        </w:rPr>
      </w:pPr>
      <w:r>
        <w:rPr>
          <w:rFonts w:hint="eastAsia"/>
        </w:rPr>
        <w:t xml:space="preserve"> </w:t>
      </w:r>
      <w:r>
        <w:t xml:space="preserve">  </w:t>
      </w:r>
      <w:r>
        <w:rPr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根据等保</w:t>
      </w:r>
      <w:proofErr w:type="gramEnd"/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.0</w:t>
      </w:r>
      <w:r>
        <w:rPr>
          <w:rFonts w:hint="eastAsia"/>
          <w:sz w:val="28"/>
          <w:szCs w:val="28"/>
        </w:rPr>
        <w:t>政策要求，我院于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021</w:t>
      </w:r>
      <w:r>
        <w:rPr>
          <w:rFonts w:hint="eastAsia"/>
          <w:sz w:val="28"/>
          <w:szCs w:val="28"/>
        </w:rPr>
        <w:t>年采购了态势感知平台及云防护系统，现需采购这套系统的</w:t>
      </w:r>
      <w:proofErr w:type="gramStart"/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年维保升级</w:t>
      </w:r>
      <w:proofErr w:type="gramEnd"/>
      <w:r>
        <w:rPr>
          <w:rFonts w:hint="eastAsia"/>
          <w:sz w:val="28"/>
          <w:szCs w:val="28"/>
        </w:rPr>
        <w:t>服务，以完成对</w:t>
      </w:r>
      <w:r>
        <w:rPr>
          <w:sz w:val="28"/>
          <w:szCs w:val="28"/>
        </w:rPr>
        <w:t>医院日志数据、流量数据、风险告警数据的集中收集、解析及审计</w:t>
      </w:r>
      <w:r>
        <w:rPr>
          <w:rFonts w:hint="eastAsia"/>
          <w:sz w:val="28"/>
          <w:szCs w:val="28"/>
        </w:rPr>
        <w:t>等要求；并完成对医院门户网站接入云防护清洗服务，实现按需静态防护，确保重大节日期间对网站可持续访问及防篡改的要求。</w:t>
      </w:r>
    </w:p>
    <w:p w:rsidR="00360730" w:rsidRDefault="00506F13">
      <w:pPr>
        <w:pStyle w:val="1"/>
        <w:numPr>
          <w:ilvl w:val="0"/>
          <w:numId w:val="2"/>
        </w:numPr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>服务内容</w:t>
      </w:r>
    </w:p>
    <w:p w:rsidR="00360730" w:rsidRDefault="00506F13">
      <w:pPr>
        <w:pStyle w:val="2"/>
        <w:numPr>
          <w:ilvl w:val="1"/>
          <w:numId w:val="3"/>
        </w:numPr>
        <w:rPr>
          <w:b/>
          <w:bCs/>
        </w:rPr>
      </w:pPr>
      <w:r>
        <w:rPr>
          <w:rFonts w:hint="eastAsia"/>
          <w:b/>
          <w:bCs/>
        </w:rPr>
        <w:t>服务清单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279"/>
        <w:gridCol w:w="3680"/>
        <w:gridCol w:w="708"/>
        <w:gridCol w:w="566"/>
        <w:gridCol w:w="1356"/>
      </w:tblGrid>
      <w:tr w:rsidR="00360730">
        <w:trPr>
          <w:trHeight w:val="680"/>
          <w:jc w:val="center"/>
        </w:trPr>
        <w:tc>
          <w:tcPr>
            <w:tcW w:w="426" w:type="pct"/>
            <w:shd w:val="clear" w:color="auto" w:fill="FFFFFF"/>
            <w:noWrap/>
            <w:vAlign w:val="center"/>
          </w:tcPr>
          <w:p w:rsidR="00360730" w:rsidRDefault="00506F13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71" w:type="pct"/>
            <w:shd w:val="clear" w:color="auto" w:fill="FFFFFF"/>
            <w:noWrap/>
            <w:vAlign w:val="center"/>
          </w:tcPr>
          <w:p w:rsidR="00360730" w:rsidRDefault="00506F13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ar"/>
              </w:rPr>
              <w:t>产品名称</w:t>
            </w:r>
          </w:p>
        </w:tc>
        <w:tc>
          <w:tcPr>
            <w:tcW w:w="2218" w:type="pct"/>
            <w:shd w:val="clear" w:color="auto" w:fill="FFFFFF"/>
            <w:noWrap/>
            <w:vAlign w:val="center"/>
          </w:tcPr>
          <w:p w:rsidR="00360730" w:rsidRDefault="00506F13">
            <w:pPr>
              <w:widowControl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功能介绍</w:t>
            </w:r>
          </w:p>
        </w:tc>
        <w:tc>
          <w:tcPr>
            <w:tcW w:w="427" w:type="pct"/>
            <w:shd w:val="clear" w:color="auto" w:fill="FFFFFF"/>
            <w:noWrap/>
            <w:vAlign w:val="center"/>
          </w:tcPr>
          <w:p w:rsidR="00360730" w:rsidRDefault="00506F13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  <w:bookmarkStart w:id="0" w:name="_GoBack"/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lang w:bidi="ar"/>
              </w:rPr>
              <w:t>（年）</w:t>
            </w:r>
            <w:bookmarkEnd w:id="0"/>
          </w:p>
        </w:tc>
        <w:tc>
          <w:tcPr>
            <w:tcW w:w="341" w:type="pct"/>
            <w:shd w:val="clear" w:color="auto" w:fill="FFFFFF"/>
            <w:vAlign w:val="center"/>
          </w:tcPr>
          <w:p w:rsidR="00360730" w:rsidRDefault="00506F13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ar"/>
              </w:rPr>
              <w:t>品牌</w:t>
            </w:r>
          </w:p>
        </w:tc>
        <w:tc>
          <w:tcPr>
            <w:tcW w:w="817" w:type="pct"/>
            <w:shd w:val="clear" w:color="auto" w:fill="FFFFFF"/>
            <w:noWrap/>
            <w:vAlign w:val="center"/>
          </w:tcPr>
          <w:p w:rsidR="00360730" w:rsidRDefault="00506F13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sz w:val="24"/>
              </w:rPr>
              <w:t>备注</w:t>
            </w:r>
          </w:p>
        </w:tc>
      </w:tr>
      <w:tr w:rsidR="00360730">
        <w:trPr>
          <w:trHeight w:val="680"/>
          <w:jc w:val="center"/>
        </w:trPr>
        <w:tc>
          <w:tcPr>
            <w:tcW w:w="426" w:type="pct"/>
            <w:shd w:val="clear" w:color="auto" w:fill="FFFFFF"/>
            <w:noWrap/>
            <w:vAlign w:val="center"/>
          </w:tcPr>
          <w:p w:rsidR="00360730" w:rsidRDefault="00360730">
            <w:pPr>
              <w:pStyle w:val="ad"/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71" w:type="pct"/>
            <w:shd w:val="clear" w:color="B8CCE4" w:fill="FFFFFF"/>
            <w:vAlign w:val="center"/>
          </w:tcPr>
          <w:p w:rsidR="00360730" w:rsidRDefault="00506F1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云防护</w:t>
            </w:r>
          </w:p>
        </w:tc>
        <w:tc>
          <w:tcPr>
            <w:tcW w:w="2218" w:type="pct"/>
            <w:shd w:val="clear" w:color="B8CCE4" w:fill="FFFFFF"/>
            <w:vAlign w:val="center"/>
          </w:tcPr>
          <w:p w:rsidR="00360730" w:rsidRDefault="00506F13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包括：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Web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应用安全防护、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CC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攻击防护、区域访问控制、网站一键关停、网站永久在线、安全防护报告、安全可视化大屏，同时提供远程人工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7*24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小时运维以及应急响应服务；</w:t>
            </w:r>
          </w:p>
        </w:tc>
        <w:tc>
          <w:tcPr>
            <w:tcW w:w="427" w:type="pct"/>
            <w:shd w:val="clear" w:color="B8CCE4" w:fill="FFFFFF"/>
            <w:vAlign w:val="center"/>
          </w:tcPr>
          <w:p w:rsidR="00360730" w:rsidRDefault="00506F1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41" w:type="pct"/>
            <w:shd w:val="clear" w:color="B8CCE4" w:fill="FFFFFF"/>
            <w:vAlign w:val="center"/>
          </w:tcPr>
          <w:p w:rsidR="00360730" w:rsidRDefault="00506F13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snapToGrid w:val="0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4"/>
              </w:rPr>
              <w:t>安恒</w:t>
            </w:r>
            <w:proofErr w:type="gramEnd"/>
          </w:p>
        </w:tc>
        <w:tc>
          <w:tcPr>
            <w:tcW w:w="817" w:type="pct"/>
            <w:shd w:val="clear" w:color="B8CCE4" w:fill="FFFFFF"/>
            <w:vAlign w:val="center"/>
          </w:tcPr>
          <w:p w:rsidR="00360730" w:rsidRDefault="00360730">
            <w:pPr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360730">
        <w:trPr>
          <w:trHeight w:val="680"/>
          <w:jc w:val="center"/>
        </w:trPr>
        <w:tc>
          <w:tcPr>
            <w:tcW w:w="426" w:type="pct"/>
            <w:shd w:val="clear" w:color="auto" w:fill="FFFFFF"/>
            <w:noWrap/>
            <w:vAlign w:val="center"/>
          </w:tcPr>
          <w:p w:rsidR="00360730" w:rsidRDefault="00360730">
            <w:pPr>
              <w:pStyle w:val="ad"/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771" w:type="pct"/>
            <w:shd w:val="clear" w:color="DCE6F1" w:fill="FFFFFF"/>
            <w:vAlign w:val="center"/>
          </w:tcPr>
          <w:p w:rsidR="00360730" w:rsidRDefault="00506F1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态势感知</w:t>
            </w:r>
          </w:p>
        </w:tc>
        <w:tc>
          <w:tcPr>
            <w:tcW w:w="2218" w:type="pct"/>
            <w:shd w:val="clear" w:color="DCE6F1" w:fill="FFFFFF"/>
            <w:vAlign w:val="center"/>
          </w:tcPr>
          <w:p w:rsidR="00360730" w:rsidRDefault="00506F13">
            <w:pPr>
              <w:pStyle w:val="ad"/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基于实时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</w:rPr>
              <w:t>流数据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sz w:val="24"/>
              </w:rPr>
              <w:t>为用户提供安全分析能力和风险告警及多维度可视化展示。为企业安全提供决策依据、提高企业信息安全的纵深防御能力。包含以下引擎和模块：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1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、智能化威胁检测引擎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2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、多维度攻击溯源引擎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lastRenderedPageBreak/>
              <w:t>3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、场景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</w:rPr>
              <w:t>化威胁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sz w:val="24"/>
              </w:rPr>
              <w:t>感知引擎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4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、集成化联动响应引擎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5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、启发式威胁狩猎引擎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6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、安全运营工作台模块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7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、可视化模型编排引擎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8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、多租户运营管理模块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9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、重大活动保障模块</w:t>
            </w:r>
          </w:p>
          <w:p w:rsidR="00360730" w:rsidRDefault="00506F13">
            <w:pPr>
              <w:widowControl/>
              <w:ind w:firstLineChars="100" w:firstLine="240"/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10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、资产管理模块。</w:t>
            </w:r>
          </w:p>
          <w:p w:rsidR="00360730" w:rsidRDefault="00506F13">
            <w:pPr>
              <w:pStyle w:val="ad"/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提供大数据分析和计算能力，包括基础大数据计算模块和分布式事件处理模块。支持横向平滑扩展，可以通过增加硬件服务器数量的方式增加平台集群的计算处理性能。包含以下引擎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1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、</w:t>
            </w:r>
            <w:proofErr w:type="spellStart"/>
            <w:r>
              <w:rPr>
                <w:rFonts w:ascii="仿宋" w:eastAsia="仿宋" w:hAnsi="仿宋" w:cs="宋体" w:hint="eastAsia"/>
                <w:color w:val="000000"/>
                <w:sz w:val="24"/>
              </w:rPr>
              <w:t>BaaS</w:t>
            </w:r>
            <w:proofErr w:type="spellEnd"/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大数据平台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2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、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CDPS 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分布式复杂事件处理引擎</w:t>
            </w:r>
          </w:p>
          <w:p w:rsidR="00360730" w:rsidRDefault="00506F13">
            <w:pPr>
              <w:pStyle w:val="ad"/>
              <w:widowControl/>
              <w:numPr>
                <w:ilvl w:val="0"/>
                <w:numId w:val="5"/>
              </w:numPr>
              <w:jc w:val="left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、内置威胁情报订阅模块的能力，帮助产品实现实时定位、预警、降噪以及分析威胁趋势；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2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、支持在线和离线更新威胁情报数据；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3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、支持在平台中在线查询情报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(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如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IP/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域名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)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，查询结果包括：威胁类型、情报来源、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WHOIS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、开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放端口、关联情报、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SSL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证书、样本分析等多个维度的溯源结果；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4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、威胁情报云端能力：提供海量的威胁情报数据、持续更新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IP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情报、域名情报、哈希情报、漏洞情报、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APT</w:t>
            </w:r>
            <w:r>
              <w:rPr>
                <w:rFonts w:ascii="仿宋" w:eastAsia="仿宋" w:hAnsi="仿宋" w:cs="宋体" w:hint="eastAsia"/>
                <w:color w:val="000000"/>
                <w:sz w:val="24"/>
              </w:rPr>
              <w:t>情报、事件情报等</w:t>
            </w:r>
          </w:p>
        </w:tc>
        <w:tc>
          <w:tcPr>
            <w:tcW w:w="427" w:type="pct"/>
            <w:shd w:val="clear" w:color="DCE6F1" w:fill="FFFFFF"/>
            <w:vAlign w:val="center"/>
          </w:tcPr>
          <w:p w:rsidR="00360730" w:rsidRDefault="00506F1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  <w:lastRenderedPageBreak/>
              <w:t>3</w:t>
            </w:r>
          </w:p>
        </w:tc>
        <w:tc>
          <w:tcPr>
            <w:tcW w:w="341" w:type="pct"/>
            <w:shd w:val="clear" w:color="DCE6F1" w:fill="FFFFFF"/>
            <w:vAlign w:val="center"/>
          </w:tcPr>
          <w:p w:rsidR="00360730" w:rsidRDefault="00506F1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</w:rPr>
              <w:t>安恒</w:t>
            </w:r>
            <w:proofErr w:type="gramEnd"/>
          </w:p>
        </w:tc>
        <w:tc>
          <w:tcPr>
            <w:tcW w:w="817" w:type="pct"/>
            <w:shd w:val="clear" w:color="DCE6F1" w:fill="FFFFFF"/>
            <w:vAlign w:val="center"/>
          </w:tcPr>
          <w:p w:rsidR="00360730" w:rsidRDefault="00506F13">
            <w:pPr>
              <w:spacing w:line="360" w:lineRule="auto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4"/>
              </w:rPr>
              <w:t>特征库升级，</w:t>
            </w:r>
            <w:r>
              <w:rPr>
                <w:rFonts w:ascii="仿宋" w:eastAsia="仿宋" w:hAnsi="仿宋" w:cs="宋体" w:hint="eastAsia"/>
                <w:snapToGrid w:val="0"/>
                <w:color w:val="000000"/>
                <w:kern w:val="0"/>
                <w:sz w:val="24"/>
              </w:rPr>
              <w:t>系统故障处理</w:t>
            </w:r>
            <w:r>
              <w:rPr>
                <w:rFonts w:ascii="仿宋" w:eastAsia="仿宋" w:hAnsi="仿宋" w:cs="宋体"/>
                <w:snapToGrid w:val="0"/>
                <w:color w:val="000000"/>
                <w:kern w:val="0"/>
                <w:sz w:val="24"/>
              </w:rPr>
              <w:t>维护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服务。</w:t>
            </w:r>
          </w:p>
        </w:tc>
      </w:tr>
      <w:tr w:rsidR="00360730">
        <w:trPr>
          <w:trHeight w:val="946"/>
          <w:jc w:val="center"/>
        </w:trPr>
        <w:tc>
          <w:tcPr>
            <w:tcW w:w="426" w:type="pct"/>
            <w:shd w:val="clear" w:color="auto" w:fill="FFFFFF"/>
            <w:noWrap/>
            <w:vAlign w:val="center"/>
          </w:tcPr>
          <w:p w:rsidR="00360730" w:rsidRDefault="00360730">
            <w:pPr>
              <w:pStyle w:val="ad"/>
              <w:widowControl/>
              <w:numPr>
                <w:ilvl w:val="0"/>
                <w:numId w:val="4"/>
              </w:numPr>
              <w:jc w:val="center"/>
              <w:textAlignment w:val="center"/>
              <w:rPr>
                <w:rFonts w:ascii="仿宋" w:eastAsia="仿宋" w:hAnsi="仿宋" w:cs="宋体"/>
                <w:color w:val="EE0000"/>
                <w:sz w:val="24"/>
              </w:rPr>
            </w:pPr>
          </w:p>
        </w:tc>
        <w:tc>
          <w:tcPr>
            <w:tcW w:w="771" w:type="pct"/>
            <w:shd w:val="clear" w:color="DCE6F1" w:fill="FFFFFF"/>
            <w:vAlign w:val="center"/>
          </w:tcPr>
          <w:p w:rsidR="00360730" w:rsidRDefault="00506F1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EE0000"/>
                <w:sz w:val="24"/>
              </w:rPr>
            </w:pPr>
            <w:r>
              <w:rPr>
                <w:rFonts w:ascii="仿宋" w:eastAsia="仿宋" w:hAnsi="仿宋" w:cs="宋体" w:hint="eastAsia"/>
                <w:color w:val="EE0000"/>
                <w:sz w:val="24"/>
              </w:rPr>
              <w:t>态势感知</w:t>
            </w:r>
          </w:p>
        </w:tc>
        <w:tc>
          <w:tcPr>
            <w:tcW w:w="2218" w:type="pct"/>
            <w:shd w:val="clear" w:color="DCE6F1" w:fill="FFFFFF"/>
            <w:vAlign w:val="center"/>
          </w:tcPr>
          <w:p w:rsidR="00360730" w:rsidRDefault="00506F13">
            <w:pPr>
              <w:widowControl/>
              <w:ind w:firstLineChars="200" w:firstLine="480"/>
              <w:jc w:val="left"/>
              <w:textAlignment w:val="center"/>
              <w:rPr>
                <w:rFonts w:ascii="仿宋" w:eastAsia="仿宋" w:hAnsi="仿宋" w:cs="宋体"/>
                <w:color w:val="EE0000"/>
                <w:sz w:val="24"/>
              </w:rPr>
            </w:pPr>
            <w:r>
              <w:rPr>
                <w:rFonts w:ascii="仿宋" w:eastAsia="仿宋" w:hAnsi="仿宋" w:cs="宋体" w:hint="eastAsia"/>
                <w:snapToGrid w:val="0"/>
                <w:color w:val="EE0000"/>
                <w:kern w:val="0"/>
                <w:sz w:val="24"/>
              </w:rPr>
              <w:t>AI</w:t>
            </w:r>
            <w:r>
              <w:rPr>
                <w:rFonts w:ascii="仿宋" w:eastAsia="仿宋" w:hAnsi="仿宋" w:cs="宋体" w:hint="eastAsia"/>
                <w:snapToGrid w:val="0"/>
                <w:color w:val="EE0000"/>
                <w:kern w:val="0"/>
                <w:sz w:val="24"/>
              </w:rPr>
              <w:t>版本迭代升级服务</w:t>
            </w:r>
          </w:p>
        </w:tc>
        <w:tc>
          <w:tcPr>
            <w:tcW w:w="427" w:type="pct"/>
            <w:shd w:val="clear" w:color="DCE6F1" w:fill="FFFFFF"/>
            <w:vAlign w:val="center"/>
          </w:tcPr>
          <w:p w:rsidR="00360730" w:rsidRDefault="00506F1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EE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/>
                <w:color w:val="EE0000"/>
                <w:kern w:val="0"/>
                <w:sz w:val="24"/>
                <w:lang w:bidi="ar"/>
              </w:rPr>
              <w:t>3</w:t>
            </w:r>
          </w:p>
        </w:tc>
        <w:tc>
          <w:tcPr>
            <w:tcW w:w="341" w:type="pct"/>
            <w:shd w:val="clear" w:color="DCE6F1" w:fill="FFFFFF"/>
            <w:vAlign w:val="center"/>
          </w:tcPr>
          <w:p w:rsidR="00360730" w:rsidRDefault="00506F1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EE000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EE0000"/>
                <w:sz w:val="24"/>
              </w:rPr>
              <w:t>安恒</w:t>
            </w:r>
            <w:proofErr w:type="gramEnd"/>
          </w:p>
        </w:tc>
        <w:tc>
          <w:tcPr>
            <w:tcW w:w="817" w:type="pct"/>
            <w:shd w:val="clear" w:color="DCE6F1" w:fill="FFFFFF"/>
            <w:vAlign w:val="center"/>
          </w:tcPr>
          <w:p w:rsidR="00360730" w:rsidRDefault="00506F13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EE0000"/>
                <w:sz w:val="24"/>
              </w:rPr>
            </w:pPr>
            <w:r>
              <w:rPr>
                <w:rFonts w:ascii="仿宋" w:eastAsia="仿宋" w:hAnsi="仿宋" w:cs="宋体" w:hint="eastAsia"/>
                <w:color w:val="EE0000"/>
                <w:sz w:val="24"/>
              </w:rPr>
              <w:t>支持</w:t>
            </w:r>
            <w:r>
              <w:rPr>
                <w:rFonts w:ascii="仿宋" w:eastAsia="仿宋" w:hAnsi="仿宋" w:cs="宋体" w:hint="eastAsia"/>
                <w:color w:val="EE0000"/>
                <w:sz w:val="24"/>
              </w:rPr>
              <w:t>AI</w:t>
            </w:r>
            <w:r>
              <w:rPr>
                <w:rFonts w:ascii="仿宋" w:eastAsia="仿宋" w:hAnsi="仿宋" w:cs="宋体" w:hint="eastAsia"/>
                <w:color w:val="EE0000"/>
                <w:sz w:val="24"/>
              </w:rPr>
              <w:t>“恒脑”对接及联动</w:t>
            </w:r>
          </w:p>
        </w:tc>
      </w:tr>
    </w:tbl>
    <w:p w:rsidR="00360730" w:rsidRDefault="00506F13">
      <w:pPr>
        <w:pStyle w:val="2"/>
        <w:numPr>
          <w:ilvl w:val="1"/>
          <w:numId w:val="3"/>
        </w:numPr>
        <w:rPr>
          <w:b/>
          <w:bCs/>
        </w:rPr>
      </w:pPr>
      <w:r>
        <w:rPr>
          <w:rFonts w:hint="eastAsia"/>
          <w:b/>
          <w:bCs/>
        </w:rPr>
        <w:t>服务期限</w:t>
      </w:r>
    </w:p>
    <w:p w:rsidR="00360730" w:rsidRDefault="00506F13">
      <w:pPr>
        <w:widowControl/>
        <w:autoSpaceDN w:val="0"/>
        <w:snapToGrid w:val="0"/>
        <w:spacing w:beforeLines="50" w:before="156" w:line="360" w:lineRule="auto"/>
        <w:ind w:left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服务期</w:t>
      </w:r>
      <w:r>
        <w:rPr>
          <w:rFonts w:ascii="仿宋" w:eastAsia="仿宋" w:hAnsi="仿宋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。</w:t>
      </w:r>
    </w:p>
    <w:p w:rsidR="00360730" w:rsidRDefault="00506F13">
      <w:pPr>
        <w:pStyle w:val="2"/>
        <w:numPr>
          <w:ilvl w:val="1"/>
          <w:numId w:val="3"/>
        </w:numPr>
        <w:rPr>
          <w:b/>
          <w:bCs/>
        </w:rPr>
      </w:pPr>
      <w:r>
        <w:rPr>
          <w:rFonts w:hint="eastAsia"/>
          <w:b/>
          <w:bCs/>
        </w:rPr>
        <w:lastRenderedPageBreak/>
        <w:t>服务要求</w:t>
      </w:r>
    </w:p>
    <w:p w:rsidR="00360730" w:rsidRDefault="00506F13">
      <w:pPr>
        <w:widowControl/>
        <w:numPr>
          <w:ilvl w:val="0"/>
          <w:numId w:val="6"/>
        </w:numPr>
        <w:autoSpaceDN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应提供包含但不限于</w:t>
      </w:r>
      <w:proofErr w:type="gramStart"/>
      <w:r>
        <w:rPr>
          <w:rFonts w:ascii="仿宋" w:eastAsia="仿宋" w:hAnsi="仿宋" w:hint="eastAsia"/>
          <w:sz w:val="28"/>
          <w:szCs w:val="28"/>
        </w:rPr>
        <w:t>以下维保</w:t>
      </w:r>
      <w:proofErr w:type="gramEnd"/>
      <w:r>
        <w:rPr>
          <w:rFonts w:ascii="仿宋" w:eastAsia="仿宋" w:hAnsi="仿宋" w:hint="eastAsia"/>
          <w:sz w:val="28"/>
          <w:szCs w:val="28"/>
        </w:rPr>
        <w:t>服务内容：</w:t>
      </w:r>
    </w:p>
    <w:p w:rsidR="00360730" w:rsidRDefault="00506F13">
      <w:pPr>
        <w:pStyle w:val="ad"/>
        <w:widowControl/>
        <w:numPr>
          <w:ilvl w:val="0"/>
          <w:numId w:val="7"/>
        </w:numPr>
        <w:autoSpaceDN w:val="0"/>
        <w:snapToGrid w:val="0"/>
        <w:spacing w:line="360" w:lineRule="auto"/>
        <w:rPr>
          <w:rFonts w:ascii="仿宋" w:eastAsia="仿宋" w:hAnsi="仿宋" w:cs="宋体"/>
          <w:snapToGrid w:val="0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4"/>
        </w:rPr>
        <w:t>▲</w:t>
      </w:r>
      <w:r>
        <w:rPr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软件升级服务：提供维保设备的版本升级、特征库的升级，软件系统的故障处理及原厂</w:t>
      </w:r>
      <w:r>
        <w:rPr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cs="宋体"/>
          <w:snapToGrid w:val="0"/>
          <w:color w:val="000000"/>
          <w:kern w:val="0"/>
          <w:sz w:val="28"/>
          <w:szCs w:val="28"/>
        </w:rPr>
        <w:t>00</w:t>
      </w:r>
      <w:r>
        <w:rPr>
          <w:rFonts w:ascii="仿宋" w:eastAsia="仿宋" w:hAnsi="仿宋" w:cs="宋体" w:hint="eastAsia"/>
          <w:snapToGrid w:val="0"/>
          <w:color w:val="000000"/>
          <w:kern w:val="0"/>
          <w:sz w:val="28"/>
          <w:szCs w:val="28"/>
        </w:rPr>
        <w:t>技术支持。</w:t>
      </w:r>
    </w:p>
    <w:p w:rsidR="00360730" w:rsidRDefault="00506F13">
      <w:pPr>
        <w:widowControl/>
        <w:numPr>
          <w:ilvl w:val="0"/>
          <w:numId w:val="6"/>
        </w:numPr>
        <w:autoSpaceDN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▲服务响应时间：维保设备如出现故障需要维护，由招标人以电话或短信、微信、</w:t>
      </w:r>
      <w:r>
        <w:rPr>
          <w:rFonts w:ascii="仿宋" w:eastAsia="仿宋" w:hAnsi="仿宋" w:hint="eastAsia"/>
          <w:sz w:val="28"/>
          <w:szCs w:val="28"/>
        </w:rPr>
        <w:t>QQ</w:t>
      </w:r>
      <w:r>
        <w:rPr>
          <w:rFonts w:ascii="仿宋" w:eastAsia="仿宋" w:hAnsi="仿宋" w:hint="eastAsia"/>
          <w:sz w:val="28"/>
          <w:szCs w:val="28"/>
        </w:rPr>
        <w:t>等方式通知中标人，中标人应</w:t>
      </w: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×</w:t>
      </w:r>
      <w:r>
        <w:rPr>
          <w:rFonts w:ascii="仿宋" w:eastAsia="仿宋" w:hAnsi="仿宋" w:hint="eastAsia"/>
          <w:sz w:val="28"/>
          <w:szCs w:val="28"/>
        </w:rPr>
        <w:t>24</w:t>
      </w:r>
      <w:r>
        <w:rPr>
          <w:rFonts w:ascii="仿宋" w:eastAsia="仿宋" w:hAnsi="仿宋" w:hint="eastAsia"/>
          <w:sz w:val="28"/>
          <w:szCs w:val="28"/>
        </w:rPr>
        <w:t>小时受理，</w:t>
      </w:r>
      <w:r>
        <w:rPr>
          <w:rFonts w:ascii="仿宋" w:eastAsia="仿宋" w:hAnsi="仿宋" w:hint="eastAsia"/>
          <w:sz w:val="28"/>
          <w:szCs w:val="28"/>
        </w:rPr>
        <w:t>30</w:t>
      </w:r>
      <w:r>
        <w:rPr>
          <w:rFonts w:ascii="仿宋" w:eastAsia="仿宋" w:hAnsi="仿宋" w:hint="eastAsia"/>
          <w:sz w:val="28"/>
          <w:szCs w:val="28"/>
        </w:rPr>
        <w:t>分钟内响应。若不能远程排障，中标人应委派熟手工程师到现场排除故障，并保证所派人员在通知发出后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小时内到达现场。</w:t>
      </w:r>
    </w:p>
    <w:sectPr w:rsidR="003607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F13" w:rsidRDefault="00506F13">
      <w:r>
        <w:separator/>
      </w:r>
    </w:p>
  </w:endnote>
  <w:endnote w:type="continuationSeparator" w:id="0">
    <w:p w:rsidR="00506F13" w:rsidRDefault="00506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730" w:rsidRDefault="0036073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730" w:rsidRDefault="0036073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730" w:rsidRDefault="0036073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F13" w:rsidRDefault="00506F13">
      <w:r>
        <w:separator/>
      </w:r>
    </w:p>
  </w:footnote>
  <w:footnote w:type="continuationSeparator" w:id="0">
    <w:p w:rsidR="00506F13" w:rsidRDefault="00506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730" w:rsidRDefault="0036073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730" w:rsidRDefault="0036073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730" w:rsidRDefault="0036073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F5A6D1D"/>
    <w:multiLevelType w:val="singleLevel"/>
    <w:tmpl w:val="EF5A6D1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A933BAE"/>
    <w:multiLevelType w:val="multilevel"/>
    <w:tmpl w:val="1A933BAE"/>
    <w:lvl w:ilvl="0">
      <w:start w:val="1"/>
      <w:numFmt w:val="bullet"/>
      <w:lvlText w:val=""/>
      <w:lvlJc w:val="left"/>
      <w:pPr>
        <w:ind w:left="86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20CB5696"/>
    <w:multiLevelType w:val="multilevel"/>
    <w:tmpl w:val="20CB5696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B731653"/>
    <w:multiLevelType w:val="multilevel"/>
    <w:tmpl w:val="2B731653"/>
    <w:lvl w:ilvl="0">
      <w:start w:val="1"/>
      <w:numFmt w:val="decimal"/>
      <w:lvlText w:val="%1."/>
      <w:lvlJc w:val="left"/>
      <w:pPr>
        <w:ind w:left="440" w:hanging="440"/>
      </w:pPr>
    </w:lvl>
    <w:lvl w:ilvl="1">
      <w:numFmt w:val="bullet"/>
      <w:lvlText w:val="▲"/>
      <w:lvlJc w:val="left"/>
      <w:pPr>
        <w:ind w:left="800" w:hanging="360"/>
      </w:pPr>
      <w:rPr>
        <w:rFonts w:ascii="仿宋" w:eastAsia="仿宋" w:hAnsi="仿宋" w:cs="宋体" w:hint="eastAsia"/>
      </w:r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335E4D5C"/>
    <w:multiLevelType w:val="multilevel"/>
    <w:tmpl w:val="335E4D5C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4ADB6A67"/>
    <w:multiLevelType w:val="multilevel"/>
    <w:tmpl w:val="4ADB6A67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7FE00CEF"/>
    <w:multiLevelType w:val="multilevel"/>
    <w:tmpl w:val="7FE00CEF"/>
    <w:lvl w:ilvl="0">
      <w:start w:val="1"/>
      <w:numFmt w:val="decimal"/>
      <w:pStyle w:val="2"/>
      <w:lvlText w:val="%1.1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10.2.240.65:8888/seeyon/officeservlet"/>
  </w:docVars>
  <w:rsids>
    <w:rsidRoot w:val="00E86ECD"/>
    <w:rsid w:val="F433B5B9"/>
    <w:rsid w:val="FFAF1E43"/>
    <w:rsid w:val="FFF65D18"/>
    <w:rsid w:val="00012EF8"/>
    <w:rsid w:val="000929F3"/>
    <w:rsid w:val="000D2CF3"/>
    <w:rsid w:val="00115434"/>
    <w:rsid w:val="001645F5"/>
    <w:rsid w:val="00193247"/>
    <w:rsid w:val="001C5D40"/>
    <w:rsid w:val="001D3642"/>
    <w:rsid w:val="001E3A35"/>
    <w:rsid w:val="00213CFD"/>
    <w:rsid w:val="00225EEC"/>
    <w:rsid w:val="00255E94"/>
    <w:rsid w:val="002B65D5"/>
    <w:rsid w:val="002F09A9"/>
    <w:rsid w:val="003225C0"/>
    <w:rsid w:val="003527DA"/>
    <w:rsid w:val="00360730"/>
    <w:rsid w:val="00371843"/>
    <w:rsid w:val="003B2124"/>
    <w:rsid w:val="004334BB"/>
    <w:rsid w:val="0047118A"/>
    <w:rsid w:val="00506F13"/>
    <w:rsid w:val="005454F3"/>
    <w:rsid w:val="005A27EC"/>
    <w:rsid w:val="005C003F"/>
    <w:rsid w:val="005E6519"/>
    <w:rsid w:val="00611E31"/>
    <w:rsid w:val="0063503F"/>
    <w:rsid w:val="006F6B41"/>
    <w:rsid w:val="00706944"/>
    <w:rsid w:val="00754644"/>
    <w:rsid w:val="00755F17"/>
    <w:rsid w:val="0077153F"/>
    <w:rsid w:val="007E7D30"/>
    <w:rsid w:val="00820FF7"/>
    <w:rsid w:val="008E0923"/>
    <w:rsid w:val="00941B35"/>
    <w:rsid w:val="009620A1"/>
    <w:rsid w:val="009A2C75"/>
    <w:rsid w:val="00A061AB"/>
    <w:rsid w:val="00AC0DFD"/>
    <w:rsid w:val="00B068E5"/>
    <w:rsid w:val="00B63C85"/>
    <w:rsid w:val="00C000C1"/>
    <w:rsid w:val="00C27F5A"/>
    <w:rsid w:val="00C4590F"/>
    <w:rsid w:val="00CA12E4"/>
    <w:rsid w:val="00CB48A7"/>
    <w:rsid w:val="00CC12DB"/>
    <w:rsid w:val="00D13A24"/>
    <w:rsid w:val="00D65E4D"/>
    <w:rsid w:val="00D908B3"/>
    <w:rsid w:val="00E86ECD"/>
    <w:rsid w:val="00ED5453"/>
    <w:rsid w:val="00F517C6"/>
    <w:rsid w:val="00F661BF"/>
    <w:rsid w:val="1B667572"/>
    <w:rsid w:val="1C64460E"/>
    <w:rsid w:val="4ECE76B0"/>
    <w:rsid w:val="4FB4D910"/>
    <w:rsid w:val="71920B63"/>
    <w:rsid w:val="746F3FEE"/>
    <w:rsid w:val="7BF6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4EE4624-CCA0-454D-8595-7F1AFB64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240" w:after="240"/>
      <w:outlineLvl w:val="0"/>
    </w:pPr>
    <w:rPr>
      <w:rFonts w:asciiTheme="majorHAnsi" w:eastAsia="宋体" w:hAnsiTheme="majorHAnsi" w:cstheme="majorBidi"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before="240" w:after="240"/>
      <w:outlineLvl w:val="1"/>
    </w:pPr>
    <w:rPr>
      <w:rFonts w:asciiTheme="majorHAnsi" w:eastAsia="仿宋" w:hAnsiTheme="majorHAnsi" w:cstheme="majorBidi"/>
      <w:sz w:val="3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qFormat/>
    <w:rPr>
      <w:rFonts w:asciiTheme="majorHAnsi" w:eastAsia="宋体" w:hAnsiTheme="majorHAnsi" w:cstheme="majorBidi"/>
      <w:color w:val="000000" w:themeColor="text1"/>
      <w:sz w:val="48"/>
      <w:szCs w:val="4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仿宋" w:hAnsiTheme="majorHAnsi" w:cstheme="majorBidi"/>
      <w:sz w:val="3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明显引用 字符"/>
    <w:basedOn w:val="a0"/>
    <w:link w:val="ae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1E3A35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1E3A3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162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LYH</dc:creator>
  <cp:lastModifiedBy>肖翔</cp:lastModifiedBy>
  <cp:revision>2</cp:revision>
  <dcterms:created xsi:type="dcterms:W3CDTF">2025-05-25T05:45:00Z</dcterms:created>
  <dcterms:modified xsi:type="dcterms:W3CDTF">2025-07-01T10:23:00Z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KSOTemplateDocerSaveRecord">
    <vt:lpwstr>eyJoZGlkIjoiN2QyMjg0YTNhZDkxMDgwOTIwODRhOTU0MjcxYTk4OGQifQ==</vt:lpwstr>
  </property>
  <property fmtid="{D5CDD505-2E9C-101B-9397-08002B2CF9AE}" pid="4" name="ICV">
    <vt:lpwstr>B5BAEBC7CE064AF6A273BAF0814B77C0_13</vt:lpwstr>
  </property>
</Properties>
</file>