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ascii="宋体" w:hAnsi="宋体"/>
          <w:b/>
          <w:sz w:val="84"/>
          <w:szCs w:val="84"/>
          <w:highlight w:val="none"/>
        </w:rPr>
      </w:pPr>
      <w:bookmarkStart w:id="0" w:name="_Toc512613206"/>
      <w:bookmarkStart w:id="1" w:name="_Toc502845064"/>
    </w:p>
    <w:p>
      <w:pPr>
        <w:snapToGrid w:val="0"/>
        <w:spacing w:before="156" w:beforeLines="50"/>
        <w:jc w:val="center"/>
        <w:rPr>
          <w:rFonts w:ascii="仿宋_GB2312" w:hAnsi="仿宋_GB2312"/>
          <w:b/>
          <w:bCs/>
          <w:sz w:val="84"/>
          <w:szCs w:val="84"/>
          <w:highlight w:val="none"/>
        </w:rPr>
      </w:pPr>
      <w:bookmarkStart w:id="24" w:name="_GoBack"/>
      <w:bookmarkEnd w:id="24"/>
      <w:r>
        <w:rPr>
          <w:rFonts w:hint="eastAsia" w:ascii="宋体" w:hAnsi="宋体"/>
          <w:b/>
          <w:sz w:val="84"/>
          <w:szCs w:val="84"/>
          <w:highlight w:val="none"/>
        </w:rPr>
        <w:t>竞价文件</w:t>
      </w:r>
    </w:p>
    <w:p>
      <w:pPr>
        <w:spacing w:line="360" w:lineRule="auto"/>
        <w:jc w:val="center"/>
        <w:rPr>
          <w:rFonts w:ascii="宋体" w:hAnsi="宋体"/>
          <w:b/>
          <w:bCs/>
          <w:sz w:val="24"/>
          <w:szCs w:val="24"/>
          <w:highlight w:val="none"/>
        </w:rPr>
      </w:pPr>
    </w:p>
    <w:p>
      <w:pPr>
        <w:spacing w:line="360" w:lineRule="auto"/>
        <w:rPr>
          <w:rFonts w:ascii="华文中宋" w:hAnsi="华文中宋" w:eastAsia="华文中宋"/>
          <w:sz w:val="30"/>
          <w:szCs w:val="30"/>
          <w:highlight w:val="none"/>
        </w:rPr>
      </w:pPr>
    </w:p>
    <w:p>
      <w:pPr>
        <w:spacing w:line="360" w:lineRule="auto"/>
        <w:rPr>
          <w:rFonts w:ascii="华文中宋" w:hAnsi="华文中宋" w:eastAsia="华文中宋"/>
          <w:sz w:val="30"/>
          <w:szCs w:val="30"/>
          <w:highlight w:val="none"/>
        </w:rPr>
      </w:pPr>
    </w:p>
    <w:p>
      <w:pPr>
        <w:spacing w:line="360" w:lineRule="auto"/>
        <w:rPr>
          <w:rFonts w:ascii="华文中宋" w:hAnsi="华文中宋" w:eastAsia="华文中宋"/>
          <w:sz w:val="30"/>
          <w:szCs w:val="30"/>
          <w:highlight w:val="none"/>
        </w:rPr>
      </w:pPr>
    </w:p>
    <w:p>
      <w:pPr>
        <w:spacing w:line="360" w:lineRule="auto"/>
        <w:rPr>
          <w:rFonts w:ascii="仿宋_GB2312" w:hAnsi="仿宋_GB2312"/>
          <w:b/>
          <w:bCs/>
          <w:sz w:val="28"/>
          <w:szCs w:val="32"/>
          <w:highlight w:val="none"/>
        </w:rPr>
      </w:pPr>
      <w:r>
        <w:rPr>
          <w:rFonts w:ascii="仿宋_GB2312" w:hAnsi="仿宋_GB2312"/>
          <w:b/>
          <w:bCs/>
          <w:sz w:val="28"/>
          <w:szCs w:val="32"/>
          <w:highlight w:val="none"/>
        </w:rPr>
        <w:t>采购方式：</w:t>
      </w:r>
      <w:r>
        <w:rPr>
          <w:rFonts w:hint="eastAsia" w:ascii="仿宋_GB2312" w:hAnsi="仿宋_GB2312"/>
          <w:b/>
          <w:bCs/>
          <w:sz w:val="28"/>
          <w:szCs w:val="32"/>
          <w:highlight w:val="none"/>
        </w:rPr>
        <w:t>线上</w:t>
      </w:r>
      <w:r>
        <w:rPr>
          <w:rFonts w:ascii="仿宋_GB2312" w:hAnsi="仿宋_GB2312"/>
          <w:b/>
          <w:bCs/>
          <w:sz w:val="28"/>
          <w:szCs w:val="32"/>
          <w:highlight w:val="none"/>
        </w:rPr>
        <w:t>竞价</w:t>
      </w:r>
    </w:p>
    <w:p>
      <w:pPr>
        <w:spacing w:line="360" w:lineRule="auto"/>
        <w:ind w:left="1521" w:hanging="1521" w:hangingChars="541"/>
        <w:rPr>
          <w:rFonts w:ascii="仿宋_GB2312" w:hAnsi="仿宋_GB2312"/>
          <w:b/>
          <w:bCs/>
          <w:sz w:val="28"/>
          <w:szCs w:val="32"/>
          <w:highlight w:val="none"/>
        </w:rPr>
      </w:pPr>
      <w:r>
        <w:rPr>
          <w:rFonts w:ascii="仿宋_GB2312" w:hAnsi="仿宋_GB2312"/>
          <w:b/>
          <w:bCs/>
          <w:sz w:val="28"/>
          <w:szCs w:val="32"/>
          <w:highlight w:val="none"/>
        </w:rPr>
        <w:t>项目</w:t>
      </w:r>
      <w:r>
        <w:rPr>
          <w:rFonts w:hint="eastAsia" w:ascii="仿宋_GB2312" w:hAnsi="仿宋_GB2312"/>
          <w:b/>
          <w:bCs/>
          <w:sz w:val="28"/>
          <w:szCs w:val="32"/>
          <w:highlight w:val="none"/>
        </w:rPr>
        <w:t>名称</w:t>
      </w:r>
      <w:r>
        <w:rPr>
          <w:rFonts w:ascii="仿宋_GB2312" w:hAnsi="仿宋_GB2312"/>
          <w:b/>
          <w:bCs/>
          <w:sz w:val="28"/>
          <w:szCs w:val="32"/>
          <w:highlight w:val="none"/>
        </w:rPr>
        <w:t>：</w:t>
      </w:r>
      <w:r>
        <w:rPr>
          <w:rFonts w:hint="eastAsia" w:ascii="仿宋_GB2312" w:hAnsi="仿宋_GB2312"/>
          <w:b/>
          <w:bCs/>
          <w:sz w:val="28"/>
          <w:szCs w:val="32"/>
          <w:highlight w:val="none"/>
        </w:rPr>
        <w:t>2024年顺德区预防接种短信购买短信服务</w:t>
      </w:r>
    </w:p>
    <w:p>
      <w:pPr>
        <w:snapToGrid w:val="0"/>
        <w:spacing w:before="156" w:beforeLines="50" w:after="156" w:afterLines="50" w:line="360" w:lineRule="auto"/>
        <w:jc w:val="center"/>
        <w:rPr>
          <w:rFonts w:ascii="黑体" w:hAnsi="华文中宋" w:eastAsia="黑体" w:cs="华文中宋"/>
          <w:sz w:val="30"/>
          <w:szCs w:val="30"/>
          <w:highlight w:val="none"/>
        </w:rPr>
      </w:pPr>
    </w:p>
    <w:p>
      <w:pPr>
        <w:autoSpaceDE w:val="0"/>
        <w:autoSpaceDN w:val="0"/>
        <w:adjustRightInd w:val="0"/>
        <w:snapToGrid w:val="0"/>
        <w:spacing w:before="156" w:beforeLines="50" w:after="156" w:afterLines="50" w:line="360" w:lineRule="auto"/>
        <w:jc w:val="center"/>
        <w:rPr>
          <w:rFonts w:ascii="黑体" w:hAnsi="华文中宋" w:eastAsia="黑体" w:cs="华文中宋"/>
          <w:kern w:val="0"/>
          <w:sz w:val="30"/>
          <w:szCs w:val="30"/>
          <w:highlight w:val="none"/>
        </w:rPr>
      </w:pPr>
    </w:p>
    <w:p>
      <w:pPr>
        <w:autoSpaceDE w:val="0"/>
        <w:autoSpaceDN w:val="0"/>
        <w:adjustRightInd w:val="0"/>
        <w:snapToGrid w:val="0"/>
        <w:spacing w:before="156" w:beforeLines="50" w:after="156" w:afterLines="50" w:line="360" w:lineRule="auto"/>
        <w:jc w:val="center"/>
        <w:rPr>
          <w:rFonts w:ascii="黑体" w:hAnsi="华文中宋" w:eastAsia="黑体" w:cs="华文中宋"/>
          <w:kern w:val="0"/>
          <w:sz w:val="30"/>
          <w:szCs w:val="30"/>
          <w:highlight w:val="none"/>
        </w:rPr>
      </w:pPr>
    </w:p>
    <w:p>
      <w:pPr>
        <w:autoSpaceDE w:val="0"/>
        <w:autoSpaceDN w:val="0"/>
        <w:adjustRightInd w:val="0"/>
        <w:snapToGrid w:val="0"/>
        <w:spacing w:before="156" w:beforeLines="50" w:after="156" w:afterLines="50" w:line="360" w:lineRule="auto"/>
        <w:jc w:val="left"/>
        <w:rPr>
          <w:rFonts w:ascii="黑体" w:hAnsi="华文中宋" w:eastAsia="黑体" w:cs="华文中宋"/>
          <w:kern w:val="0"/>
          <w:sz w:val="30"/>
          <w:szCs w:val="30"/>
          <w:highlight w:val="none"/>
        </w:rPr>
      </w:pPr>
    </w:p>
    <w:p>
      <w:pPr>
        <w:autoSpaceDE w:val="0"/>
        <w:autoSpaceDN w:val="0"/>
        <w:adjustRightInd w:val="0"/>
        <w:snapToGrid w:val="0"/>
        <w:spacing w:line="360" w:lineRule="auto"/>
        <w:ind w:left="420" w:firstLine="420"/>
        <w:jc w:val="center"/>
        <w:rPr>
          <w:rFonts w:ascii="宋体" w:hAnsi="宋体"/>
          <w:b/>
          <w:bCs/>
          <w:sz w:val="28"/>
          <w:szCs w:val="32"/>
          <w:highlight w:val="none"/>
        </w:rPr>
      </w:pPr>
      <w:bookmarkStart w:id="2" w:name="_Hlk60937122"/>
      <w:r>
        <w:rPr>
          <w:rFonts w:hint="eastAsia" w:ascii="宋体" w:hAnsi="宋体"/>
          <w:b/>
          <w:bCs/>
          <w:sz w:val="28"/>
          <w:szCs w:val="32"/>
          <w:highlight w:val="none"/>
        </w:rPr>
        <w:t>佛山市顺德区疾病预防控制中心</w:t>
      </w:r>
    </w:p>
    <w:bookmarkEnd w:id="2"/>
    <w:p>
      <w:pPr>
        <w:autoSpaceDE w:val="0"/>
        <w:autoSpaceDN w:val="0"/>
        <w:adjustRightInd w:val="0"/>
        <w:snapToGrid w:val="0"/>
        <w:spacing w:line="360" w:lineRule="auto"/>
        <w:ind w:left="420" w:firstLine="420"/>
        <w:jc w:val="center"/>
        <w:rPr>
          <w:rFonts w:ascii="仿宋_GB2312" w:hAnsi="仿宋_GB2312"/>
          <w:b/>
          <w:bCs/>
          <w:sz w:val="28"/>
          <w:szCs w:val="32"/>
          <w:highlight w:val="none"/>
        </w:rPr>
      </w:pPr>
      <w:r>
        <w:rPr>
          <w:rFonts w:hint="eastAsia" w:ascii="仿宋_GB2312" w:hAnsi="仿宋_GB2312"/>
          <w:b/>
          <w:bCs/>
          <w:sz w:val="28"/>
          <w:szCs w:val="32"/>
          <w:highlight w:val="none"/>
        </w:rPr>
        <w:t>云采链（广州）信息科技有限公司</w:t>
      </w:r>
    </w:p>
    <w:p>
      <w:pPr>
        <w:autoSpaceDE w:val="0"/>
        <w:autoSpaceDN w:val="0"/>
        <w:adjustRightInd w:val="0"/>
        <w:snapToGrid w:val="0"/>
        <w:spacing w:line="360" w:lineRule="auto"/>
        <w:ind w:left="420" w:firstLine="420"/>
        <w:jc w:val="center"/>
        <w:rPr>
          <w:rFonts w:ascii="仿宋_GB2312" w:hAnsi="仿宋_GB2312"/>
          <w:b/>
          <w:sz w:val="28"/>
          <w:highlight w:val="none"/>
        </w:rPr>
      </w:pPr>
      <w:r>
        <w:rPr>
          <w:rFonts w:hint="eastAsia" w:ascii="仿宋_GB2312" w:hAnsi="仿宋_GB2312"/>
          <w:b/>
          <w:sz w:val="28"/>
          <w:highlight w:val="none"/>
        </w:rPr>
        <w:t>二零二四年六月</w:t>
      </w:r>
    </w:p>
    <w:p>
      <w:pPr>
        <w:autoSpaceDE w:val="0"/>
        <w:autoSpaceDN w:val="0"/>
        <w:adjustRightInd w:val="0"/>
        <w:snapToGrid w:val="0"/>
        <w:spacing w:line="360" w:lineRule="auto"/>
        <w:ind w:left="420" w:firstLine="420"/>
        <w:jc w:val="center"/>
        <w:rPr>
          <w:rFonts w:ascii="仿宋_GB2312" w:hAnsi="仿宋_GB2312"/>
          <w:sz w:val="28"/>
          <w:highlight w:val="none"/>
        </w:rPr>
      </w:pPr>
    </w:p>
    <w:p>
      <w:pPr>
        <w:widowControl/>
        <w:jc w:val="left"/>
        <w:rPr>
          <w:rFonts w:ascii="Cambria" w:hAnsi="Cambria" w:cs="宋体"/>
          <w:b/>
          <w:bCs/>
          <w:kern w:val="0"/>
          <w:sz w:val="32"/>
          <w:szCs w:val="32"/>
          <w:highlight w:val="none"/>
        </w:rPr>
      </w:pPr>
      <w:r>
        <w:rPr>
          <w:rFonts w:cs="宋体"/>
          <w:highlight w:val="none"/>
        </w:rPr>
        <w:br w:type="page"/>
      </w:r>
    </w:p>
    <w:p>
      <w:pPr>
        <w:jc w:val="center"/>
        <w:outlineLvl w:val="0"/>
        <w:rPr>
          <w:rFonts w:ascii="Cambria" w:hAnsi="Cambria"/>
          <w:b/>
          <w:bCs/>
          <w:kern w:val="0"/>
          <w:sz w:val="32"/>
          <w:szCs w:val="32"/>
          <w:highlight w:val="none"/>
        </w:rPr>
      </w:pPr>
      <w:r>
        <w:rPr>
          <w:rFonts w:hint="eastAsia" w:ascii="Cambria" w:hAnsi="Cambria" w:cs="宋体"/>
          <w:b/>
          <w:bCs/>
          <w:kern w:val="0"/>
          <w:sz w:val="32"/>
          <w:szCs w:val="32"/>
          <w:highlight w:val="none"/>
        </w:rPr>
        <w:t>第一章竞价须知</w:t>
      </w:r>
    </w:p>
    <w:p>
      <w:pPr>
        <w:pStyle w:val="36"/>
        <w:numPr>
          <w:ilvl w:val="0"/>
          <w:numId w:val="3"/>
        </w:numPr>
        <w:adjustRightInd w:val="0"/>
        <w:spacing w:line="360" w:lineRule="auto"/>
        <w:ind w:left="0" w:firstLine="420"/>
        <w:rPr>
          <w:rFonts w:ascii="宋体" w:hAnsi="宋体" w:cs="宋体"/>
          <w:highlight w:val="none"/>
        </w:rPr>
      </w:pPr>
      <w:r>
        <w:rPr>
          <w:rFonts w:hint="eastAsia" w:ascii="宋体" w:hAnsi="宋体" w:cs="宋体"/>
          <w:highlight w:val="none"/>
        </w:rPr>
        <w:t>本项目采用邀请供应商竞价的方式进行竞价采购，不接受邀请名单之外的供应商参与竞价。</w:t>
      </w:r>
    </w:p>
    <w:p>
      <w:pPr>
        <w:pStyle w:val="36"/>
        <w:numPr>
          <w:ilvl w:val="0"/>
          <w:numId w:val="3"/>
        </w:numPr>
        <w:adjustRightInd w:val="0"/>
        <w:spacing w:line="360" w:lineRule="auto"/>
        <w:ind w:left="0" w:firstLine="420"/>
        <w:rPr>
          <w:rFonts w:ascii="宋体" w:hAnsi="宋体" w:cs="宋体"/>
          <w:highlight w:val="none"/>
        </w:rPr>
      </w:pPr>
      <w:r>
        <w:rPr>
          <w:rFonts w:hint="eastAsia" w:ascii="宋体" w:hAnsi="宋体" w:cs="宋体"/>
          <w:highlight w:val="none"/>
        </w:rPr>
        <w:t>本项目通过云采链线上采购一体化平台进行竞价，参与竞价的供应商必须登录平台进行注册，注册成功后方可参与项目竞价。</w:t>
      </w:r>
    </w:p>
    <w:p>
      <w:pPr>
        <w:pStyle w:val="36"/>
        <w:numPr>
          <w:ilvl w:val="0"/>
          <w:numId w:val="3"/>
        </w:numPr>
        <w:adjustRightInd w:val="0"/>
        <w:spacing w:line="360" w:lineRule="auto"/>
        <w:ind w:left="0" w:firstLine="420"/>
        <w:rPr>
          <w:rFonts w:ascii="宋体" w:hAnsi="宋体" w:cs="宋体"/>
          <w:highlight w:val="none"/>
        </w:rPr>
      </w:pPr>
      <w:r>
        <w:rPr>
          <w:rFonts w:hint="eastAsia" w:ascii="宋体" w:hAnsi="宋体" w:cs="宋体"/>
          <w:highlight w:val="none"/>
        </w:rPr>
        <w:t>语言要求</w:t>
      </w:r>
    </w:p>
    <w:p>
      <w:pPr>
        <w:pStyle w:val="36"/>
        <w:adjustRightInd w:val="0"/>
        <w:spacing w:line="360" w:lineRule="auto"/>
        <w:rPr>
          <w:rFonts w:ascii="宋体" w:hAnsi="宋体" w:cs="宋体"/>
          <w:highlight w:val="none"/>
        </w:rPr>
      </w:pPr>
      <w:r>
        <w:rPr>
          <w:rFonts w:hint="eastAsia" w:ascii="宋体" w:hAnsi="宋体" w:cs="宋体"/>
          <w:highlight w:val="none"/>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pPr>
        <w:pStyle w:val="36"/>
        <w:numPr>
          <w:ilvl w:val="0"/>
          <w:numId w:val="3"/>
        </w:numPr>
        <w:adjustRightInd w:val="0"/>
        <w:spacing w:line="360" w:lineRule="auto"/>
        <w:ind w:left="0" w:firstLine="420"/>
        <w:rPr>
          <w:rFonts w:ascii="宋体" w:hAnsi="宋体" w:cs="宋体"/>
          <w:highlight w:val="none"/>
        </w:rPr>
      </w:pPr>
      <w:r>
        <w:rPr>
          <w:rFonts w:hint="eastAsia" w:ascii="宋体" w:hAnsi="宋体" w:cs="宋体"/>
          <w:highlight w:val="none"/>
        </w:rPr>
        <w:t>在云采链平台参与项目竞价后放弃成交资格超过三次（含三次）的供应商连同该供应商同一法人名下所有公司将被列入平台黑名单，永久不得参与平台的项目竞价。</w:t>
      </w:r>
    </w:p>
    <w:p>
      <w:pPr>
        <w:pStyle w:val="36"/>
        <w:numPr>
          <w:ilvl w:val="0"/>
          <w:numId w:val="3"/>
        </w:numPr>
        <w:adjustRightInd w:val="0"/>
        <w:spacing w:line="360" w:lineRule="auto"/>
        <w:ind w:left="0" w:firstLine="420"/>
        <w:rPr>
          <w:rFonts w:ascii="宋体" w:hAnsi="宋体" w:cs="宋体"/>
          <w:highlight w:val="none"/>
        </w:rPr>
      </w:pPr>
      <w:r>
        <w:rPr>
          <w:rFonts w:hint="eastAsia" w:ascii="宋体" w:hAnsi="宋体" w:cs="宋体"/>
          <w:highlight w:val="none"/>
        </w:rPr>
        <w:t>竞价须知</w:t>
      </w:r>
    </w:p>
    <w:p>
      <w:pPr>
        <w:widowControl/>
        <w:adjustRightInd w:val="0"/>
        <w:spacing w:line="360" w:lineRule="auto"/>
        <w:ind w:firstLine="422" w:firstLineChars="200"/>
        <w:jc w:val="left"/>
        <w:rPr>
          <w:rFonts w:ascii="宋体" w:hAnsi="宋体"/>
          <w:b/>
          <w:bCs/>
          <w:highlight w:val="none"/>
        </w:rPr>
      </w:pPr>
      <w:r>
        <w:rPr>
          <w:rFonts w:hint="eastAsia" w:ascii="宋体" w:hAnsi="宋体" w:cs="宋体"/>
          <w:b/>
          <w:bCs/>
          <w:highlight w:val="none"/>
        </w:rPr>
        <w:t>（一）竞价说明</w:t>
      </w:r>
    </w:p>
    <w:p>
      <w:pPr>
        <w:widowControl/>
        <w:spacing w:line="360" w:lineRule="auto"/>
        <w:ind w:firstLine="420" w:firstLineChars="200"/>
        <w:jc w:val="left"/>
        <w:rPr>
          <w:rFonts w:ascii="宋体" w:hAnsi="宋体"/>
          <w:highlight w:val="none"/>
        </w:rPr>
      </w:pPr>
      <w:r>
        <w:rPr>
          <w:rFonts w:hint="eastAsia" w:ascii="宋体" w:hAnsi="宋体" w:cs="宋体"/>
          <w:highlight w:val="none"/>
        </w:rPr>
        <w:t>1、参与竞价的供应商应承担所有与准备和参加竞价有关的费用，不</w:t>
      </w:r>
      <w:r>
        <w:rPr>
          <w:rFonts w:hint="eastAsia" w:ascii="宋体" w:hAnsi="宋体" w:cs="宋体"/>
          <w:highlight w:val="none"/>
          <w:lang w:eastAsia="zh-TW"/>
        </w:rPr>
        <w:t>论</w:t>
      </w:r>
      <w:r>
        <w:rPr>
          <w:rFonts w:hint="eastAsia" w:ascii="宋体" w:hAnsi="宋体" w:cs="宋体"/>
          <w:highlight w:val="none"/>
        </w:rPr>
        <w:t>竞价</w:t>
      </w:r>
      <w:r>
        <w:rPr>
          <w:rFonts w:hint="eastAsia" w:ascii="宋体" w:hAnsi="宋体" w:cs="宋体"/>
          <w:highlight w:val="none"/>
          <w:lang w:eastAsia="zh-TW"/>
        </w:rPr>
        <w:t>的结果如何</w:t>
      </w:r>
      <w:r>
        <w:rPr>
          <w:rFonts w:hint="eastAsia" w:ascii="宋体" w:hAnsi="宋体" w:cs="宋体"/>
          <w:highlight w:val="none"/>
        </w:rPr>
        <w:t>，采购</w:t>
      </w:r>
      <w:r>
        <w:rPr>
          <w:rFonts w:hint="eastAsia" w:ascii="宋体" w:hAnsi="宋体" w:cs="宋体"/>
          <w:highlight w:val="none"/>
          <w:lang w:eastAsia="zh-TW"/>
        </w:rPr>
        <w:t>人</w:t>
      </w:r>
      <w:r>
        <w:rPr>
          <w:rFonts w:hint="eastAsia" w:ascii="宋体" w:hAnsi="宋体" w:cs="宋体"/>
          <w:highlight w:val="none"/>
        </w:rPr>
        <w:t>和</w:t>
      </w:r>
      <w:r>
        <w:rPr>
          <w:rFonts w:hint="eastAsia" w:ascii="宋体" w:hAnsi="宋体" w:cs="宋体"/>
          <w:highlight w:val="none"/>
          <w:lang w:eastAsia="zh-TW"/>
        </w:rPr>
        <w:t>代理机构均无义务和责任承担这些费用</w:t>
      </w:r>
      <w:r>
        <w:rPr>
          <w:rFonts w:hint="eastAsia" w:ascii="宋体" w:hAnsi="宋体" w:cs="宋体"/>
          <w:highlight w:val="none"/>
        </w:rPr>
        <w:t>；</w:t>
      </w:r>
    </w:p>
    <w:p>
      <w:pPr>
        <w:widowControl/>
        <w:spacing w:line="360" w:lineRule="auto"/>
        <w:ind w:firstLine="420" w:firstLineChars="200"/>
        <w:jc w:val="left"/>
        <w:rPr>
          <w:rFonts w:ascii="宋体" w:hAnsi="宋体"/>
          <w:highlight w:val="none"/>
        </w:rPr>
      </w:pPr>
      <w:r>
        <w:rPr>
          <w:rFonts w:hint="eastAsia" w:ascii="宋体" w:hAnsi="宋体" w:cs="宋体"/>
          <w:highlight w:val="none"/>
        </w:rPr>
        <w:t>2、参与竞价的供应商必须按竞价附件的格式填写，不得增加或删除表格内容。除单价、金额或项目要求填写的内容外，不得擅自改动竞价附件内容，否则将有可能影响成交结果，不推荐为成交候选人；</w:t>
      </w:r>
    </w:p>
    <w:p>
      <w:pPr>
        <w:widowControl/>
        <w:spacing w:line="360" w:lineRule="auto"/>
        <w:ind w:firstLine="420" w:firstLineChars="200"/>
        <w:jc w:val="left"/>
        <w:rPr>
          <w:rFonts w:ascii="宋体" w:hAnsi="宋体"/>
          <w:highlight w:val="none"/>
        </w:rPr>
      </w:pPr>
      <w:r>
        <w:rPr>
          <w:rFonts w:hint="eastAsia" w:ascii="宋体" w:hAnsi="宋体" w:cs="宋体"/>
          <w:highlight w:val="none"/>
        </w:rPr>
        <w:t>3、参与竞价的</w:t>
      </w:r>
      <w:r>
        <w:rPr>
          <w:rFonts w:hint="eastAsia" w:ascii="宋体" w:hAnsi="宋体" w:cs="宋体"/>
          <w:highlight w:val="none"/>
          <w:lang w:val="zh-CN"/>
        </w:rPr>
        <w:t>供应商需对用户需求书的所有条款进行整体响应，用户需求书条款若有一条负偏离或不响应，</w:t>
      </w:r>
      <w:r>
        <w:rPr>
          <w:rFonts w:hint="eastAsia" w:ascii="宋体" w:hAnsi="宋体" w:cs="宋体"/>
          <w:highlight w:val="none"/>
        </w:rPr>
        <w:t>不推荐为成交候选人</w:t>
      </w:r>
      <w:r>
        <w:rPr>
          <w:rFonts w:hint="eastAsia" w:ascii="宋体" w:hAnsi="宋体" w:cs="宋体"/>
          <w:highlight w:val="none"/>
          <w:lang w:val="zh-CN"/>
        </w:rPr>
        <w:t>；</w:t>
      </w:r>
    </w:p>
    <w:p>
      <w:pPr>
        <w:widowControl/>
        <w:spacing w:line="360" w:lineRule="auto"/>
        <w:ind w:left="420" w:leftChars="200"/>
        <w:jc w:val="left"/>
        <w:rPr>
          <w:rFonts w:ascii="宋体" w:hAnsi="宋体"/>
          <w:highlight w:val="none"/>
        </w:rPr>
      </w:pPr>
      <w:r>
        <w:rPr>
          <w:rFonts w:hint="eastAsia" w:ascii="宋体" w:hAnsi="宋体" w:cs="宋体"/>
          <w:highlight w:val="none"/>
        </w:rPr>
        <w:t>4、若成交供应商自身原因无法完成本项目，则采购人有权利保留追究责任；</w:t>
      </w:r>
    </w:p>
    <w:p>
      <w:pPr>
        <w:widowControl/>
        <w:spacing w:line="360" w:lineRule="auto"/>
        <w:ind w:firstLine="420" w:firstLineChars="200"/>
        <w:jc w:val="left"/>
        <w:rPr>
          <w:rFonts w:ascii="宋体" w:hAnsi="宋体"/>
          <w:highlight w:val="none"/>
        </w:rPr>
      </w:pPr>
      <w:r>
        <w:rPr>
          <w:rFonts w:hint="eastAsia" w:ascii="宋体" w:hAnsi="宋体" w:cs="宋体"/>
          <w:highlight w:val="none"/>
        </w:rPr>
        <w:t>5、成交供应商因自身原因被取消成交资格，采购人可重新启动采购或按竞价公告规定顺延推选符合要求的供应商作为成交供应商；</w:t>
      </w:r>
    </w:p>
    <w:p>
      <w:pPr>
        <w:widowControl/>
        <w:spacing w:line="360" w:lineRule="auto"/>
        <w:ind w:firstLine="420" w:firstLineChars="200"/>
        <w:jc w:val="left"/>
        <w:rPr>
          <w:rFonts w:ascii="宋体" w:hAnsi="宋体"/>
          <w:highlight w:val="none"/>
        </w:rPr>
      </w:pPr>
      <w:r>
        <w:rPr>
          <w:rFonts w:hint="eastAsia" w:ascii="宋体" w:hAnsi="宋体" w:cs="宋体"/>
          <w:highlight w:val="none"/>
        </w:rPr>
        <w:t>6、若本项目竞价采购失败，采购人将重新采购，届时采购人有权根据项目具体情况，决定重新采购项目的采购方式；</w:t>
      </w:r>
    </w:p>
    <w:p>
      <w:pPr>
        <w:widowControl/>
        <w:spacing w:line="360" w:lineRule="auto"/>
        <w:ind w:firstLine="420" w:firstLineChars="200"/>
        <w:jc w:val="left"/>
        <w:rPr>
          <w:rFonts w:ascii="宋体" w:hAnsi="宋体"/>
          <w:highlight w:val="none"/>
        </w:rPr>
      </w:pPr>
      <w:r>
        <w:rPr>
          <w:rFonts w:hint="eastAsia" w:ascii="宋体" w:hAnsi="宋体" w:cs="宋体"/>
          <w:highlight w:val="none"/>
        </w:rPr>
        <w:t>7、成交供应商若无正当理由恶意放弃成交资格，采购人有权将拒绝其参加本项目重新组织的竞价采购活动；</w:t>
      </w:r>
    </w:p>
    <w:p>
      <w:pPr>
        <w:widowControl/>
        <w:spacing w:line="360" w:lineRule="auto"/>
        <w:ind w:firstLine="420" w:firstLineChars="200"/>
        <w:jc w:val="left"/>
        <w:rPr>
          <w:rFonts w:ascii="宋体" w:hAnsi="宋体"/>
          <w:highlight w:val="none"/>
        </w:rPr>
      </w:pPr>
      <w:r>
        <w:rPr>
          <w:rFonts w:hint="eastAsia" w:ascii="宋体" w:hAnsi="宋体"/>
          <w:highlight w:val="none"/>
        </w:rPr>
        <w:t>8、如采购人或代理机构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pPr>
        <w:widowControl/>
        <w:spacing w:line="360" w:lineRule="auto"/>
        <w:ind w:firstLine="420" w:firstLineChars="200"/>
        <w:jc w:val="left"/>
        <w:rPr>
          <w:rFonts w:ascii="宋体" w:hAnsi="宋体"/>
          <w:highlight w:val="none"/>
        </w:rPr>
      </w:pPr>
      <w:r>
        <w:rPr>
          <w:rFonts w:hint="eastAsia" w:ascii="宋体" w:hAnsi="宋体" w:cs="宋体"/>
          <w:highlight w:val="none"/>
        </w:rPr>
        <w:t>9、参与竞价的</w:t>
      </w:r>
      <w:r>
        <w:rPr>
          <w:rFonts w:hint="eastAsia" w:ascii="宋体" w:hAnsi="宋体" w:cs="宋体"/>
          <w:highlight w:val="none"/>
          <w:lang w:eastAsia="zh-TW"/>
        </w:rPr>
        <w:t>供应商向我司咨询的有关项目事项，一切以</w:t>
      </w:r>
      <w:r>
        <w:rPr>
          <w:rFonts w:hint="eastAsia" w:ascii="宋体" w:hAnsi="宋体" w:cs="宋体"/>
          <w:highlight w:val="none"/>
        </w:rPr>
        <w:t>竞价文件</w:t>
      </w:r>
      <w:r>
        <w:rPr>
          <w:rFonts w:hint="eastAsia" w:ascii="宋体" w:hAnsi="宋体" w:cs="宋体"/>
          <w:highlight w:val="none"/>
          <w:lang w:eastAsia="zh-TW"/>
        </w:rPr>
        <w:t>规定</w:t>
      </w:r>
      <w:r>
        <w:rPr>
          <w:rFonts w:hint="eastAsia" w:ascii="宋体" w:hAnsi="宋体" w:cs="宋体"/>
          <w:highlight w:val="none"/>
        </w:rPr>
        <w:t>和竞价公告规定以及</w:t>
      </w:r>
      <w:r>
        <w:rPr>
          <w:rFonts w:hint="eastAsia" w:ascii="宋体" w:hAnsi="宋体" w:cs="宋体"/>
          <w:highlight w:val="none"/>
          <w:lang w:eastAsia="zh-TW"/>
        </w:rPr>
        <w:t>本公司</w:t>
      </w:r>
      <w:r>
        <w:rPr>
          <w:rFonts w:hint="eastAsia" w:ascii="宋体" w:hAnsi="宋体" w:cs="宋体"/>
          <w:highlight w:val="none"/>
        </w:rPr>
        <w:t>的</w:t>
      </w:r>
      <w:r>
        <w:rPr>
          <w:rFonts w:hint="eastAsia" w:ascii="宋体" w:hAnsi="宋体" w:cs="宋体"/>
          <w:highlight w:val="none"/>
          <w:lang w:eastAsia="zh-TW"/>
        </w:rPr>
        <w:t>书面答复为准，其他一切形式均为个人意见，不代表本公司的意见</w:t>
      </w:r>
      <w:r>
        <w:rPr>
          <w:rFonts w:hint="eastAsia" w:ascii="宋体" w:hAnsi="宋体" w:cs="宋体"/>
          <w:highlight w:val="none"/>
        </w:rPr>
        <w:t>；</w:t>
      </w:r>
    </w:p>
    <w:p>
      <w:pPr>
        <w:widowControl/>
        <w:spacing w:line="360" w:lineRule="auto"/>
        <w:ind w:firstLine="420" w:firstLineChars="200"/>
        <w:jc w:val="left"/>
        <w:rPr>
          <w:rFonts w:ascii="宋体" w:hAnsi="宋体"/>
          <w:highlight w:val="none"/>
        </w:rPr>
      </w:pPr>
      <w:r>
        <w:rPr>
          <w:rFonts w:hint="eastAsia" w:ascii="宋体" w:hAnsi="宋体" w:cs="宋体"/>
          <w:highlight w:val="none"/>
        </w:rPr>
        <w:t>10、参与竞价的供应商应认真阅读</w:t>
      </w:r>
      <w:r>
        <w:rPr>
          <w:rFonts w:hint="eastAsia" w:ascii="宋体" w:hAnsi="宋体" w:cs="宋体"/>
          <w:highlight w:val="none"/>
          <w:lang w:eastAsia="zh-TW"/>
        </w:rPr>
        <w:t>、并充分理解</w:t>
      </w:r>
      <w:r>
        <w:rPr>
          <w:rFonts w:hint="eastAsia" w:ascii="宋体" w:hAnsi="宋体" w:cs="宋体"/>
          <w:highlight w:val="none"/>
        </w:rPr>
        <w:t>竞价</w:t>
      </w:r>
      <w:r>
        <w:rPr>
          <w:rFonts w:hint="eastAsia" w:ascii="宋体" w:hAnsi="宋体" w:cs="宋体"/>
          <w:highlight w:val="none"/>
          <w:lang w:eastAsia="zh-TW"/>
        </w:rPr>
        <w:t>文件的全部内容（包括所有的补充、修改内容重要事项、格式、条款</w:t>
      </w:r>
      <w:r>
        <w:rPr>
          <w:rFonts w:hint="eastAsia" w:ascii="宋体" w:hAnsi="宋体" w:cs="宋体"/>
          <w:highlight w:val="none"/>
        </w:rPr>
        <w:t>、服务要求</w:t>
      </w:r>
      <w:r>
        <w:rPr>
          <w:rFonts w:hint="eastAsia" w:ascii="宋体" w:hAnsi="宋体" w:cs="宋体"/>
          <w:highlight w:val="none"/>
          <w:lang w:eastAsia="zh-TW"/>
        </w:rPr>
        <w:t>和技术规范、参数及要求等）。</w:t>
      </w:r>
      <w:r>
        <w:rPr>
          <w:rFonts w:hint="eastAsia" w:ascii="宋体" w:hAnsi="宋体" w:cs="宋体"/>
          <w:highlight w:val="none"/>
        </w:rPr>
        <w:t>供应商</w:t>
      </w:r>
      <w:r>
        <w:rPr>
          <w:rFonts w:hint="eastAsia" w:ascii="宋体" w:hAnsi="宋体" w:cs="宋体"/>
          <w:highlight w:val="none"/>
          <w:lang w:eastAsia="zh-TW"/>
        </w:rPr>
        <w:t>没有按照</w:t>
      </w:r>
      <w:r>
        <w:rPr>
          <w:rFonts w:hint="eastAsia" w:ascii="宋体" w:hAnsi="宋体" w:cs="宋体"/>
          <w:highlight w:val="none"/>
        </w:rPr>
        <w:t>竞价</w:t>
      </w:r>
      <w:r>
        <w:rPr>
          <w:rFonts w:hint="eastAsia" w:ascii="宋体" w:hAnsi="宋体" w:cs="宋体"/>
          <w:highlight w:val="none"/>
          <w:lang w:eastAsia="zh-TW"/>
        </w:rPr>
        <w:t>文件要求提交全部资料，或者</w:t>
      </w:r>
      <w:r>
        <w:rPr>
          <w:rFonts w:hint="eastAsia" w:ascii="宋体" w:hAnsi="宋体" w:cs="宋体"/>
          <w:highlight w:val="none"/>
        </w:rPr>
        <w:t>参与竞价所上传的</w:t>
      </w:r>
      <w:r>
        <w:rPr>
          <w:rFonts w:hint="eastAsia" w:ascii="宋体" w:hAnsi="宋体" w:cs="宋体"/>
          <w:highlight w:val="none"/>
          <w:lang w:eastAsia="zh-TW"/>
        </w:rPr>
        <w:t>文件没有对</w:t>
      </w:r>
      <w:r>
        <w:rPr>
          <w:rFonts w:hint="eastAsia" w:ascii="宋体" w:hAnsi="宋体" w:cs="宋体"/>
          <w:highlight w:val="none"/>
        </w:rPr>
        <w:t>竞价</w:t>
      </w:r>
      <w:r>
        <w:rPr>
          <w:rFonts w:hint="eastAsia" w:ascii="宋体" w:hAnsi="宋体" w:cs="宋体"/>
          <w:highlight w:val="none"/>
          <w:lang w:eastAsia="zh-TW"/>
        </w:rPr>
        <w:t>文件在各方面都作出实质性响应是</w:t>
      </w:r>
      <w:r>
        <w:rPr>
          <w:rFonts w:hint="eastAsia" w:ascii="宋体" w:hAnsi="宋体" w:cs="宋体"/>
          <w:highlight w:val="none"/>
        </w:rPr>
        <w:t>供应商</w:t>
      </w:r>
      <w:r>
        <w:rPr>
          <w:rFonts w:hint="eastAsia" w:ascii="宋体" w:hAnsi="宋体" w:cs="宋体"/>
          <w:highlight w:val="none"/>
          <w:lang w:eastAsia="zh-TW"/>
        </w:rPr>
        <w:t>的风险，有可能导致其</w:t>
      </w:r>
      <w:r>
        <w:rPr>
          <w:rFonts w:hint="eastAsia" w:ascii="宋体" w:hAnsi="宋体" w:cs="宋体"/>
          <w:highlight w:val="none"/>
        </w:rPr>
        <w:t>竞价</w:t>
      </w:r>
      <w:r>
        <w:rPr>
          <w:rFonts w:hint="eastAsia" w:ascii="宋体" w:hAnsi="宋体" w:cs="宋体"/>
          <w:highlight w:val="none"/>
          <w:lang w:eastAsia="zh-TW"/>
        </w:rPr>
        <w:t>被拒绝，</w:t>
      </w:r>
      <w:r>
        <w:rPr>
          <w:rFonts w:hint="eastAsia" w:ascii="宋体" w:hAnsi="宋体" w:cs="宋体"/>
          <w:highlight w:val="none"/>
        </w:rPr>
        <w:t>或被认定为无效竞价；</w:t>
      </w:r>
    </w:p>
    <w:p>
      <w:pPr>
        <w:widowControl/>
        <w:spacing w:line="360" w:lineRule="auto"/>
        <w:ind w:firstLine="420" w:firstLineChars="200"/>
        <w:jc w:val="left"/>
        <w:rPr>
          <w:rFonts w:ascii="宋体" w:hAnsi="宋体"/>
          <w:highlight w:val="none"/>
        </w:rPr>
      </w:pPr>
      <w:r>
        <w:rPr>
          <w:rFonts w:hint="eastAsia" w:ascii="宋体" w:hAnsi="宋体" w:cs="宋体"/>
          <w:kern w:val="0"/>
          <w:highlight w:val="none"/>
        </w:rPr>
        <w:t>11、采购人有权拒绝接受任何不合格的货物或服务，由此产生的费用及相关后果均由成交供应商自行承担；</w:t>
      </w:r>
    </w:p>
    <w:p>
      <w:pPr>
        <w:widowControl/>
        <w:spacing w:line="360" w:lineRule="auto"/>
        <w:ind w:firstLine="420" w:firstLineChars="200"/>
        <w:jc w:val="left"/>
        <w:rPr>
          <w:rFonts w:ascii="宋体" w:hAnsi="宋体"/>
          <w:highlight w:val="none"/>
        </w:rPr>
      </w:pPr>
      <w:r>
        <w:rPr>
          <w:rFonts w:hint="eastAsia" w:ascii="宋体" w:hAnsi="宋体" w:cs="宋体"/>
          <w:highlight w:val="none"/>
        </w:rPr>
        <w:t>12、供应商认为竞价结果损害其权益的，应按照云采链平台相关指引在规定的时间内向采购人或代理机构提交书面质疑，不提交的视为无异议，逾期提交将不予受理；</w:t>
      </w:r>
    </w:p>
    <w:p>
      <w:pPr>
        <w:widowControl/>
        <w:spacing w:line="360" w:lineRule="auto"/>
        <w:ind w:firstLine="420" w:firstLineChars="200"/>
        <w:jc w:val="left"/>
        <w:rPr>
          <w:rFonts w:ascii="宋体" w:hAnsi="宋体"/>
          <w:highlight w:val="none"/>
        </w:rPr>
      </w:pPr>
      <w:r>
        <w:rPr>
          <w:rFonts w:hint="eastAsia" w:ascii="宋体" w:hAnsi="宋体" w:cs="宋体"/>
          <w:highlight w:val="none"/>
        </w:rPr>
        <w:t>13、本竞价公告和竞价文件的解释权归“云采链线上采购一体化平台”所有。</w:t>
      </w:r>
    </w:p>
    <w:p>
      <w:pPr>
        <w:widowControl/>
        <w:spacing w:line="360" w:lineRule="auto"/>
        <w:ind w:firstLine="422" w:firstLineChars="200"/>
        <w:jc w:val="left"/>
        <w:rPr>
          <w:rFonts w:ascii="宋体" w:hAnsi="宋体"/>
          <w:highlight w:val="none"/>
        </w:rPr>
      </w:pPr>
      <w:r>
        <w:rPr>
          <w:rFonts w:hint="eastAsia" w:ascii="宋体" w:hAnsi="宋体"/>
          <w:b/>
          <w:highlight w:val="none"/>
        </w:rPr>
        <w:t>（二）竞价文件的澄清或修改</w:t>
      </w:r>
    </w:p>
    <w:p>
      <w:pPr>
        <w:widowControl/>
        <w:spacing w:line="360" w:lineRule="auto"/>
        <w:ind w:firstLine="420" w:firstLineChars="200"/>
        <w:jc w:val="left"/>
        <w:rPr>
          <w:rFonts w:ascii="宋体" w:hAnsi="宋体"/>
          <w:highlight w:val="none"/>
        </w:rPr>
      </w:pPr>
      <w:r>
        <w:rPr>
          <w:rFonts w:hint="eastAsia" w:ascii="宋体" w:hAnsi="宋体"/>
          <w:highlight w:val="none"/>
        </w:rPr>
        <w:t>1、采购人或者采购代理机构可以对已发出的竞价文件进行必要的澄清或者修改。澄清或者修改的内容将在云采链平台上发布澄清（更正/变更）公告。</w:t>
      </w:r>
    </w:p>
    <w:p>
      <w:pPr>
        <w:widowControl/>
        <w:spacing w:line="360" w:lineRule="auto"/>
        <w:ind w:firstLine="420" w:firstLineChars="200"/>
        <w:jc w:val="left"/>
        <w:rPr>
          <w:rFonts w:ascii="宋体" w:hAnsi="宋体"/>
          <w:highlight w:val="none"/>
        </w:rPr>
      </w:pPr>
      <w:r>
        <w:rPr>
          <w:rFonts w:hint="eastAsia" w:ascii="宋体" w:hAnsi="宋体"/>
          <w:highlight w:val="none"/>
        </w:rPr>
        <w:t>2、无论澄清或者修改的内容是否影响竞价，平台将以短信形式通知所有的报名供应商；报名供应商应按要求履行相应的义务；</w:t>
      </w:r>
      <w:r>
        <w:rPr>
          <w:rFonts w:hint="eastAsia" w:ascii="宋体" w:hAnsi="宋体" w:cs="宋体"/>
          <w:highlight w:val="none"/>
        </w:rPr>
        <w:t>如报名</w:t>
      </w:r>
      <w:r>
        <w:rPr>
          <w:rFonts w:hint="eastAsia" w:ascii="宋体" w:hAnsi="宋体" w:cs="宋体"/>
          <w:highlight w:val="none"/>
          <w:lang w:eastAsia="zh-TW"/>
        </w:rPr>
        <w:t>截止时间</w:t>
      </w:r>
      <w:r>
        <w:rPr>
          <w:rFonts w:hint="eastAsia" w:ascii="宋体" w:hAnsi="宋体" w:cs="宋体"/>
          <w:highlight w:val="none"/>
        </w:rPr>
        <w:t>少于一个工作日的，</w:t>
      </w:r>
      <w:r>
        <w:rPr>
          <w:rFonts w:hint="eastAsia" w:ascii="宋体" w:hAnsi="宋体"/>
          <w:highlight w:val="none"/>
        </w:rPr>
        <w:t>采购人或者采购代理机构应当相应顺延报名的截止时间。</w:t>
      </w:r>
    </w:p>
    <w:p>
      <w:pPr>
        <w:widowControl/>
        <w:spacing w:line="360" w:lineRule="auto"/>
        <w:ind w:firstLine="420" w:firstLineChars="200"/>
        <w:jc w:val="left"/>
        <w:rPr>
          <w:rFonts w:ascii="宋体" w:hAnsi="宋体"/>
          <w:highlight w:val="none"/>
        </w:rPr>
      </w:pPr>
      <w:r>
        <w:rPr>
          <w:rFonts w:hint="eastAsia" w:ascii="宋体" w:hAnsi="宋体"/>
          <w:highlight w:val="none"/>
        </w:rPr>
        <w:t>3、采购人或者采购代理机构发出的澄清或修改（更正/变更）的内容为竞价文件的组成部分，并对供应商具有约束力。</w:t>
      </w:r>
    </w:p>
    <w:p>
      <w:pPr>
        <w:widowControl/>
        <w:spacing w:line="360" w:lineRule="auto"/>
        <w:ind w:firstLine="422" w:firstLineChars="200"/>
        <w:jc w:val="left"/>
        <w:rPr>
          <w:rFonts w:ascii="宋体" w:hAnsi="宋体"/>
          <w:b/>
          <w:bCs/>
          <w:highlight w:val="none"/>
        </w:rPr>
      </w:pPr>
      <w:r>
        <w:rPr>
          <w:rFonts w:hint="eastAsia" w:ascii="宋体" w:hAnsi="宋体" w:cs="宋体"/>
          <w:b/>
          <w:bCs/>
          <w:highlight w:val="none"/>
        </w:rPr>
        <w:t>（三）报名要求（请提供</w:t>
      </w:r>
      <w:r>
        <w:rPr>
          <w:rFonts w:hint="eastAsia" w:ascii="宋体" w:hAnsi="宋体" w:cs="宋体"/>
          <w:highlight w:val="none"/>
        </w:rPr>
        <w:t>参与竞价的</w:t>
      </w:r>
      <w:r>
        <w:rPr>
          <w:rFonts w:hint="eastAsia" w:ascii="宋体" w:hAnsi="宋体" w:cs="宋体"/>
          <w:b/>
          <w:bCs/>
          <w:highlight w:val="none"/>
        </w:rPr>
        <w:t>供应商资质要求</w:t>
      </w:r>
      <w:r>
        <w:rPr>
          <w:rFonts w:ascii="宋体" w:hAnsi="宋体" w:cs="宋体"/>
          <w:b/>
          <w:bCs/>
          <w:highlight w:val="none"/>
        </w:rPr>
        <w:t>:</w:t>
      </w:r>
      <w:r>
        <w:rPr>
          <w:rFonts w:hint="eastAsia" w:ascii="宋体" w:hAnsi="宋体" w:cs="宋体"/>
          <w:highlight w:val="none"/>
        </w:rPr>
        <w:t>报名时需要提供以下</w:t>
      </w:r>
      <w:r>
        <w:rPr>
          <w:rFonts w:hint="eastAsia" w:ascii="宋体" w:hAnsi="宋体" w:cs="宋体"/>
          <w:b/>
          <w:highlight w:val="none"/>
          <w:u w:val="double"/>
        </w:rPr>
        <w:t>盖章</w:t>
      </w:r>
      <w:r>
        <w:rPr>
          <w:rFonts w:hint="eastAsia" w:ascii="宋体" w:hAnsi="宋体" w:cs="宋体"/>
          <w:highlight w:val="none"/>
        </w:rPr>
        <w:t>资料，并对上传的报名文件资料承担责任</w:t>
      </w:r>
      <w:r>
        <w:rPr>
          <w:rFonts w:hint="eastAsia" w:ascii="宋体" w:hAnsi="宋体" w:cs="宋体"/>
          <w:b/>
          <w:bCs/>
          <w:highlight w:val="none"/>
        </w:rPr>
        <w:t>）</w:t>
      </w:r>
    </w:p>
    <w:p>
      <w:pPr>
        <w:pStyle w:val="37"/>
        <w:widowControl/>
        <w:spacing w:line="360" w:lineRule="auto"/>
        <w:jc w:val="left"/>
        <w:rPr>
          <w:rFonts w:ascii="宋体" w:hAnsi="宋体" w:cs="宋体"/>
          <w:highlight w:val="none"/>
        </w:rPr>
      </w:pPr>
      <w:r>
        <w:rPr>
          <w:rFonts w:hint="eastAsia" w:ascii="宋体" w:hAnsi="宋体" w:cs="宋体"/>
          <w:highlight w:val="none"/>
        </w:rPr>
        <w:t>1、具有独立承担民事责任的在中华人民共和国境内注册的法人或其他组织（提供法人或其他组织的营业执照等证明材料）；</w:t>
      </w:r>
    </w:p>
    <w:p>
      <w:pPr>
        <w:pStyle w:val="37"/>
        <w:widowControl/>
        <w:spacing w:line="360" w:lineRule="auto"/>
        <w:jc w:val="left"/>
        <w:rPr>
          <w:highlight w:val="none"/>
        </w:rPr>
      </w:pPr>
      <w:r>
        <w:rPr>
          <w:rFonts w:hint="eastAsia" w:ascii="宋体" w:hAnsi="宋体"/>
          <w:highlight w:val="none"/>
        </w:rPr>
        <w:t>2、</w:t>
      </w:r>
      <w:r>
        <w:rPr>
          <w:rFonts w:hint="eastAsia" w:ascii="宋体" w:hAnsi="宋体" w:cs="宋体"/>
          <w:highlight w:val="none"/>
        </w:rPr>
        <w:t>供应商符合《中华人民共和国政府采购法》的第二十二条规定，不转包且不联合竞价，提供供应商资格声明函，</w:t>
      </w:r>
      <w:r>
        <w:rPr>
          <w:rFonts w:hint="eastAsia" w:ascii="宋体" w:hAnsi="宋体" w:cs="宋体"/>
          <w:b/>
          <w:highlight w:val="none"/>
        </w:rPr>
        <w:t>格式详见附件</w:t>
      </w:r>
      <w:r>
        <w:rPr>
          <w:rFonts w:hint="eastAsia" w:ascii="宋体" w:hAnsi="宋体" w:cs="宋体"/>
          <w:highlight w:val="none"/>
        </w:rPr>
        <w:t>；</w:t>
      </w:r>
    </w:p>
    <w:p>
      <w:pPr>
        <w:pStyle w:val="37"/>
        <w:widowControl/>
        <w:spacing w:line="360" w:lineRule="auto"/>
        <w:jc w:val="left"/>
        <w:rPr>
          <w:rFonts w:ascii="宋体" w:hAnsi="宋体" w:cs="宋体"/>
          <w:highlight w:val="none"/>
        </w:rPr>
      </w:pPr>
      <w:r>
        <w:rPr>
          <w:rFonts w:hint="eastAsia" w:ascii="宋体" w:hAnsi="宋体" w:cs="宋体"/>
          <w:highlight w:val="none"/>
        </w:rPr>
        <w:t>3、供应商完全响应本项目用户需求的条款、内容及要求的，提供用户需求书响应声明函即可，</w:t>
      </w:r>
      <w:r>
        <w:rPr>
          <w:rFonts w:hint="eastAsia" w:ascii="宋体" w:hAnsi="宋体" w:cs="宋体"/>
          <w:b/>
          <w:highlight w:val="none"/>
        </w:rPr>
        <w:t>格式详见附件</w:t>
      </w:r>
      <w:r>
        <w:rPr>
          <w:rFonts w:hint="eastAsia" w:ascii="宋体" w:hAnsi="宋体" w:cs="宋体"/>
          <w:highlight w:val="none"/>
        </w:rPr>
        <w:t>。</w:t>
      </w:r>
    </w:p>
    <w:p>
      <w:pPr>
        <w:widowControl/>
        <w:spacing w:line="360" w:lineRule="auto"/>
        <w:ind w:firstLine="422" w:firstLineChars="200"/>
        <w:jc w:val="left"/>
        <w:rPr>
          <w:rFonts w:ascii="宋体" w:hAnsi="宋体"/>
          <w:b/>
          <w:bCs/>
          <w:highlight w:val="none"/>
        </w:rPr>
      </w:pPr>
      <w:r>
        <w:rPr>
          <w:rFonts w:hint="eastAsia" w:ascii="宋体" w:hAnsi="宋体" w:cs="宋体"/>
          <w:b/>
          <w:bCs/>
          <w:highlight w:val="none"/>
        </w:rPr>
        <w:t>（四）报价要求（</w:t>
      </w:r>
      <w:r>
        <w:rPr>
          <w:rFonts w:hint="eastAsia" w:ascii="宋体" w:hAnsi="宋体" w:cs="宋体"/>
          <w:highlight w:val="none"/>
        </w:rPr>
        <w:t>报价时需要提供以下</w:t>
      </w:r>
      <w:r>
        <w:rPr>
          <w:rFonts w:hint="eastAsia" w:ascii="宋体" w:hAnsi="宋体" w:cs="宋体"/>
          <w:b/>
          <w:highlight w:val="none"/>
          <w:u w:val="double"/>
        </w:rPr>
        <w:t>盖章</w:t>
      </w:r>
      <w:r>
        <w:rPr>
          <w:rFonts w:hint="eastAsia" w:ascii="宋体" w:hAnsi="宋体" w:cs="宋体"/>
          <w:highlight w:val="none"/>
        </w:rPr>
        <w:t>资料，并对上传的竞价文件资料承担责任</w:t>
      </w:r>
      <w:r>
        <w:rPr>
          <w:rFonts w:hint="eastAsia" w:ascii="宋体" w:hAnsi="宋体" w:cs="宋体"/>
          <w:b/>
          <w:bCs/>
          <w:highlight w:val="none"/>
        </w:rPr>
        <w:t>）</w:t>
      </w:r>
    </w:p>
    <w:p>
      <w:pPr>
        <w:pStyle w:val="37"/>
        <w:widowControl/>
        <w:spacing w:line="360" w:lineRule="auto"/>
        <w:jc w:val="left"/>
        <w:rPr>
          <w:rFonts w:ascii="宋体" w:hAnsi="宋体" w:cs="宋体"/>
          <w:highlight w:val="none"/>
        </w:rPr>
      </w:pPr>
      <w:r>
        <w:rPr>
          <w:rFonts w:hint="eastAsia" w:ascii="宋体" w:hAnsi="宋体" w:cs="宋体"/>
          <w:highlight w:val="none"/>
        </w:rPr>
        <w:t>1、通过报名供应商应根据本公告要求，在规定的竞价时间内对采购项目进行报价，同时按本公告要求完整、真实、准确地填写并上传相应报价附件（报价表）。</w:t>
      </w:r>
    </w:p>
    <w:p>
      <w:pPr>
        <w:pStyle w:val="37"/>
        <w:widowControl/>
        <w:spacing w:line="360" w:lineRule="auto"/>
        <w:jc w:val="left"/>
        <w:rPr>
          <w:rFonts w:ascii="宋体" w:hAnsi="宋体" w:cs="宋体"/>
          <w:highlight w:val="none"/>
        </w:rPr>
      </w:pPr>
      <w:r>
        <w:rPr>
          <w:rFonts w:hint="eastAsia" w:ascii="宋体" w:hAnsi="宋体" w:cs="宋体"/>
          <w:highlight w:val="none"/>
        </w:rPr>
        <w:t>2、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pPr>
        <w:widowControl/>
        <w:spacing w:line="360" w:lineRule="auto"/>
        <w:ind w:firstLine="422" w:firstLineChars="200"/>
        <w:jc w:val="left"/>
        <w:rPr>
          <w:rFonts w:ascii="宋体" w:hAnsi="宋体"/>
          <w:b/>
          <w:bCs/>
          <w:highlight w:val="none"/>
        </w:rPr>
      </w:pPr>
      <w:r>
        <w:rPr>
          <w:rFonts w:hint="eastAsia" w:ascii="宋体" w:hAnsi="宋体" w:cs="宋体"/>
          <w:b/>
          <w:bCs/>
          <w:highlight w:val="none"/>
        </w:rPr>
        <w:t>（五）确定成交候选人</w:t>
      </w:r>
    </w:p>
    <w:p>
      <w:pPr>
        <w:pStyle w:val="37"/>
        <w:widowControl/>
        <w:spacing w:line="360" w:lineRule="auto"/>
        <w:jc w:val="left"/>
        <w:rPr>
          <w:rFonts w:ascii="宋体" w:hAnsi="宋体" w:cs="宋体"/>
          <w:highlight w:val="none"/>
        </w:rPr>
      </w:pPr>
      <w:r>
        <w:rPr>
          <w:rFonts w:hint="eastAsia" w:ascii="宋体" w:hAnsi="宋体" w:cs="宋体"/>
          <w:highlight w:val="none"/>
        </w:rPr>
        <w:t>本项目以最低价成交的方式确定成交供应商。报价时间截止后，系统按报价（经价格核准后的价格）由低到高顺序排列，报价最低的为第一成交候选人，报价相同的，按报价时间在前的为第一成交候选人；报价次低的为第二成交候选人，以此类推。</w:t>
      </w:r>
    </w:p>
    <w:p>
      <w:pPr>
        <w:widowControl/>
        <w:spacing w:line="360" w:lineRule="auto"/>
        <w:ind w:firstLine="422" w:firstLineChars="200"/>
        <w:jc w:val="left"/>
        <w:rPr>
          <w:rFonts w:ascii="宋体" w:hAnsi="宋体"/>
          <w:b/>
          <w:bCs/>
          <w:highlight w:val="none"/>
        </w:rPr>
      </w:pPr>
      <w:r>
        <w:rPr>
          <w:rFonts w:hint="eastAsia" w:ascii="宋体" w:hAnsi="宋体" w:cs="宋体"/>
          <w:b/>
          <w:bCs/>
          <w:highlight w:val="none"/>
        </w:rPr>
        <w:t>（六）无效报价</w:t>
      </w:r>
    </w:p>
    <w:p>
      <w:pPr>
        <w:pStyle w:val="37"/>
        <w:spacing w:line="360" w:lineRule="auto"/>
        <w:rPr>
          <w:rFonts w:ascii="宋体" w:hAnsi="宋体" w:cs="宋体"/>
          <w:highlight w:val="none"/>
        </w:rPr>
      </w:pPr>
      <w:r>
        <w:rPr>
          <w:rFonts w:hint="eastAsia" w:ascii="宋体" w:hAnsi="宋体" w:cs="宋体"/>
          <w:highlight w:val="none"/>
        </w:rPr>
        <w:t>1、参与竞价的供应商报价超过最高限价或低于最低限价或超过项目对应产品单项最高限价的视为无效报价。</w:t>
      </w:r>
    </w:p>
    <w:p>
      <w:pPr>
        <w:widowControl/>
        <w:spacing w:line="360" w:lineRule="auto"/>
        <w:ind w:firstLine="420" w:firstLineChars="200"/>
        <w:jc w:val="left"/>
        <w:rPr>
          <w:rFonts w:ascii="宋体" w:hAnsi="宋体"/>
          <w:highlight w:val="none"/>
        </w:rPr>
      </w:pPr>
      <w:r>
        <w:rPr>
          <w:rFonts w:hint="eastAsia" w:ascii="宋体" w:hAnsi="宋体" w:cs="宋体"/>
          <w:highlight w:val="none"/>
        </w:rPr>
        <w:t>2、参与竞价的供应商须提供本项目要求的资质文件，如果不按公告规定或竞价文件要求等相关规定提供符合要求的资质文件，将被视为无效报价。</w:t>
      </w:r>
    </w:p>
    <w:p>
      <w:pPr>
        <w:widowControl/>
        <w:spacing w:line="360" w:lineRule="auto"/>
        <w:ind w:firstLine="420" w:firstLineChars="200"/>
        <w:jc w:val="left"/>
        <w:rPr>
          <w:rFonts w:ascii="宋体" w:hAnsi="宋体"/>
          <w:highlight w:val="none"/>
        </w:rPr>
      </w:pPr>
      <w:r>
        <w:rPr>
          <w:rFonts w:hint="eastAsia" w:ascii="宋体" w:hAnsi="宋体" w:cs="宋体"/>
          <w:highlight w:val="none"/>
        </w:rPr>
        <w:t>3、参与竞价的供应商须对本项目采购内容进行整体报价，任何只对其中一部分内容进行的报价都被视为无效报价。</w:t>
      </w:r>
    </w:p>
    <w:p>
      <w:pPr>
        <w:pStyle w:val="37"/>
        <w:spacing w:line="360" w:lineRule="auto"/>
        <w:rPr>
          <w:rFonts w:ascii="宋体" w:hAnsi="宋体" w:cs="宋体"/>
          <w:kern w:val="0"/>
          <w:highlight w:val="none"/>
          <w:u w:val="double"/>
        </w:rPr>
      </w:pPr>
      <w:r>
        <w:rPr>
          <w:rFonts w:hint="eastAsia" w:ascii="宋体" w:hAnsi="宋体" w:cs="宋体"/>
          <w:kern w:val="0"/>
          <w:highlight w:val="none"/>
          <w:u w:val="double"/>
        </w:rPr>
        <w:t>4、报价表以及有报价供应商落款的报价文件必须加盖报价供应商公章，否则视为无效报价。</w:t>
      </w:r>
    </w:p>
    <w:p>
      <w:pPr>
        <w:pStyle w:val="37"/>
        <w:spacing w:line="360" w:lineRule="auto"/>
        <w:rPr>
          <w:rFonts w:ascii="宋体" w:hAnsi="宋体" w:cs="宋体"/>
          <w:kern w:val="0"/>
          <w:highlight w:val="none"/>
        </w:rPr>
      </w:pPr>
      <w:r>
        <w:rPr>
          <w:rFonts w:hint="eastAsia" w:ascii="宋体" w:hAnsi="宋体" w:cs="宋体"/>
          <w:kern w:val="0"/>
          <w:highlight w:val="none"/>
        </w:rPr>
        <w:t>5、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pStyle w:val="37"/>
        <w:numPr>
          <w:ilvl w:val="0"/>
          <w:numId w:val="4"/>
        </w:numPr>
        <w:spacing w:line="360" w:lineRule="auto"/>
        <w:ind w:firstLineChars="0"/>
        <w:rPr>
          <w:rFonts w:ascii="宋体" w:hAnsi="宋体" w:cs="宋体"/>
          <w:b/>
          <w:bCs/>
          <w:kern w:val="0"/>
          <w:highlight w:val="none"/>
        </w:rPr>
      </w:pPr>
      <w:r>
        <w:rPr>
          <w:rFonts w:hint="eastAsia" w:ascii="宋体" w:hAnsi="宋体" w:cs="宋体"/>
          <w:b/>
          <w:bCs/>
          <w:kern w:val="0"/>
          <w:highlight w:val="none"/>
        </w:rPr>
        <w:t>按有关法律、法规、规章属于报价无效的。</w:t>
      </w:r>
    </w:p>
    <w:p>
      <w:pPr>
        <w:widowControl/>
        <w:shd w:val="clear" w:color="auto" w:fill="FFFFFF"/>
        <w:spacing w:line="360" w:lineRule="auto"/>
        <w:ind w:left="420"/>
        <w:jc w:val="left"/>
        <w:rPr>
          <w:rFonts w:ascii="宋体" w:hAnsi="宋体"/>
          <w:kern w:val="0"/>
          <w:highlight w:val="none"/>
        </w:rPr>
      </w:pPr>
      <w:r>
        <w:rPr>
          <w:rFonts w:hint="eastAsia" w:ascii="宋体" w:hAnsi="宋体" w:cs="宋体"/>
          <w:b/>
          <w:bCs/>
          <w:kern w:val="0"/>
          <w:highlight w:val="none"/>
        </w:rPr>
        <w:t>7、有下列情形之一的，视为串通竞价，其报价无效：</w:t>
      </w:r>
    </w:p>
    <w:p>
      <w:pPr>
        <w:widowControl/>
        <w:numPr>
          <w:ilvl w:val="2"/>
          <w:numId w:val="5"/>
        </w:numPr>
        <w:spacing w:line="360" w:lineRule="auto"/>
        <w:ind w:left="0" w:firstLine="420" w:firstLineChars="200"/>
        <w:jc w:val="left"/>
        <w:rPr>
          <w:rFonts w:ascii="宋体" w:hAnsi="宋体"/>
          <w:highlight w:val="none"/>
        </w:rPr>
      </w:pPr>
      <w:r>
        <w:rPr>
          <w:rFonts w:hint="eastAsia" w:ascii="宋体" w:hAnsi="宋体"/>
          <w:highlight w:val="none"/>
        </w:rPr>
        <w:t>存在单位负责人为同一人或存在控股、管理关系的不同单位参与同一竞价项目；</w:t>
      </w:r>
    </w:p>
    <w:p>
      <w:pPr>
        <w:widowControl/>
        <w:numPr>
          <w:ilvl w:val="2"/>
          <w:numId w:val="5"/>
        </w:numPr>
        <w:spacing w:line="360" w:lineRule="auto"/>
        <w:ind w:left="0" w:firstLine="420" w:firstLineChars="200"/>
        <w:jc w:val="left"/>
        <w:rPr>
          <w:rFonts w:ascii="宋体" w:hAnsi="宋体"/>
          <w:highlight w:val="none"/>
        </w:rPr>
      </w:pPr>
      <w:r>
        <w:rPr>
          <w:rFonts w:hint="eastAsia" w:ascii="宋体" w:hAnsi="宋体" w:cs="宋体"/>
          <w:highlight w:val="none"/>
        </w:rPr>
        <w:t>不同供应商的响应文件由同一单位或者个人编制；</w:t>
      </w:r>
    </w:p>
    <w:p>
      <w:pPr>
        <w:widowControl/>
        <w:numPr>
          <w:ilvl w:val="2"/>
          <w:numId w:val="5"/>
        </w:numPr>
        <w:spacing w:line="360" w:lineRule="auto"/>
        <w:ind w:left="0" w:firstLine="420" w:firstLineChars="200"/>
        <w:jc w:val="left"/>
        <w:rPr>
          <w:rFonts w:ascii="宋体" w:hAnsi="宋体"/>
          <w:highlight w:val="none"/>
        </w:rPr>
      </w:pPr>
      <w:r>
        <w:rPr>
          <w:rFonts w:hint="eastAsia" w:ascii="宋体" w:hAnsi="宋体" w:cs="宋体"/>
          <w:highlight w:val="none"/>
        </w:rPr>
        <w:t>不同供应商委托同一单位或者个人办理竞价事宜；</w:t>
      </w:r>
    </w:p>
    <w:p>
      <w:pPr>
        <w:widowControl/>
        <w:numPr>
          <w:ilvl w:val="2"/>
          <w:numId w:val="5"/>
        </w:numPr>
        <w:spacing w:line="360" w:lineRule="auto"/>
        <w:ind w:left="0" w:firstLine="420" w:firstLineChars="200"/>
        <w:jc w:val="left"/>
        <w:rPr>
          <w:rFonts w:ascii="宋体" w:hAnsi="宋体"/>
          <w:highlight w:val="none"/>
        </w:rPr>
      </w:pPr>
      <w:r>
        <w:rPr>
          <w:rFonts w:hint="eastAsia" w:ascii="宋体" w:hAnsi="宋体" w:cs="宋体"/>
          <w:highlight w:val="none"/>
        </w:rPr>
        <w:t>不同供应商使用同一</w:t>
      </w:r>
      <w:r>
        <w:rPr>
          <w:rFonts w:ascii="宋体" w:hAnsi="宋体" w:cs="宋体"/>
          <w:highlight w:val="none"/>
        </w:rPr>
        <w:t>IP</w:t>
      </w:r>
      <w:r>
        <w:rPr>
          <w:rFonts w:hint="eastAsia" w:ascii="宋体" w:hAnsi="宋体" w:cs="宋体"/>
          <w:highlight w:val="none"/>
        </w:rPr>
        <w:t>地址参与竞价；</w:t>
      </w:r>
    </w:p>
    <w:p>
      <w:pPr>
        <w:widowControl/>
        <w:numPr>
          <w:ilvl w:val="2"/>
          <w:numId w:val="5"/>
        </w:numPr>
        <w:spacing w:line="360" w:lineRule="auto"/>
        <w:ind w:left="0" w:firstLine="420" w:firstLineChars="200"/>
        <w:jc w:val="left"/>
        <w:rPr>
          <w:rFonts w:ascii="宋体" w:hAnsi="宋体"/>
          <w:highlight w:val="none"/>
        </w:rPr>
      </w:pPr>
      <w:r>
        <w:rPr>
          <w:rFonts w:hint="eastAsia" w:ascii="宋体" w:hAnsi="宋体" w:cs="宋体"/>
          <w:highlight w:val="none"/>
        </w:rPr>
        <w:t>不同供应商的响应文件载明的项目管理成员或者联系人员为同一人；</w:t>
      </w:r>
    </w:p>
    <w:p>
      <w:pPr>
        <w:widowControl/>
        <w:numPr>
          <w:ilvl w:val="2"/>
          <w:numId w:val="5"/>
        </w:numPr>
        <w:spacing w:line="360" w:lineRule="auto"/>
        <w:ind w:left="0" w:firstLine="420" w:firstLineChars="200"/>
        <w:jc w:val="left"/>
        <w:rPr>
          <w:rFonts w:ascii="宋体" w:hAnsi="宋体"/>
          <w:highlight w:val="none"/>
        </w:rPr>
      </w:pPr>
      <w:r>
        <w:rPr>
          <w:rFonts w:hint="eastAsia" w:ascii="宋体" w:hAnsi="宋体" w:cs="宋体"/>
          <w:highlight w:val="none"/>
        </w:rPr>
        <w:t>不同供应商的响应文件异常一致或者报价呈规律性差异；</w:t>
      </w:r>
    </w:p>
    <w:p>
      <w:pPr>
        <w:widowControl/>
        <w:numPr>
          <w:ilvl w:val="2"/>
          <w:numId w:val="5"/>
        </w:numPr>
        <w:spacing w:line="360" w:lineRule="auto"/>
        <w:ind w:left="0" w:firstLine="420" w:firstLineChars="200"/>
        <w:jc w:val="left"/>
        <w:rPr>
          <w:rFonts w:ascii="宋体" w:hAnsi="宋体"/>
          <w:highlight w:val="none"/>
        </w:rPr>
      </w:pPr>
      <w:r>
        <w:rPr>
          <w:rFonts w:hint="eastAsia" w:ascii="宋体" w:hAnsi="宋体" w:cs="宋体"/>
          <w:highlight w:val="none"/>
        </w:rPr>
        <w:t>不同供应商的响应文件相互混淆；</w:t>
      </w:r>
    </w:p>
    <w:p>
      <w:pPr>
        <w:widowControl/>
        <w:numPr>
          <w:ilvl w:val="2"/>
          <w:numId w:val="5"/>
        </w:numPr>
        <w:spacing w:line="360" w:lineRule="auto"/>
        <w:ind w:left="0" w:firstLine="420" w:firstLineChars="200"/>
        <w:jc w:val="left"/>
        <w:rPr>
          <w:rFonts w:ascii="宋体" w:hAnsi="宋体"/>
          <w:highlight w:val="none"/>
        </w:rPr>
      </w:pPr>
      <w:r>
        <w:rPr>
          <w:rFonts w:hint="eastAsia" w:ascii="宋体" w:hAnsi="宋体" w:cs="宋体"/>
          <w:highlight w:val="none"/>
        </w:rPr>
        <w:t>不同供应商的平台使用费从同一单位或者个人的账户转出。</w:t>
      </w:r>
    </w:p>
    <w:p>
      <w:pPr>
        <w:widowControl/>
        <w:spacing w:line="360" w:lineRule="auto"/>
        <w:ind w:firstLine="422" w:firstLineChars="200"/>
        <w:jc w:val="left"/>
        <w:rPr>
          <w:rFonts w:ascii="宋体" w:hAnsi="宋体"/>
          <w:highlight w:val="none"/>
        </w:rPr>
      </w:pPr>
      <w:r>
        <w:rPr>
          <w:rFonts w:hint="eastAsia" w:ascii="宋体" w:hAnsi="宋体" w:cs="宋体"/>
          <w:b/>
          <w:bCs/>
          <w:highlight w:val="none"/>
        </w:rPr>
        <w:t>（七）竞价活动失败</w:t>
      </w:r>
    </w:p>
    <w:p>
      <w:pPr>
        <w:widowControl/>
        <w:spacing w:line="360" w:lineRule="auto"/>
        <w:ind w:left="200" w:firstLine="420" w:firstLineChars="200"/>
        <w:jc w:val="left"/>
        <w:rPr>
          <w:rFonts w:ascii="宋体" w:hAnsi="宋体"/>
          <w:highlight w:val="none"/>
        </w:rPr>
      </w:pPr>
      <w:r>
        <w:rPr>
          <w:rFonts w:hint="eastAsia" w:ascii="宋体" w:hAnsi="宋体" w:cs="宋体"/>
          <w:highlight w:val="none"/>
        </w:rPr>
        <w:t>1、报价供应商不足</w:t>
      </w:r>
      <w:r>
        <w:rPr>
          <w:rFonts w:ascii="宋体" w:hAnsi="宋体" w:cs="宋体"/>
          <w:highlight w:val="none"/>
        </w:rPr>
        <w:t>3</w:t>
      </w:r>
      <w:r>
        <w:rPr>
          <w:rFonts w:hint="eastAsia" w:ascii="宋体" w:hAnsi="宋体" w:cs="宋体"/>
          <w:highlight w:val="none"/>
        </w:rPr>
        <w:t>家，本次竞价活动失败；</w:t>
      </w:r>
    </w:p>
    <w:p>
      <w:pPr>
        <w:widowControl/>
        <w:spacing w:line="360" w:lineRule="auto"/>
        <w:ind w:left="200" w:firstLine="420" w:firstLineChars="200"/>
        <w:jc w:val="left"/>
        <w:rPr>
          <w:rFonts w:ascii="宋体" w:hAnsi="宋体" w:cs="宋体"/>
          <w:highlight w:val="none"/>
        </w:rPr>
      </w:pPr>
      <w:r>
        <w:rPr>
          <w:rFonts w:hint="eastAsia" w:ascii="宋体" w:hAnsi="宋体" w:cs="宋体"/>
          <w:highlight w:val="none"/>
        </w:rPr>
        <w:t>2、出现影响采购公正的违法、违规行为的；</w:t>
      </w:r>
    </w:p>
    <w:p>
      <w:pPr>
        <w:widowControl/>
        <w:spacing w:line="360" w:lineRule="auto"/>
        <w:ind w:left="200" w:firstLine="420" w:firstLineChars="200"/>
        <w:jc w:val="left"/>
        <w:rPr>
          <w:rFonts w:ascii="宋体" w:hAnsi="宋体" w:cs="宋体"/>
          <w:highlight w:val="none"/>
        </w:rPr>
      </w:pPr>
      <w:r>
        <w:rPr>
          <w:rFonts w:hint="eastAsia" w:ascii="宋体" w:hAnsi="宋体" w:cs="宋体"/>
          <w:highlight w:val="none"/>
        </w:rPr>
        <w:t>3、因重大变故，采购任务取消的。</w:t>
      </w:r>
    </w:p>
    <w:p>
      <w:pPr>
        <w:widowControl/>
        <w:spacing w:line="360" w:lineRule="auto"/>
        <w:ind w:firstLine="422" w:firstLineChars="200"/>
        <w:jc w:val="left"/>
        <w:rPr>
          <w:rFonts w:ascii="宋体" w:hAnsi="宋体"/>
          <w:b/>
          <w:bCs/>
          <w:highlight w:val="none"/>
        </w:rPr>
      </w:pPr>
      <w:r>
        <w:rPr>
          <w:rFonts w:hint="eastAsia" w:ascii="宋体" w:hAnsi="宋体" w:cs="宋体"/>
          <w:b/>
          <w:bCs/>
          <w:highlight w:val="none"/>
        </w:rPr>
        <w:t>（八）使用费</w:t>
      </w:r>
    </w:p>
    <w:p>
      <w:pPr>
        <w:widowControl/>
        <w:spacing w:line="360" w:lineRule="auto"/>
        <w:ind w:firstLine="630" w:firstLineChars="300"/>
        <w:jc w:val="left"/>
        <w:rPr>
          <w:rFonts w:ascii="宋体" w:hAnsi="宋体" w:cs="宋体"/>
          <w:highlight w:val="none"/>
        </w:rPr>
      </w:pPr>
      <w:r>
        <w:rPr>
          <w:rFonts w:hint="eastAsia" w:ascii="宋体" w:hAnsi="宋体" w:cs="宋体"/>
          <w:highlight w:val="none"/>
        </w:rPr>
        <w:t>1、成交供应商须向平台服务商</w:t>
      </w:r>
      <w:r>
        <w:rPr>
          <w:rFonts w:hint="eastAsia" w:ascii="宋体" w:hAnsi="宋体"/>
          <w:kern w:val="0"/>
          <w:highlight w:val="none"/>
        </w:rPr>
        <w:t>云采链线上采购一体化平台</w:t>
      </w:r>
      <w:r>
        <w:rPr>
          <w:rFonts w:hint="eastAsia" w:ascii="宋体" w:hAnsi="宋体" w:cs="宋体"/>
          <w:highlight w:val="none"/>
        </w:rPr>
        <w:t>缴纳平台使用费，金额为成交金额的1.5%（四舍五入取整数）。</w:t>
      </w:r>
    </w:p>
    <w:p>
      <w:pPr>
        <w:widowControl/>
        <w:spacing w:line="360" w:lineRule="auto"/>
        <w:ind w:firstLine="630" w:firstLineChars="300"/>
        <w:jc w:val="left"/>
        <w:rPr>
          <w:rFonts w:ascii="宋体" w:hAnsi="宋体" w:cs="宋体"/>
          <w:highlight w:val="none"/>
        </w:rPr>
      </w:pPr>
      <w:r>
        <w:rPr>
          <w:rFonts w:hint="eastAsia" w:ascii="宋体" w:hAnsi="宋体" w:cs="宋体"/>
          <w:highlight w:val="none"/>
        </w:rPr>
        <w:t>2、成交供应商无正当理由放弃成交资格的必须按竞价公告等相关规定缴纳相应的平台使用费。</w:t>
      </w:r>
    </w:p>
    <w:p>
      <w:pPr>
        <w:widowControl/>
        <w:spacing w:line="360" w:lineRule="auto"/>
        <w:ind w:firstLine="630" w:firstLineChars="300"/>
        <w:jc w:val="left"/>
        <w:rPr>
          <w:rFonts w:ascii="宋体" w:hAnsi="宋体" w:cs="宋体"/>
          <w:highlight w:val="none"/>
        </w:rPr>
      </w:pPr>
      <w:r>
        <w:rPr>
          <w:rFonts w:hint="eastAsia" w:ascii="宋体" w:hAnsi="宋体" w:cs="宋体"/>
          <w:highlight w:val="none"/>
        </w:rPr>
        <w:t>3、如确实因不可抗力放弃成交资格的，应在不可抗力发生后三个工作日内予以通知采购代理机构并提供相关的证明；如逾期，采购代理机构不予退还平台使用费。</w:t>
      </w:r>
    </w:p>
    <w:p>
      <w:pPr>
        <w:widowControl/>
        <w:spacing w:line="360" w:lineRule="auto"/>
        <w:ind w:firstLine="422" w:firstLineChars="200"/>
        <w:jc w:val="left"/>
        <w:rPr>
          <w:rFonts w:ascii="宋体" w:hAnsi="宋体"/>
          <w:b/>
          <w:bCs/>
          <w:highlight w:val="none"/>
        </w:rPr>
      </w:pPr>
      <w:r>
        <w:rPr>
          <w:rFonts w:hint="eastAsia" w:ascii="宋体" w:hAnsi="宋体" w:cs="宋体"/>
          <w:b/>
          <w:bCs/>
          <w:highlight w:val="none"/>
        </w:rPr>
        <w:t>（九）联系方式</w:t>
      </w:r>
    </w:p>
    <w:p>
      <w:pPr>
        <w:widowControl/>
        <w:spacing w:line="360" w:lineRule="auto"/>
        <w:ind w:firstLine="420" w:firstLineChars="200"/>
        <w:jc w:val="left"/>
        <w:rPr>
          <w:rFonts w:ascii="宋体" w:hAnsi="宋体"/>
          <w:highlight w:val="none"/>
        </w:rPr>
      </w:pPr>
      <w:r>
        <w:rPr>
          <w:rFonts w:hint="eastAsia" w:ascii="宋体" w:hAnsi="宋体" w:cs="宋体"/>
          <w:highlight w:val="none"/>
        </w:rPr>
        <w:t>扫码关注微信公众号</w:t>
      </w:r>
      <w:r>
        <w:rPr>
          <w:rFonts w:ascii="宋体" w:hAnsi="宋体"/>
          <w:highlight w:val="none"/>
        </w:rPr>
        <w:t>“</w:t>
      </w:r>
      <w:r>
        <w:rPr>
          <w:rFonts w:hint="eastAsia" w:ascii="宋体" w:hAnsi="宋体" w:cs="宋体"/>
          <w:highlight w:val="none"/>
        </w:rPr>
        <w:t>云采链互联服务平台</w:t>
      </w:r>
      <w:r>
        <w:rPr>
          <w:rFonts w:ascii="宋体" w:hAnsi="宋体"/>
          <w:highlight w:val="none"/>
        </w:rPr>
        <w:t>”</w:t>
      </w:r>
      <w:r>
        <w:rPr>
          <w:rFonts w:hint="eastAsia" w:ascii="宋体" w:hAnsi="宋体" w:cs="宋体"/>
          <w:highlight w:val="none"/>
        </w:rPr>
        <w:t>，即可在线咨询相关事项。</w:t>
      </w:r>
    </w:p>
    <w:p>
      <w:pPr>
        <w:widowControl/>
        <w:spacing w:line="360" w:lineRule="auto"/>
        <w:ind w:left="420"/>
        <w:jc w:val="center"/>
        <w:rPr>
          <w:b/>
          <w:bCs/>
          <w:sz w:val="28"/>
          <w:szCs w:val="28"/>
          <w:highlight w:val="none"/>
        </w:rPr>
      </w:pPr>
      <w:r>
        <w:rPr>
          <w:rFonts w:ascii="宋体"/>
          <w:highlight w:val="none"/>
        </w:rPr>
        <w:drawing>
          <wp:inline distT="0" distB="0" distL="0" distR="0">
            <wp:extent cx="1647825" cy="1647825"/>
            <wp:effectExtent l="0" t="0" r="9525" b="9525"/>
            <wp:docPr id="20" name="图片 1"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descr="QR 代码&#10;&#10;描述已自动生成"/>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647825" cy="1647825"/>
                    </a:xfrm>
                    <a:prstGeom prst="rect">
                      <a:avLst/>
                    </a:prstGeom>
                    <a:noFill/>
                    <a:ln>
                      <a:noFill/>
                    </a:ln>
                  </pic:spPr>
                </pic:pic>
              </a:graphicData>
            </a:graphic>
          </wp:inline>
        </w:drawing>
      </w:r>
    </w:p>
    <w:p>
      <w:pPr>
        <w:widowControl/>
        <w:jc w:val="left"/>
        <w:rPr>
          <w:rFonts w:cs="宋体"/>
          <w:b/>
          <w:bCs/>
          <w:sz w:val="28"/>
          <w:szCs w:val="28"/>
          <w:highlight w:val="none"/>
        </w:rPr>
      </w:pPr>
      <w:r>
        <w:rPr>
          <w:rFonts w:cs="宋体"/>
          <w:b/>
          <w:bCs/>
          <w:sz w:val="28"/>
          <w:szCs w:val="28"/>
          <w:highlight w:val="none"/>
        </w:rPr>
        <w:br w:type="page"/>
      </w:r>
    </w:p>
    <w:p>
      <w:pPr>
        <w:snapToGrid w:val="0"/>
        <w:spacing w:line="360" w:lineRule="auto"/>
        <w:jc w:val="center"/>
        <w:outlineLvl w:val="0"/>
        <w:rPr>
          <w:sz w:val="32"/>
          <w:szCs w:val="32"/>
          <w:highlight w:val="none"/>
        </w:rPr>
      </w:pPr>
      <w:r>
        <w:rPr>
          <w:rFonts w:hint="eastAsia" w:cs="宋体"/>
          <w:b/>
          <w:bCs/>
          <w:sz w:val="32"/>
          <w:szCs w:val="32"/>
          <w:highlight w:val="none"/>
        </w:rPr>
        <w:t>第二章</w:t>
      </w:r>
      <w:r>
        <w:rPr>
          <w:b/>
          <w:bCs/>
          <w:sz w:val="32"/>
          <w:szCs w:val="32"/>
          <w:highlight w:val="none"/>
        </w:rPr>
        <w:t xml:space="preserve">  </w:t>
      </w:r>
      <w:r>
        <w:rPr>
          <w:rFonts w:hint="eastAsia" w:cs="宋体"/>
          <w:b/>
          <w:bCs/>
          <w:sz w:val="32"/>
          <w:szCs w:val="32"/>
          <w:highlight w:val="none"/>
        </w:rPr>
        <w:t>用户需求书</w:t>
      </w:r>
    </w:p>
    <w:bookmarkEnd w:id="0"/>
    <w:bookmarkEnd w:id="1"/>
    <w:p>
      <w:pPr>
        <w:snapToGrid w:val="0"/>
        <w:spacing w:line="360" w:lineRule="auto"/>
        <w:ind w:firstLine="422" w:firstLineChars="200"/>
        <w:rPr>
          <w:rFonts w:ascii="宋体" w:hAnsi="宋体" w:cs="宋体"/>
          <w:b/>
          <w:bCs/>
          <w:highlight w:val="none"/>
        </w:rPr>
      </w:pPr>
      <w:r>
        <w:rPr>
          <w:rFonts w:hint="eastAsia" w:ascii="宋体" w:hAnsi="宋体" w:cs="宋体"/>
          <w:b/>
          <w:bCs/>
          <w:highlight w:val="none"/>
        </w:rPr>
        <w:t>说明：响应供应商须对本项目进行整体响应，任何只对其中一部分进行的响应都被视为无效响应。</w:t>
      </w:r>
      <w:r>
        <w:rPr>
          <w:rFonts w:ascii="宋体" w:hAnsi="宋体" w:cs="宋体"/>
          <w:b/>
          <w:bCs/>
          <w:highlight w:val="none"/>
        </w:rPr>
        <w:t xml:space="preserve"> </w:t>
      </w:r>
    </w:p>
    <w:p>
      <w:pPr>
        <w:pStyle w:val="15"/>
        <w:numPr>
          <w:ilvl w:val="0"/>
          <w:numId w:val="6"/>
        </w:numPr>
        <w:tabs>
          <w:tab w:val="left" w:pos="540"/>
        </w:tabs>
        <w:adjustRightInd w:val="0"/>
        <w:snapToGrid w:val="0"/>
        <w:spacing w:line="360" w:lineRule="auto"/>
        <w:rPr>
          <w:rFonts w:hAnsi="宋体" w:cs="Times New Roman"/>
          <w:b/>
          <w:bCs/>
          <w:highlight w:val="none"/>
        </w:rPr>
      </w:pPr>
      <w:r>
        <w:rPr>
          <w:rFonts w:hint="eastAsia" w:hAnsi="宋体"/>
          <w:b/>
          <w:bCs/>
          <w:highlight w:val="none"/>
        </w:rPr>
        <w:t>项目一览表</w:t>
      </w:r>
    </w:p>
    <w:tbl>
      <w:tblPr>
        <w:tblStyle w:val="23"/>
        <w:tblW w:w="1038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Layout w:type="fixed"/>
        <w:tblCellMar>
          <w:top w:w="0" w:type="dxa"/>
          <w:left w:w="108" w:type="dxa"/>
          <w:bottom w:w="0" w:type="dxa"/>
          <w:right w:w="108" w:type="dxa"/>
        </w:tblCellMar>
      </w:tblPr>
      <w:tblGrid>
        <w:gridCol w:w="2317"/>
        <w:gridCol w:w="992"/>
        <w:gridCol w:w="993"/>
        <w:gridCol w:w="2835"/>
        <w:gridCol w:w="1461"/>
        <w:gridCol w:w="178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629" w:hRule="atLeast"/>
          <w:jc w:val="center"/>
        </w:trPr>
        <w:tc>
          <w:tcPr>
            <w:tcW w:w="2317" w:type="dxa"/>
            <w:shd w:val="clear" w:color="auto" w:fill="EEECE1"/>
            <w:vAlign w:val="center"/>
          </w:tcPr>
          <w:p>
            <w:pPr>
              <w:spacing w:line="360" w:lineRule="auto"/>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采购内容</w:t>
            </w:r>
          </w:p>
        </w:tc>
        <w:tc>
          <w:tcPr>
            <w:tcW w:w="992" w:type="dxa"/>
            <w:shd w:val="clear" w:color="auto" w:fill="EEECE1"/>
            <w:vAlign w:val="center"/>
          </w:tcPr>
          <w:p>
            <w:pPr>
              <w:spacing w:line="360" w:lineRule="auto"/>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数量</w:t>
            </w:r>
          </w:p>
        </w:tc>
        <w:tc>
          <w:tcPr>
            <w:tcW w:w="993" w:type="dxa"/>
            <w:tcBorders>
              <w:top w:val="single" w:color="auto" w:sz="12" w:space="0"/>
            </w:tcBorders>
            <w:shd w:val="clear" w:color="auto" w:fill="EEECE1"/>
            <w:vAlign w:val="center"/>
          </w:tcPr>
          <w:p>
            <w:pPr>
              <w:spacing w:line="360" w:lineRule="auto"/>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kern w:val="0"/>
                <w:szCs w:val="21"/>
                <w:highlight w:val="none"/>
              </w:rPr>
              <w:t>单位</w:t>
            </w:r>
          </w:p>
        </w:tc>
        <w:tc>
          <w:tcPr>
            <w:tcW w:w="2835" w:type="dxa"/>
            <w:tcBorders>
              <w:top w:val="single" w:color="auto" w:sz="12" w:space="0"/>
            </w:tcBorders>
            <w:shd w:val="clear" w:color="auto" w:fill="EEECE1"/>
            <w:vAlign w:val="center"/>
          </w:tcPr>
          <w:p>
            <w:pPr>
              <w:spacing w:line="360" w:lineRule="auto"/>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交付时间</w:t>
            </w:r>
          </w:p>
        </w:tc>
        <w:tc>
          <w:tcPr>
            <w:tcW w:w="1461" w:type="dxa"/>
            <w:tcBorders>
              <w:top w:val="single" w:color="auto" w:sz="12" w:space="0"/>
            </w:tcBorders>
            <w:shd w:val="clear" w:color="auto" w:fill="EEECE1"/>
            <w:vAlign w:val="center"/>
          </w:tcPr>
          <w:p>
            <w:pPr>
              <w:spacing w:line="360" w:lineRule="auto"/>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最高限价</w:t>
            </w:r>
          </w:p>
        </w:tc>
        <w:tc>
          <w:tcPr>
            <w:tcW w:w="1789" w:type="dxa"/>
            <w:tcBorders>
              <w:top w:val="single" w:color="auto" w:sz="12" w:space="0"/>
            </w:tcBorders>
            <w:shd w:val="clear" w:color="auto" w:fill="EEECE1"/>
            <w:vAlign w:val="center"/>
          </w:tcPr>
          <w:p>
            <w:pPr>
              <w:spacing w:line="360" w:lineRule="auto"/>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服务期限</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586" w:hRule="atLeast"/>
          <w:jc w:val="center"/>
        </w:trPr>
        <w:tc>
          <w:tcPr>
            <w:tcW w:w="2317" w:type="dxa"/>
            <w:vAlign w:val="center"/>
          </w:tcPr>
          <w:p>
            <w:pPr>
              <w:spacing w:line="360" w:lineRule="auto"/>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2024年顺德区预防接种短信购买短信服务</w:t>
            </w:r>
          </w:p>
        </w:tc>
        <w:tc>
          <w:tcPr>
            <w:tcW w:w="992" w:type="dxa"/>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szCs w:val="21"/>
                <w:highlight w:val="none"/>
              </w:rPr>
              <w:t>1085714</w:t>
            </w:r>
          </w:p>
        </w:tc>
        <w:tc>
          <w:tcPr>
            <w:tcW w:w="993" w:type="dxa"/>
            <w:vAlign w:val="center"/>
          </w:tcPr>
          <w:p>
            <w:pPr>
              <w:pStyle w:val="35"/>
              <w:spacing w:before="0" w:after="0" w:line="360" w:lineRule="auto"/>
              <w:ind w:right="-82" w:rightChars="-39" w:hanging="54"/>
              <w:rPr>
                <w:rFonts w:ascii="宋体" w:hAnsi="宋体" w:cs="宋体"/>
                <w:color w:val="000000" w:themeColor="text1"/>
                <w:spacing w:val="0"/>
                <w:kern w:val="2"/>
                <w:sz w:val="21"/>
                <w:szCs w:val="21"/>
                <w:highlight w:val="none"/>
                <w14:textFill>
                  <w14:solidFill>
                    <w14:schemeClr w14:val="tx1"/>
                  </w14:solidFill>
                </w14:textFill>
              </w:rPr>
            </w:pPr>
            <w:r>
              <w:rPr>
                <w:rFonts w:hint="eastAsia" w:ascii="宋体" w:hAnsi="宋体" w:cs="宋体"/>
                <w:color w:val="000000" w:themeColor="text1"/>
                <w:spacing w:val="0"/>
                <w:kern w:val="2"/>
                <w:sz w:val="21"/>
                <w:szCs w:val="21"/>
                <w:highlight w:val="none"/>
                <w14:textFill>
                  <w14:solidFill>
                    <w14:schemeClr w14:val="tx1"/>
                  </w14:solidFill>
                </w14:textFill>
              </w:rPr>
              <w:t>条</w:t>
            </w:r>
          </w:p>
        </w:tc>
        <w:tc>
          <w:tcPr>
            <w:tcW w:w="2835" w:type="dxa"/>
            <w:vAlign w:val="center"/>
          </w:tcPr>
          <w:p>
            <w:pPr>
              <w:adjustRightInd w:val="0"/>
              <w:snapToGrid w:val="0"/>
              <w:spacing w:line="360" w:lineRule="auto"/>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szCs w:val="21"/>
                <w:highlight w:val="none"/>
              </w:rPr>
              <w:t>在签订合同后7天内完成与省系统承建商的对接，15天内完成短信平台接入。</w:t>
            </w:r>
          </w:p>
        </w:tc>
        <w:tc>
          <w:tcPr>
            <w:tcW w:w="1461" w:type="dxa"/>
            <w:vAlign w:val="center"/>
          </w:tcPr>
          <w:p>
            <w:pPr>
              <w:pStyle w:val="35"/>
              <w:spacing w:before="0" w:after="0" w:line="360" w:lineRule="auto"/>
              <w:ind w:right="-82" w:rightChars="-39" w:hanging="54"/>
              <w:rPr>
                <w:rFonts w:ascii="宋体" w:hAnsi="宋体" w:cs="宋体"/>
                <w:color w:val="000000" w:themeColor="text1"/>
                <w:spacing w:val="0"/>
                <w:kern w:val="2"/>
                <w:sz w:val="21"/>
                <w:szCs w:val="21"/>
                <w:highlight w:val="none"/>
                <w14:textFill>
                  <w14:solidFill>
                    <w14:schemeClr w14:val="tx1"/>
                  </w14:solidFill>
                </w14:textFill>
              </w:rPr>
            </w:pPr>
            <w:r>
              <w:rPr>
                <w:rFonts w:hint="eastAsia" w:ascii="宋体" w:hAnsi="宋体" w:cs="宋体"/>
                <w:color w:val="000000" w:themeColor="text1"/>
                <w:spacing w:val="0"/>
                <w:kern w:val="2"/>
                <w:sz w:val="21"/>
                <w:szCs w:val="21"/>
                <w:highlight w:val="none"/>
                <w14:textFill>
                  <w14:solidFill>
                    <w14:schemeClr w14:val="tx1"/>
                  </w14:solidFill>
                </w14:textFill>
              </w:rPr>
              <w:t>人民币76000元</w:t>
            </w:r>
          </w:p>
        </w:tc>
        <w:tc>
          <w:tcPr>
            <w:tcW w:w="1789" w:type="dxa"/>
            <w:vAlign w:val="center"/>
          </w:tcPr>
          <w:p>
            <w:pPr>
              <w:pStyle w:val="35"/>
              <w:spacing w:before="0" w:after="0" w:line="360" w:lineRule="auto"/>
              <w:ind w:right="-82" w:rightChars="-39" w:hanging="54"/>
              <w:rPr>
                <w:rFonts w:ascii="宋体" w:hAnsi="宋体" w:cs="宋体"/>
                <w:color w:val="000000" w:themeColor="text1"/>
                <w:spacing w:val="0"/>
                <w:kern w:val="2"/>
                <w:sz w:val="21"/>
                <w:szCs w:val="21"/>
                <w:highlight w:val="none"/>
                <w14:textFill>
                  <w14:solidFill>
                    <w14:schemeClr w14:val="tx1"/>
                  </w14:solidFill>
                </w14:textFill>
              </w:rPr>
            </w:pPr>
            <w:r>
              <w:rPr>
                <w:rFonts w:hint="eastAsia" w:ascii="宋体" w:hAnsi="宋体" w:cs="宋体"/>
                <w:color w:val="000000" w:themeColor="text1"/>
                <w:spacing w:val="0"/>
                <w:kern w:val="2"/>
                <w:sz w:val="21"/>
                <w:szCs w:val="21"/>
                <w:highlight w:val="none"/>
                <w14:textFill>
                  <w14:solidFill>
                    <w14:schemeClr w14:val="tx1"/>
                  </w14:solidFill>
                </w14:textFill>
              </w:rPr>
              <w:t>短信不设定使用时限，发完即止</w:t>
            </w:r>
          </w:p>
        </w:tc>
      </w:tr>
    </w:tbl>
    <w:p>
      <w:pPr>
        <w:pStyle w:val="15"/>
        <w:numPr>
          <w:ilvl w:val="0"/>
          <w:numId w:val="6"/>
        </w:numPr>
        <w:tabs>
          <w:tab w:val="left" w:pos="540"/>
        </w:tabs>
        <w:adjustRightInd w:val="0"/>
        <w:snapToGrid w:val="0"/>
        <w:spacing w:line="360" w:lineRule="auto"/>
        <w:rPr>
          <w:rFonts w:hAnsi="宋体"/>
          <w:b/>
          <w:bCs/>
          <w:highlight w:val="none"/>
        </w:rPr>
      </w:pPr>
      <w:r>
        <w:rPr>
          <w:rFonts w:hint="eastAsia" w:hAnsi="宋体"/>
          <w:b/>
          <w:bCs/>
          <w:highlight w:val="none"/>
        </w:rPr>
        <w:t>内容简述：</w:t>
      </w:r>
    </w:p>
    <w:p>
      <w:pPr>
        <w:pStyle w:val="15"/>
        <w:tabs>
          <w:tab w:val="left" w:pos="540"/>
        </w:tabs>
        <w:adjustRightInd w:val="0"/>
        <w:snapToGrid w:val="0"/>
        <w:spacing w:line="360" w:lineRule="auto"/>
        <w:ind w:firstLine="420" w:firstLineChars="200"/>
        <w:rPr>
          <w:highlight w:val="none"/>
        </w:rPr>
      </w:pPr>
      <w:r>
        <w:rPr>
          <w:rFonts w:hint="eastAsia"/>
          <w:highlight w:val="none"/>
        </w:rPr>
        <w:t>依据《中华人民共和国疫苗管理法》、《预防接种工作规范2023版》等要求，预防接种工作人员采取口头预约、书面预约、电话联系、手机短信（微信）告知、邮件通知、广播通知、公示告知等方式，通知儿童监护人或受种者到场接种，告知接种疫苗的种类、时间、地点和相关要求，同时应定期筛查需漏种、补种的人员名单进行补发通知。为贯彻相关法律法规要求，落实及时、批量通知漏种儿童补种疫苗，现需购买短信1085714条，供全区24个预防接种门诊使用。</w:t>
      </w:r>
    </w:p>
    <w:p>
      <w:pPr>
        <w:pStyle w:val="15"/>
        <w:numPr>
          <w:ilvl w:val="0"/>
          <w:numId w:val="6"/>
        </w:numPr>
        <w:tabs>
          <w:tab w:val="left" w:pos="540"/>
        </w:tabs>
        <w:adjustRightInd w:val="0"/>
        <w:snapToGrid w:val="0"/>
        <w:spacing w:line="360" w:lineRule="auto"/>
        <w:rPr>
          <w:rFonts w:hAnsi="宋体"/>
          <w:b/>
          <w:bCs/>
          <w:highlight w:val="none"/>
        </w:rPr>
      </w:pPr>
      <w:r>
        <w:rPr>
          <w:rFonts w:hint="eastAsia" w:hAnsi="宋体"/>
          <w:b/>
          <w:bCs/>
          <w:highlight w:val="none"/>
        </w:rPr>
        <w:t>技术参数：</w:t>
      </w:r>
    </w:p>
    <w:p>
      <w:pPr>
        <w:pStyle w:val="15"/>
        <w:tabs>
          <w:tab w:val="left" w:pos="540"/>
        </w:tabs>
        <w:adjustRightInd w:val="0"/>
        <w:snapToGrid w:val="0"/>
        <w:spacing w:line="360" w:lineRule="auto"/>
        <w:ind w:firstLine="420" w:firstLineChars="200"/>
        <w:rPr>
          <w:highlight w:val="none"/>
        </w:rPr>
      </w:pPr>
      <w:r>
        <w:rPr>
          <w:rFonts w:hint="eastAsia"/>
          <w:highlight w:val="none"/>
        </w:rPr>
        <w:t>通过主流短信平台与广东省疫苗流通与接种管理信息系统对接，支持省系统内免疫规划疫苗、新冠疫苗等查漏补种/到期未种等疫苗的短信发送。</w:t>
      </w:r>
    </w:p>
    <w:p>
      <w:pPr>
        <w:pStyle w:val="15"/>
        <w:numPr>
          <w:ilvl w:val="0"/>
          <w:numId w:val="6"/>
        </w:numPr>
        <w:tabs>
          <w:tab w:val="left" w:pos="540"/>
        </w:tabs>
        <w:adjustRightInd w:val="0"/>
        <w:snapToGrid w:val="0"/>
        <w:spacing w:line="360" w:lineRule="auto"/>
        <w:rPr>
          <w:rFonts w:hAnsi="宋体"/>
          <w:b/>
          <w:bCs/>
          <w:highlight w:val="none"/>
        </w:rPr>
      </w:pPr>
      <w:r>
        <w:rPr>
          <w:rFonts w:hint="eastAsia" w:hAnsi="宋体"/>
          <w:b/>
          <w:bCs/>
          <w:highlight w:val="none"/>
        </w:rPr>
        <w:t>具体服务内容：</w:t>
      </w:r>
    </w:p>
    <w:tbl>
      <w:tblPr>
        <w:tblStyle w:val="23"/>
        <w:tblW w:w="101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4"/>
        <w:gridCol w:w="1079"/>
        <w:gridCol w:w="5918"/>
        <w:gridCol w:w="1155"/>
        <w:gridCol w:w="12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jc w:val="center"/>
        </w:trPr>
        <w:tc>
          <w:tcPr>
            <w:tcW w:w="754" w:type="dxa"/>
            <w:vAlign w:val="center"/>
          </w:tcPr>
          <w:p>
            <w:pPr>
              <w:widowControl/>
              <w:spacing w:line="320" w:lineRule="exact"/>
              <w:jc w:val="center"/>
              <w:rPr>
                <w:rFonts w:ascii="宋体" w:hAnsi="宋体" w:cs="宋体"/>
                <w:b/>
                <w:color w:val="000000"/>
                <w:kern w:val="0"/>
                <w:szCs w:val="21"/>
                <w:highlight w:val="none"/>
              </w:rPr>
            </w:pPr>
            <w:r>
              <w:rPr>
                <w:rFonts w:hint="eastAsia" w:ascii="宋体" w:hAnsi="宋体" w:cs="宋体"/>
                <w:b/>
                <w:color w:val="000000"/>
                <w:kern w:val="0"/>
                <w:szCs w:val="21"/>
                <w:highlight w:val="none"/>
              </w:rPr>
              <w:t>序号</w:t>
            </w:r>
          </w:p>
        </w:tc>
        <w:tc>
          <w:tcPr>
            <w:tcW w:w="1079" w:type="dxa"/>
            <w:vAlign w:val="center"/>
          </w:tcPr>
          <w:p>
            <w:pPr>
              <w:widowControl/>
              <w:spacing w:line="320" w:lineRule="exact"/>
              <w:jc w:val="center"/>
              <w:rPr>
                <w:rFonts w:ascii="宋体" w:hAnsi="宋体" w:cs="宋体"/>
                <w:b/>
                <w:color w:val="000000"/>
                <w:kern w:val="0"/>
                <w:szCs w:val="21"/>
                <w:highlight w:val="none"/>
              </w:rPr>
            </w:pPr>
            <w:r>
              <w:rPr>
                <w:rFonts w:hint="eastAsia" w:ascii="宋体" w:hAnsi="宋体" w:cs="宋体"/>
                <w:b/>
                <w:color w:val="000000"/>
                <w:kern w:val="0"/>
                <w:szCs w:val="21"/>
                <w:highlight w:val="none"/>
              </w:rPr>
              <w:t>名称</w:t>
            </w:r>
          </w:p>
        </w:tc>
        <w:tc>
          <w:tcPr>
            <w:tcW w:w="5918" w:type="dxa"/>
            <w:vAlign w:val="center"/>
          </w:tcPr>
          <w:p>
            <w:pPr>
              <w:widowControl/>
              <w:spacing w:line="320" w:lineRule="exact"/>
              <w:jc w:val="center"/>
              <w:rPr>
                <w:rFonts w:ascii="宋体" w:hAnsi="宋体" w:cs="宋体"/>
                <w:b/>
                <w:color w:val="000000"/>
                <w:kern w:val="0"/>
                <w:szCs w:val="21"/>
                <w:highlight w:val="none"/>
              </w:rPr>
            </w:pPr>
            <w:r>
              <w:rPr>
                <w:rFonts w:hint="eastAsia" w:ascii="宋体" w:hAnsi="宋体" w:cs="宋体"/>
                <w:b/>
                <w:color w:val="000000"/>
                <w:kern w:val="0"/>
                <w:szCs w:val="21"/>
                <w:highlight w:val="none"/>
              </w:rPr>
              <w:t>服务内容</w:t>
            </w:r>
          </w:p>
        </w:tc>
        <w:tc>
          <w:tcPr>
            <w:tcW w:w="1155" w:type="dxa"/>
            <w:vAlign w:val="center"/>
          </w:tcPr>
          <w:p>
            <w:pPr>
              <w:widowControl/>
              <w:spacing w:line="320" w:lineRule="exact"/>
              <w:jc w:val="center"/>
              <w:rPr>
                <w:rFonts w:ascii="宋体" w:hAnsi="宋体" w:cs="宋体"/>
                <w:b/>
                <w:color w:val="000000"/>
                <w:kern w:val="0"/>
                <w:szCs w:val="21"/>
                <w:highlight w:val="none"/>
              </w:rPr>
            </w:pPr>
            <w:r>
              <w:rPr>
                <w:rFonts w:hint="eastAsia" w:ascii="宋体" w:hAnsi="宋体" w:cs="宋体"/>
                <w:b/>
                <w:color w:val="000000"/>
                <w:kern w:val="0"/>
                <w:szCs w:val="21"/>
                <w:highlight w:val="none"/>
              </w:rPr>
              <w:t>单位</w:t>
            </w:r>
          </w:p>
        </w:tc>
        <w:tc>
          <w:tcPr>
            <w:tcW w:w="1210" w:type="dxa"/>
            <w:vAlign w:val="center"/>
          </w:tcPr>
          <w:p>
            <w:pPr>
              <w:widowControl/>
              <w:spacing w:line="320" w:lineRule="exact"/>
              <w:jc w:val="center"/>
              <w:rPr>
                <w:rFonts w:ascii="宋体" w:hAnsi="宋体" w:cs="宋体"/>
                <w:b/>
                <w:color w:val="000000"/>
                <w:kern w:val="0"/>
                <w:szCs w:val="21"/>
                <w:highlight w:val="none"/>
              </w:rPr>
            </w:pPr>
            <w:r>
              <w:rPr>
                <w:rFonts w:hint="eastAsia" w:ascii="宋体" w:hAnsi="宋体" w:cs="宋体"/>
                <w:b/>
                <w:color w:val="000000"/>
                <w:kern w:val="0"/>
                <w:szCs w:val="21"/>
                <w:highlight w:val="none"/>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4" w:type="dxa"/>
            <w:vAlign w:val="center"/>
          </w:tcPr>
          <w:p>
            <w:pPr>
              <w:spacing w:line="320" w:lineRule="exact"/>
              <w:jc w:val="center"/>
              <w:rPr>
                <w:rFonts w:ascii="宋体" w:hAnsi="宋体" w:cs="宋体"/>
                <w:bCs/>
                <w:color w:val="000000"/>
                <w:kern w:val="0"/>
                <w:szCs w:val="21"/>
                <w:highlight w:val="none"/>
              </w:rPr>
            </w:pPr>
            <w:r>
              <w:rPr>
                <w:rFonts w:hint="eastAsia" w:ascii="宋体" w:hAnsi="宋体" w:cs="宋体"/>
                <w:bCs/>
                <w:color w:val="000000"/>
                <w:kern w:val="0"/>
                <w:szCs w:val="21"/>
                <w:highlight w:val="none"/>
              </w:rPr>
              <w:t>1</w:t>
            </w:r>
          </w:p>
        </w:tc>
        <w:tc>
          <w:tcPr>
            <w:tcW w:w="1079" w:type="dxa"/>
            <w:vAlign w:val="center"/>
          </w:tcPr>
          <w:p>
            <w:pPr>
              <w:pStyle w:val="45"/>
              <w:spacing w:line="320" w:lineRule="exact"/>
              <w:rPr>
                <w:rFonts w:ascii="宋体" w:hAnsi="宋体" w:eastAsia="宋体"/>
                <w:color w:val="000000"/>
                <w:szCs w:val="21"/>
                <w:highlight w:val="none"/>
                <w:lang w:bidi="ar"/>
              </w:rPr>
            </w:pPr>
            <w:r>
              <w:rPr>
                <w:rFonts w:hint="eastAsia" w:ascii="宋体" w:hAnsi="宋体" w:eastAsia="宋体"/>
                <w:color w:val="000000"/>
                <w:szCs w:val="21"/>
                <w:highlight w:val="none"/>
                <w:lang w:bidi="ar"/>
              </w:rPr>
              <w:t>短信预约接种、宣传与验证服务</w:t>
            </w:r>
          </w:p>
        </w:tc>
        <w:tc>
          <w:tcPr>
            <w:tcW w:w="5918" w:type="dxa"/>
          </w:tcPr>
          <w:p>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通过主流短信平台与广东省疫苗流通与接种管理信息系统对接，支持免疫规划疫苗或新冠疫苗查漏补种/到期未种等告知短信发送。具体能力为：</w:t>
            </w:r>
          </w:p>
          <w:p>
            <w:pPr>
              <w:numPr>
                <w:ilvl w:val="0"/>
                <w:numId w:val="7"/>
              </w:numPr>
              <w:spacing w:line="326" w:lineRule="auto"/>
              <w:ind w:left="420" w:hanging="420" w:hangingChars="200"/>
              <w:rPr>
                <w:rFonts w:ascii="宋体" w:hAnsi="宋体"/>
                <w:color w:val="000000"/>
                <w:szCs w:val="21"/>
                <w:highlight w:val="none"/>
              </w:rPr>
            </w:pPr>
            <w:r>
              <w:rPr>
                <w:rFonts w:hint="eastAsia" w:ascii="宋体" w:hAnsi="宋体"/>
                <w:color w:val="000000"/>
                <w:szCs w:val="21"/>
                <w:highlight w:val="none"/>
              </w:rPr>
              <w:t>短信可接收对象的覆盖范围应为三网国内手机号码。</w:t>
            </w:r>
          </w:p>
          <w:p>
            <w:pPr>
              <w:numPr>
                <w:ilvl w:val="0"/>
                <w:numId w:val="7"/>
              </w:numPr>
              <w:spacing w:line="326" w:lineRule="auto"/>
              <w:ind w:left="420" w:hanging="420" w:hangingChars="200"/>
              <w:rPr>
                <w:rFonts w:ascii="宋体" w:hAnsi="宋体"/>
                <w:color w:val="000000"/>
                <w:szCs w:val="21"/>
                <w:highlight w:val="none"/>
              </w:rPr>
            </w:pPr>
            <w:r>
              <w:rPr>
                <w:rFonts w:hint="eastAsia" w:ascii="宋体" w:hAnsi="宋体"/>
                <w:color w:val="000000"/>
                <w:szCs w:val="21"/>
                <w:highlight w:val="none"/>
              </w:rPr>
              <w:t>短信内容可编辑或有具体疫苗种类模板，短信署名为接种单位。</w:t>
            </w:r>
          </w:p>
          <w:p>
            <w:pPr>
              <w:numPr>
                <w:ilvl w:val="0"/>
                <w:numId w:val="7"/>
              </w:numPr>
              <w:spacing w:line="326" w:lineRule="auto"/>
              <w:ind w:left="420" w:hanging="420" w:hangingChars="200"/>
              <w:rPr>
                <w:rFonts w:ascii="宋体" w:hAnsi="宋体"/>
                <w:color w:val="000000"/>
                <w:szCs w:val="21"/>
                <w:highlight w:val="none"/>
              </w:rPr>
            </w:pPr>
            <w:r>
              <w:rPr>
                <w:rFonts w:hint="eastAsia" w:ascii="宋体" w:hAnsi="宋体"/>
                <w:color w:val="000000"/>
                <w:szCs w:val="21"/>
                <w:highlight w:val="none"/>
              </w:rPr>
              <w:t>可支持5G消息短信，覆盖三网国内手机用户，为用户提供内容更加丰富的富媒体信息服务，带来全新的人机交互模式，用户在消息窗口内就能完成疫苗接种预约、疫苗宣传内容交互等一站式的业务体验，显著提升用户体验和消息价值。</w:t>
            </w:r>
          </w:p>
          <w:p>
            <w:pPr>
              <w:numPr>
                <w:ilvl w:val="0"/>
                <w:numId w:val="7"/>
              </w:numPr>
              <w:spacing w:line="326" w:lineRule="auto"/>
              <w:ind w:left="420" w:hanging="420" w:hangingChars="200"/>
              <w:rPr>
                <w:rFonts w:ascii="宋体" w:hAnsi="宋体"/>
                <w:color w:val="000000"/>
                <w:szCs w:val="21"/>
                <w:highlight w:val="none"/>
              </w:rPr>
            </w:pPr>
            <w:r>
              <w:rPr>
                <w:rFonts w:hint="eastAsia" w:ascii="宋体" w:hAnsi="宋体"/>
                <w:color w:val="000000"/>
                <w:szCs w:val="21"/>
                <w:highlight w:val="none"/>
              </w:rPr>
              <w:t>能结合“广东省疫苗流通与接种管理信息系统”中的查漏补种/到期未种功能发送短信，且短信内容可有具体的查漏对象名字和应种疫苗；若个案存在两个号码，只发送给其中一个号码，自动识别发送不成功的手机号码并反馈给接种单位。</w:t>
            </w:r>
          </w:p>
          <w:p>
            <w:pPr>
              <w:numPr>
                <w:ilvl w:val="0"/>
                <w:numId w:val="7"/>
              </w:numPr>
              <w:spacing w:line="326" w:lineRule="auto"/>
              <w:ind w:left="420" w:hanging="420" w:hangingChars="200"/>
              <w:rPr>
                <w:rFonts w:ascii="宋体" w:hAnsi="宋体"/>
                <w:color w:val="000000"/>
                <w:szCs w:val="21"/>
                <w:highlight w:val="none"/>
              </w:rPr>
            </w:pPr>
            <w:r>
              <w:rPr>
                <w:rFonts w:hint="eastAsia" w:ascii="宋体" w:hAnsi="宋体"/>
                <w:color w:val="000000"/>
                <w:szCs w:val="21"/>
                <w:highlight w:val="none"/>
              </w:rPr>
              <w:t>实发实减，不设定最后发送限期，区内总账号进行统一调控子账号的使用量，及时反馈账号所剩余短信数量。</w:t>
            </w:r>
          </w:p>
          <w:p>
            <w:pPr>
              <w:numPr>
                <w:ilvl w:val="0"/>
                <w:numId w:val="7"/>
              </w:numPr>
              <w:spacing w:line="326" w:lineRule="auto"/>
              <w:ind w:left="420" w:hanging="420" w:hangingChars="200"/>
              <w:rPr>
                <w:highlight w:val="none"/>
              </w:rPr>
            </w:pPr>
            <w:r>
              <w:rPr>
                <w:rFonts w:hint="eastAsia" w:ascii="宋体" w:hAnsi="宋体"/>
                <w:color w:val="000000"/>
                <w:szCs w:val="21"/>
                <w:highlight w:val="none"/>
              </w:rPr>
              <w:t>售后服务要求：24小时在线向接种门诊提供短信发送的技术支持。</w:t>
            </w:r>
          </w:p>
        </w:tc>
        <w:tc>
          <w:tcPr>
            <w:tcW w:w="1155" w:type="dxa"/>
            <w:vAlign w:val="center"/>
          </w:tcPr>
          <w:p>
            <w:pPr>
              <w:pStyle w:val="46"/>
              <w:spacing w:line="320" w:lineRule="exact"/>
              <w:ind w:firstLine="0"/>
              <w:jc w:val="center"/>
              <w:rPr>
                <w:rFonts w:ascii="宋体" w:hAnsi="宋体"/>
                <w:color w:val="000000"/>
                <w:kern w:val="0"/>
                <w:sz w:val="21"/>
                <w:szCs w:val="21"/>
                <w:highlight w:val="none"/>
                <w:lang w:eastAsia="zh-CN" w:bidi="ar-SA"/>
              </w:rPr>
            </w:pPr>
            <w:r>
              <w:rPr>
                <w:rFonts w:hint="eastAsia" w:ascii="宋体" w:hAnsi="宋体"/>
                <w:color w:val="000000"/>
                <w:kern w:val="0"/>
                <w:sz w:val="21"/>
                <w:szCs w:val="21"/>
                <w:highlight w:val="none"/>
                <w:lang w:eastAsia="zh-CN" w:bidi="ar-SA"/>
              </w:rPr>
              <w:t>接种门诊</w:t>
            </w:r>
          </w:p>
        </w:tc>
        <w:tc>
          <w:tcPr>
            <w:tcW w:w="1210" w:type="dxa"/>
            <w:vAlign w:val="center"/>
          </w:tcPr>
          <w:p>
            <w:pPr>
              <w:pStyle w:val="46"/>
              <w:spacing w:line="320" w:lineRule="exact"/>
              <w:ind w:firstLine="0"/>
              <w:jc w:val="center"/>
              <w:rPr>
                <w:rFonts w:ascii="宋体" w:hAnsi="宋体"/>
                <w:color w:val="000000"/>
                <w:kern w:val="0"/>
                <w:sz w:val="21"/>
                <w:szCs w:val="21"/>
                <w:highlight w:val="none"/>
                <w:lang w:eastAsia="zh-CN" w:bidi="ar-SA"/>
              </w:rPr>
            </w:pPr>
            <w:r>
              <w:rPr>
                <w:rFonts w:hint="eastAsia" w:ascii="宋体" w:hAnsi="宋体"/>
                <w:color w:val="000000"/>
                <w:kern w:val="0"/>
                <w:sz w:val="21"/>
                <w:szCs w:val="21"/>
                <w:highlight w:val="none"/>
                <w:lang w:eastAsia="zh-CN" w:bidi="ar-SA"/>
              </w:rPr>
              <w:t>24个</w:t>
            </w:r>
          </w:p>
        </w:tc>
      </w:tr>
    </w:tbl>
    <w:p>
      <w:pPr>
        <w:pStyle w:val="15"/>
        <w:numPr>
          <w:ilvl w:val="0"/>
          <w:numId w:val="6"/>
        </w:numPr>
        <w:tabs>
          <w:tab w:val="left" w:pos="540"/>
        </w:tabs>
        <w:adjustRightInd w:val="0"/>
        <w:snapToGrid w:val="0"/>
        <w:spacing w:line="360" w:lineRule="auto"/>
        <w:rPr>
          <w:rFonts w:hAnsi="宋体"/>
          <w:b/>
          <w:bCs/>
          <w:highlight w:val="none"/>
        </w:rPr>
      </w:pPr>
      <w:r>
        <w:rPr>
          <w:rFonts w:hint="eastAsia" w:hAnsi="宋体"/>
          <w:b/>
          <w:bCs/>
          <w:highlight w:val="none"/>
        </w:rPr>
        <w:t>服务要求</w:t>
      </w:r>
    </w:p>
    <w:tbl>
      <w:tblPr>
        <w:tblStyle w:val="23"/>
        <w:tblW w:w="100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9"/>
        <w:gridCol w:w="1444"/>
        <w:gridCol w:w="6647"/>
        <w:gridCol w:w="11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9" w:type="dxa"/>
            <w:vAlign w:val="center"/>
          </w:tcPr>
          <w:p>
            <w:pPr>
              <w:widowControl/>
              <w:spacing w:line="360" w:lineRule="auto"/>
              <w:jc w:val="center"/>
              <w:rPr>
                <w:rFonts w:ascii="宋体" w:hAnsi="宋体" w:cs="宋体"/>
                <w:b/>
                <w:color w:val="000000"/>
                <w:kern w:val="0"/>
                <w:szCs w:val="21"/>
                <w:highlight w:val="none"/>
              </w:rPr>
            </w:pPr>
            <w:r>
              <w:rPr>
                <w:rFonts w:hint="eastAsia" w:ascii="宋体" w:hAnsi="宋体" w:cs="宋体"/>
                <w:b/>
                <w:color w:val="000000"/>
                <w:kern w:val="0"/>
                <w:szCs w:val="21"/>
                <w:highlight w:val="none"/>
              </w:rPr>
              <w:t>序号</w:t>
            </w:r>
          </w:p>
        </w:tc>
        <w:tc>
          <w:tcPr>
            <w:tcW w:w="1444" w:type="dxa"/>
            <w:vAlign w:val="center"/>
          </w:tcPr>
          <w:p>
            <w:pPr>
              <w:widowControl/>
              <w:spacing w:line="360" w:lineRule="auto"/>
              <w:jc w:val="center"/>
              <w:rPr>
                <w:rFonts w:ascii="宋体" w:hAnsi="宋体" w:cs="宋体"/>
                <w:b/>
                <w:color w:val="000000"/>
                <w:kern w:val="0"/>
                <w:szCs w:val="21"/>
                <w:highlight w:val="none"/>
              </w:rPr>
            </w:pPr>
            <w:r>
              <w:rPr>
                <w:rFonts w:hint="eastAsia" w:ascii="宋体" w:hAnsi="宋体" w:cs="宋体"/>
                <w:b/>
                <w:color w:val="000000"/>
                <w:kern w:val="0"/>
                <w:szCs w:val="21"/>
                <w:highlight w:val="none"/>
              </w:rPr>
              <w:t>名称</w:t>
            </w:r>
          </w:p>
        </w:tc>
        <w:tc>
          <w:tcPr>
            <w:tcW w:w="6647" w:type="dxa"/>
            <w:vAlign w:val="center"/>
          </w:tcPr>
          <w:p>
            <w:pPr>
              <w:widowControl/>
              <w:spacing w:line="360" w:lineRule="auto"/>
              <w:jc w:val="center"/>
              <w:rPr>
                <w:rFonts w:ascii="宋体" w:hAnsi="宋体" w:cs="宋体"/>
                <w:b/>
                <w:color w:val="000000"/>
                <w:kern w:val="0"/>
                <w:szCs w:val="21"/>
                <w:highlight w:val="none"/>
              </w:rPr>
            </w:pPr>
            <w:r>
              <w:rPr>
                <w:rFonts w:hint="eastAsia" w:ascii="宋体" w:hAnsi="宋体" w:cs="宋体"/>
                <w:b/>
                <w:color w:val="000000"/>
                <w:kern w:val="0"/>
                <w:szCs w:val="21"/>
                <w:highlight w:val="none"/>
              </w:rPr>
              <w:t>技术参数</w:t>
            </w:r>
          </w:p>
        </w:tc>
        <w:tc>
          <w:tcPr>
            <w:tcW w:w="1172" w:type="dxa"/>
            <w:vAlign w:val="center"/>
          </w:tcPr>
          <w:p>
            <w:pPr>
              <w:widowControl/>
              <w:spacing w:line="360" w:lineRule="auto"/>
              <w:jc w:val="center"/>
              <w:rPr>
                <w:rFonts w:ascii="宋体" w:hAnsi="宋体" w:cs="宋体"/>
                <w:b/>
                <w:color w:val="000000"/>
                <w:kern w:val="0"/>
                <w:szCs w:val="21"/>
                <w:highlight w:val="none"/>
              </w:rPr>
            </w:pPr>
            <w:r>
              <w:rPr>
                <w:rFonts w:hint="eastAsia" w:ascii="宋体" w:hAnsi="宋体" w:cs="宋体"/>
                <w:b/>
                <w:color w:val="000000"/>
                <w:kern w:val="0"/>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9" w:type="dxa"/>
            <w:vAlign w:val="center"/>
          </w:tcPr>
          <w:p>
            <w:pPr>
              <w:spacing w:line="360" w:lineRule="auto"/>
              <w:jc w:val="center"/>
              <w:rPr>
                <w:rFonts w:ascii="宋体" w:hAnsi="宋体" w:cs="宋体"/>
                <w:bCs/>
                <w:color w:val="000000"/>
                <w:kern w:val="0"/>
                <w:szCs w:val="21"/>
                <w:highlight w:val="none"/>
              </w:rPr>
            </w:pPr>
            <w:r>
              <w:rPr>
                <w:rFonts w:hint="eastAsia" w:ascii="宋体" w:hAnsi="宋体" w:cs="宋体"/>
                <w:bCs/>
                <w:color w:val="000000"/>
                <w:kern w:val="0"/>
                <w:szCs w:val="21"/>
                <w:highlight w:val="none"/>
              </w:rPr>
              <w:t>1</w:t>
            </w:r>
          </w:p>
        </w:tc>
        <w:tc>
          <w:tcPr>
            <w:tcW w:w="1444" w:type="dxa"/>
            <w:vAlign w:val="center"/>
          </w:tcPr>
          <w:p>
            <w:pPr>
              <w:widowControl/>
              <w:spacing w:line="360" w:lineRule="auto"/>
              <w:jc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项目主要服务内容</w:t>
            </w:r>
          </w:p>
        </w:tc>
        <w:tc>
          <w:tcPr>
            <w:tcW w:w="6647" w:type="dxa"/>
            <w:vAlign w:val="center"/>
          </w:tcPr>
          <w:p>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1.短信内容可编辑或有具体疫苗种类模板，短信署名为接种单位。</w:t>
            </w:r>
          </w:p>
          <w:p>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2.实现与“广东省疫苗流通与接种管理信息系统”对接，结合“广东省疫苗流通与接种管理信息系统”中的查漏补种/到期未种功能发送短信，且短信内容可有具体的查漏对象名字；若个案存在两个号码，只发送给其中一个号码，自动识别发送不成功的手机号码并反馈具体原因给接种单位。</w:t>
            </w:r>
          </w:p>
          <w:p>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3.区级与接种点都有相应的账号，区级可授权短信数量，并对接种单位发送短信内容进行审核。</w:t>
            </w:r>
          </w:p>
          <w:p>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4.系统应有短信发送的数量统计界面，总额度即将用完（如超过80%），应定期进行提醒所剩额度。</w:t>
            </w:r>
          </w:p>
          <w:p>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5.短信可接收对象的覆盖范围应为三网国内手机号码。</w:t>
            </w:r>
          </w:p>
          <w:p>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6.短信平台支持垃圾短信分析拦截、敏感关键字识别拦截、黑名单拦截等短信安全管理功能，可根据用户实际情况和客户的具体需求，进行调整敏感关键字的能力。</w:t>
            </w:r>
          </w:p>
          <w:p>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7.可支持5G消息短信，覆盖三网手机用户，为用户提供内容更加丰富的富媒体信息服务，用户在消息窗口内就能完成疫苗接种预约、疫苗宣传内容交互等一站式的业务体验，显著提升用户体验和消息价值。</w:t>
            </w:r>
          </w:p>
          <w:p>
            <w:pPr>
              <w:spacing w:line="360" w:lineRule="auto"/>
              <w:ind w:firstLine="420" w:firstLineChars="200"/>
              <w:rPr>
                <w:rFonts w:ascii="宋体" w:hAnsi="宋体"/>
                <w:color w:val="000000"/>
                <w:szCs w:val="21"/>
                <w:highlight w:val="none"/>
                <w:lang w:bidi="ar"/>
              </w:rPr>
            </w:pPr>
            <w:r>
              <w:rPr>
                <w:rFonts w:hint="eastAsia" w:ascii="宋体" w:hAnsi="宋体"/>
                <w:color w:val="000000"/>
                <w:szCs w:val="21"/>
                <w:highlight w:val="none"/>
              </w:rPr>
              <w:t>8.为保证短信平台的使用稳定性，短信平台架构需基于主流微服务架构，满足高可用，易扩展的技术特性。</w:t>
            </w:r>
          </w:p>
        </w:tc>
        <w:tc>
          <w:tcPr>
            <w:tcW w:w="1172" w:type="dxa"/>
            <w:vAlign w:val="center"/>
          </w:tcPr>
          <w:p>
            <w:pPr>
              <w:widowControl/>
              <w:spacing w:line="360" w:lineRule="auto"/>
              <w:jc w:val="center"/>
              <w:rPr>
                <w:rFonts w:ascii="宋体" w:hAnsi="宋体" w:cs="宋体"/>
                <w:color w:val="000000"/>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9" w:type="dxa"/>
            <w:vAlign w:val="center"/>
          </w:tcPr>
          <w:p>
            <w:pPr>
              <w:spacing w:line="360" w:lineRule="auto"/>
              <w:jc w:val="center"/>
              <w:rPr>
                <w:rFonts w:ascii="宋体" w:hAnsi="宋体"/>
                <w:color w:val="000000"/>
                <w:szCs w:val="21"/>
                <w:highlight w:val="none"/>
              </w:rPr>
            </w:pPr>
            <w:r>
              <w:rPr>
                <w:rFonts w:hint="eastAsia" w:ascii="宋体" w:hAnsi="宋体"/>
                <w:color w:val="000000"/>
                <w:szCs w:val="21"/>
                <w:highlight w:val="none"/>
              </w:rPr>
              <w:t>2</w:t>
            </w:r>
          </w:p>
        </w:tc>
        <w:tc>
          <w:tcPr>
            <w:tcW w:w="1444" w:type="dxa"/>
            <w:vAlign w:val="center"/>
          </w:tcPr>
          <w:p>
            <w:pPr>
              <w:widowControl/>
              <w:spacing w:line="360" w:lineRule="auto"/>
              <w:jc w:val="center"/>
              <w:rPr>
                <w:rFonts w:ascii="宋体" w:hAnsi="宋体"/>
                <w:color w:val="000000"/>
                <w:szCs w:val="21"/>
                <w:highlight w:val="none"/>
              </w:rPr>
            </w:pPr>
            <w:r>
              <w:rPr>
                <w:rFonts w:hint="eastAsia" w:ascii="宋体" w:hAnsi="宋体"/>
                <w:color w:val="000000"/>
                <w:szCs w:val="21"/>
                <w:highlight w:val="none"/>
              </w:rPr>
              <w:t>项目实施团队要求</w:t>
            </w:r>
          </w:p>
        </w:tc>
        <w:tc>
          <w:tcPr>
            <w:tcW w:w="6647" w:type="dxa"/>
            <w:vAlign w:val="center"/>
          </w:tcPr>
          <w:p>
            <w:pPr>
              <w:widowControl/>
              <w:spacing w:line="360" w:lineRule="auto"/>
              <w:rPr>
                <w:rFonts w:ascii="宋体" w:hAnsi="宋体"/>
                <w:color w:val="000000"/>
                <w:szCs w:val="21"/>
                <w:highlight w:val="none"/>
              </w:rPr>
            </w:pPr>
            <w:r>
              <w:rPr>
                <w:rFonts w:hint="eastAsia" w:ascii="宋体" w:hAnsi="宋体"/>
                <w:color w:val="000000"/>
                <w:szCs w:val="21"/>
                <w:highlight w:val="none"/>
              </w:rPr>
              <w:t>要求供应商针对本项目设立项目团队，其中要求项目经理具备项目管理相关证书，具备PMP证书或信息系统项目管理师、具备CISP信息安全工程师证书、具备软件设计师证书、具备系统集成项目管理工程师证书，以上5项证书其中具备1项均可。其他项目团队成员总人数不少于5人，持证上岗</w:t>
            </w:r>
          </w:p>
        </w:tc>
        <w:tc>
          <w:tcPr>
            <w:tcW w:w="1172" w:type="dxa"/>
            <w:vAlign w:val="center"/>
          </w:tcPr>
          <w:p>
            <w:pPr>
              <w:widowControl/>
              <w:spacing w:line="360" w:lineRule="auto"/>
              <w:jc w:val="center"/>
              <w:rPr>
                <w:rFonts w:ascii="宋体" w:hAnsi="宋体" w:cs="宋体"/>
                <w:color w:val="000000"/>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9" w:type="dxa"/>
            <w:vAlign w:val="center"/>
          </w:tcPr>
          <w:p>
            <w:pPr>
              <w:spacing w:line="360" w:lineRule="auto"/>
              <w:jc w:val="center"/>
              <w:rPr>
                <w:rFonts w:ascii="宋体" w:hAnsi="宋体"/>
                <w:color w:val="000000"/>
                <w:szCs w:val="21"/>
                <w:highlight w:val="none"/>
              </w:rPr>
            </w:pPr>
            <w:r>
              <w:rPr>
                <w:rFonts w:hint="eastAsia" w:ascii="宋体" w:hAnsi="宋体"/>
                <w:color w:val="000000"/>
                <w:szCs w:val="21"/>
                <w:highlight w:val="none"/>
              </w:rPr>
              <w:t>3</w:t>
            </w:r>
          </w:p>
        </w:tc>
        <w:tc>
          <w:tcPr>
            <w:tcW w:w="1444" w:type="dxa"/>
            <w:vAlign w:val="center"/>
          </w:tcPr>
          <w:p>
            <w:pPr>
              <w:widowControl/>
              <w:spacing w:line="360" w:lineRule="auto"/>
              <w:jc w:val="center"/>
              <w:rPr>
                <w:rFonts w:ascii="宋体" w:hAnsi="宋体"/>
                <w:color w:val="000000"/>
                <w:szCs w:val="21"/>
                <w:highlight w:val="none"/>
              </w:rPr>
            </w:pPr>
            <w:r>
              <w:rPr>
                <w:rFonts w:hint="eastAsia" w:ascii="宋体" w:hAnsi="宋体"/>
                <w:color w:val="000000"/>
                <w:szCs w:val="21"/>
                <w:highlight w:val="none"/>
              </w:rPr>
              <w:t>完成项目能力</w:t>
            </w:r>
          </w:p>
        </w:tc>
        <w:tc>
          <w:tcPr>
            <w:tcW w:w="6647" w:type="dxa"/>
            <w:vAlign w:val="center"/>
          </w:tcPr>
          <w:p>
            <w:pPr>
              <w:widowControl/>
              <w:spacing w:line="360" w:lineRule="auto"/>
              <w:rPr>
                <w:rFonts w:ascii="宋体" w:hAnsi="宋体"/>
                <w:color w:val="000000"/>
                <w:szCs w:val="21"/>
                <w:highlight w:val="none"/>
              </w:rPr>
            </w:pPr>
            <w:r>
              <w:rPr>
                <w:rFonts w:hint="eastAsia" w:ascii="宋体" w:hAnsi="宋体"/>
                <w:color w:val="000000"/>
                <w:szCs w:val="21"/>
                <w:highlight w:val="none"/>
              </w:rPr>
              <w:t>供应商</w:t>
            </w:r>
            <w:r>
              <w:rPr>
                <w:rFonts w:ascii="宋体" w:hAnsi="宋体"/>
                <w:color w:val="000000"/>
                <w:szCs w:val="21"/>
                <w:highlight w:val="none"/>
              </w:rPr>
              <w:t>需具备在规定时间内完成项目的能力，</w:t>
            </w:r>
            <w:r>
              <w:rPr>
                <w:rFonts w:hint="eastAsia" w:ascii="宋体" w:hAnsi="宋体"/>
                <w:color w:val="000000"/>
                <w:szCs w:val="21"/>
                <w:highlight w:val="none"/>
              </w:rPr>
              <w:t>采购人</w:t>
            </w:r>
            <w:r>
              <w:rPr>
                <w:rFonts w:ascii="宋体" w:hAnsi="宋体"/>
                <w:color w:val="000000"/>
                <w:szCs w:val="21"/>
                <w:highlight w:val="none"/>
              </w:rPr>
              <w:t>有权要求在</w:t>
            </w:r>
            <w:r>
              <w:rPr>
                <w:rFonts w:hint="eastAsia" w:ascii="宋体" w:hAnsi="宋体"/>
                <w:color w:val="000000"/>
                <w:szCs w:val="21"/>
                <w:highlight w:val="none"/>
              </w:rPr>
              <w:t>成交</w:t>
            </w:r>
            <w:r>
              <w:rPr>
                <w:rFonts w:ascii="宋体" w:hAnsi="宋体"/>
                <w:color w:val="000000"/>
                <w:szCs w:val="21"/>
                <w:highlight w:val="none"/>
              </w:rPr>
              <w:t>后一周内对系统进行演示并体现系统实施和集成能力，如果不能完成，按虚假响应处理。</w:t>
            </w:r>
          </w:p>
        </w:tc>
        <w:tc>
          <w:tcPr>
            <w:tcW w:w="1172" w:type="dxa"/>
            <w:vAlign w:val="center"/>
          </w:tcPr>
          <w:p>
            <w:pPr>
              <w:widowControl/>
              <w:spacing w:line="360" w:lineRule="auto"/>
              <w:jc w:val="center"/>
              <w:rPr>
                <w:rFonts w:ascii="宋体" w:hAnsi="宋体" w:cs="宋体"/>
                <w:color w:val="000000"/>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9" w:type="dxa"/>
            <w:vAlign w:val="center"/>
          </w:tcPr>
          <w:p>
            <w:pPr>
              <w:spacing w:line="360" w:lineRule="auto"/>
              <w:jc w:val="center"/>
              <w:rPr>
                <w:rFonts w:ascii="宋体" w:hAnsi="宋体"/>
                <w:color w:val="000000"/>
                <w:szCs w:val="21"/>
                <w:highlight w:val="none"/>
              </w:rPr>
            </w:pPr>
            <w:r>
              <w:rPr>
                <w:rFonts w:hint="eastAsia" w:ascii="宋体" w:hAnsi="宋体"/>
                <w:color w:val="000000"/>
                <w:szCs w:val="21"/>
                <w:highlight w:val="none"/>
              </w:rPr>
              <w:t>4</w:t>
            </w:r>
          </w:p>
        </w:tc>
        <w:tc>
          <w:tcPr>
            <w:tcW w:w="1444" w:type="dxa"/>
            <w:vAlign w:val="center"/>
          </w:tcPr>
          <w:p>
            <w:pPr>
              <w:widowControl/>
              <w:spacing w:line="360" w:lineRule="auto"/>
              <w:jc w:val="center"/>
              <w:rPr>
                <w:rFonts w:ascii="宋体" w:hAnsi="宋体"/>
                <w:color w:val="000000"/>
                <w:szCs w:val="21"/>
                <w:highlight w:val="none"/>
              </w:rPr>
            </w:pPr>
            <w:r>
              <w:rPr>
                <w:rFonts w:hint="eastAsia" w:ascii="宋体" w:hAnsi="宋体"/>
                <w:color w:val="000000"/>
                <w:szCs w:val="21"/>
                <w:highlight w:val="none"/>
              </w:rPr>
              <w:t>交付要求</w:t>
            </w:r>
          </w:p>
        </w:tc>
        <w:tc>
          <w:tcPr>
            <w:tcW w:w="6647" w:type="dxa"/>
            <w:vAlign w:val="center"/>
          </w:tcPr>
          <w:p>
            <w:pPr>
              <w:widowControl/>
              <w:spacing w:line="360" w:lineRule="auto"/>
              <w:rPr>
                <w:rFonts w:ascii="宋体" w:hAnsi="宋体"/>
                <w:color w:val="000000"/>
                <w:szCs w:val="21"/>
                <w:highlight w:val="none"/>
              </w:rPr>
            </w:pPr>
            <w:r>
              <w:rPr>
                <w:rFonts w:hint="eastAsia" w:ascii="宋体" w:hAnsi="宋体"/>
                <w:color w:val="000000"/>
                <w:szCs w:val="21"/>
                <w:highlight w:val="none"/>
              </w:rPr>
              <w:t>供应商</w:t>
            </w:r>
            <w:r>
              <w:rPr>
                <w:rFonts w:ascii="宋体" w:hAnsi="宋体"/>
                <w:color w:val="000000"/>
                <w:szCs w:val="21"/>
                <w:highlight w:val="none"/>
              </w:rPr>
              <w:t>负责协调省系统承建商，在签订合</w:t>
            </w:r>
            <w:r>
              <w:rPr>
                <w:rFonts w:ascii="宋体" w:hAnsi="宋体"/>
                <w:szCs w:val="21"/>
                <w:highlight w:val="none"/>
              </w:rPr>
              <w:t>同后7天内完成与省系统承建商的对接，15天内完成短信平</w:t>
            </w:r>
            <w:r>
              <w:rPr>
                <w:rFonts w:ascii="宋体" w:hAnsi="宋体"/>
                <w:color w:val="000000"/>
                <w:szCs w:val="21"/>
                <w:highlight w:val="none"/>
              </w:rPr>
              <w:t>台接入。</w:t>
            </w:r>
          </w:p>
        </w:tc>
        <w:tc>
          <w:tcPr>
            <w:tcW w:w="1172" w:type="dxa"/>
            <w:vAlign w:val="center"/>
          </w:tcPr>
          <w:p>
            <w:pPr>
              <w:widowControl/>
              <w:spacing w:line="360" w:lineRule="auto"/>
              <w:jc w:val="center"/>
              <w:rPr>
                <w:rFonts w:ascii="宋体" w:hAnsi="宋体" w:cs="宋体"/>
                <w:color w:val="000000"/>
                <w:kern w:val="0"/>
                <w:szCs w:val="21"/>
                <w:highlight w:val="none"/>
              </w:rPr>
            </w:pPr>
          </w:p>
        </w:tc>
      </w:tr>
    </w:tbl>
    <w:p>
      <w:pPr>
        <w:pStyle w:val="15"/>
        <w:numPr>
          <w:ilvl w:val="0"/>
          <w:numId w:val="6"/>
        </w:numPr>
        <w:tabs>
          <w:tab w:val="left" w:pos="540"/>
        </w:tabs>
        <w:adjustRightInd w:val="0"/>
        <w:snapToGrid w:val="0"/>
        <w:spacing w:line="360" w:lineRule="auto"/>
        <w:rPr>
          <w:rFonts w:hAnsi="宋体"/>
          <w:b/>
          <w:bCs/>
          <w:highlight w:val="none"/>
        </w:rPr>
      </w:pPr>
      <w:r>
        <w:rPr>
          <w:rFonts w:hint="eastAsia" w:hAnsi="宋体"/>
          <w:b/>
          <w:bCs/>
          <w:highlight w:val="none"/>
        </w:rPr>
        <w:t>商务要求</w:t>
      </w:r>
    </w:p>
    <w:p>
      <w:pPr>
        <w:spacing w:line="360" w:lineRule="auto"/>
        <w:ind w:firstLine="420" w:firstLineChars="200"/>
        <w:textAlignment w:val="baseline"/>
        <w:rPr>
          <w:rFonts w:ascii="宋体" w:hAnsi="宋体" w:cs="微软雅黑"/>
          <w:color w:val="000000"/>
          <w:szCs w:val="21"/>
          <w:highlight w:val="none"/>
          <w:shd w:val="clear" w:color="auto" w:fill="FFFFFF"/>
          <w:lang w:val="zh-CN"/>
        </w:rPr>
      </w:pPr>
      <w:r>
        <w:rPr>
          <w:rFonts w:hint="eastAsia" w:ascii="宋体" w:hAnsi="宋体" w:cs="微软雅黑"/>
          <w:color w:val="000000"/>
          <w:szCs w:val="21"/>
          <w:highlight w:val="none"/>
          <w:shd w:val="clear" w:color="auto" w:fill="FFFFFF"/>
          <w:lang w:val="zh-CN"/>
        </w:rPr>
        <w:t>1、时间和地点</w:t>
      </w:r>
    </w:p>
    <w:p>
      <w:pPr>
        <w:spacing w:line="360" w:lineRule="auto"/>
        <w:ind w:firstLine="420" w:firstLineChars="200"/>
        <w:textAlignment w:val="baseline"/>
        <w:rPr>
          <w:rFonts w:ascii="宋体" w:hAnsi="宋体" w:cs="微软雅黑"/>
          <w:color w:val="000000"/>
          <w:szCs w:val="21"/>
          <w:highlight w:val="none"/>
          <w:shd w:val="clear" w:color="auto" w:fill="FFFFFF"/>
          <w:lang w:val="zh-CN"/>
        </w:rPr>
      </w:pPr>
      <w:r>
        <w:rPr>
          <w:rFonts w:hint="eastAsia" w:ascii="宋体" w:hAnsi="宋体" w:cs="微软雅黑"/>
          <w:color w:val="000000"/>
          <w:szCs w:val="21"/>
          <w:highlight w:val="none"/>
          <w:shd w:val="clear" w:color="auto" w:fill="FFFFFF"/>
          <w:lang w:val="zh-CN"/>
        </w:rPr>
        <w:t>交付时间：在签订合同后7天内完成与省系统承建商的对接，15天内完成短信平台接入</w:t>
      </w:r>
      <w:r>
        <w:rPr>
          <w:rFonts w:ascii="宋体" w:hAnsi="宋体" w:cs="微软雅黑"/>
          <w:color w:val="000000"/>
          <w:szCs w:val="21"/>
          <w:highlight w:val="none"/>
          <w:shd w:val="clear" w:color="auto" w:fill="FFFFFF"/>
          <w:lang w:val="zh-CN"/>
        </w:rPr>
        <w:t>。</w:t>
      </w:r>
    </w:p>
    <w:p>
      <w:pPr>
        <w:spacing w:line="360" w:lineRule="auto"/>
        <w:ind w:firstLine="420" w:firstLineChars="200"/>
        <w:textAlignment w:val="baseline"/>
        <w:rPr>
          <w:rFonts w:ascii="宋体" w:hAnsi="宋体" w:cs="微软雅黑"/>
          <w:color w:val="000000"/>
          <w:szCs w:val="21"/>
          <w:highlight w:val="none"/>
          <w:shd w:val="clear" w:color="auto" w:fill="FFFFFF"/>
          <w:lang w:val="zh-CN"/>
        </w:rPr>
      </w:pPr>
      <w:r>
        <w:rPr>
          <w:rFonts w:hint="eastAsia" w:ascii="宋体" w:hAnsi="宋体" w:cs="微软雅黑"/>
          <w:color w:val="000000"/>
          <w:szCs w:val="21"/>
          <w:highlight w:val="none"/>
          <w:shd w:val="clear" w:color="auto" w:fill="FFFFFF"/>
          <w:lang w:val="zh-CN"/>
        </w:rPr>
        <w:t>交付</w:t>
      </w:r>
      <w:r>
        <w:rPr>
          <w:rFonts w:ascii="宋体" w:hAnsi="宋体" w:cs="微软雅黑"/>
          <w:color w:val="000000"/>
          <w:szCs w:val="21"/>
          <w:highlight w:val="none"/>
          <w:shd w:val="clear" w:color="auto" w:fill="FFFFFF"/>
          <w:lang w:val="zh-CN"/>
        </w:rPr>
        <w:t>地点：</w:t>
      </w:r>
      <w:r>
        <w:rPr>
          <w:rFonts w:hint="eastAsia" w:ascii="宋体" w:hAnsi="宋体" w:cs="微软雅黑"/>
          <w:color w:val="000000"/>
          <w:szCs w:val="21"/>
          <w:highlight w:val="none"/>
          <w:shd w:val="clear" w:color="auto" w:fill="FFFFFF"/>
          <w:lang w:val="zh-CN"/>
        </w:rPr>
        <w:t>采购人指定地点。</w:t>
      </w:r>
    </w:p>
    <w:p>
      <w:pPr>
        <w:spacing w:line="360" w:lineRule="auto"/>
        <w:ind w:firstLine="420" w:firstLineChars="200"/>
        <w:textAlignment w:val="baseline"/>
        <w:rPr>
          <w:rFonts w:ascii="宋体" w:hAnsi="宋体" w:cs="微软雅黑"/>
          <w:color w:val="000000"/>
          <w:szCs w:val="21"/>
          <w:highlight w:val="none"/>
          <w:shd w:val="clear" w:color="auto" w:fill="FFFFFF"/>
          <w:lang w:val="zh-CN"/>
        </w:rPr>
      </w:pPr>
      <w:r>
        <w:rPr>
          <w:rFonts w:hint="eastAsia" w:ascii="宋体" w:hAnsi="宋体" w:cs="微软雅黑"/>
          <w:color w:val="000000"/>
          <w:szCs w:val="21"/>
          <w:highlight w:val="none"/>
          <w:shd w:val="clear" w:color="auto" w:fill="FFFFFF"/>
          <w:lang w:val="zh-CN"/>
        </w:rPr>
        <w:t>2、团队</w:t>
      </w:r>
    </w:p>
    <w:p>
      <w:pPr>
        <w:spacing w:line="360" w:lineRule="auto"/>
        <w:ind w:firstLine="420" w:firstLineChars="200"/>
        <w:textAlignment w:val="baseline"/>
        <w:rPr>
          <w:rFonts w:ascii="宋体" w:hAnsi="宋体" w:cs="微软雅黑"/>
          <w:color w:val="000000"/>
          <w:szCs w:val="21"/>
          <w:highlight w:val="none"/>
          <w:shd w:val="clear" w:color="auto" w:fill="FFFFFF"/>
          <w:lang w:val="zh-CN"/>
        </w:rPr>
      </w:pPr>
      <w:r>
        <w:rPr>
          <w:rFonts w:hint="eastAsia" w:ascii="宋体" w:hAnsi="宋体" w:cs="微软雅黑"/>
          <w:color w:val="000000"/>
          <w:szCs w:val="21"/>
          <w:highlight w:val="none"/>
          <w:shd w:val="clear" w:color="auto" w:fill="FFFFFF"/>
          <w:lang w:val="zh-CN"/>
        </w:rPr>
        <w:t>为保证本项目能保质保量，按交付要求完成项目，供应商须提供一个具备能力的稳定团队来实施本项目，包括不限于项目经理、需求分析人员、实施人员、运维人员等。</w:t>
      </w:r>
    </w:p>
    <w:p>
      <w:pPr>
        <w:spacing w:line="360" w:lineRule="auto"/>
        <w:ind w:firstLine="420" w:firstLineChars="200"/>
        <w:textAlignment w:val="baseline"/>
        <w:rPr>
          <w:rFonts w:ascii="宋体" w:hAnsi="宋体" w:cs="微软雅黑"/>
          <w:color w:val="000000"/>
          <w:szCs w:val="21"/>
          <w:highlight w:val="none"/>
          <w:shd w:val="clear" w:color="auto" w:fill="FFFFFF"/>
          <w:lang w:val="zh-CN"/>
        </w:rPr>
      </w:pPr>
      <w:r>
        <w:rPr>
          <w:rFonts w:hint="eastAsia" w:ascii="宋体" w:hAnsi="宋体" w:cs="微软雅黑"/>
          <w:color w:val="000000"/>
          <w:szCs w:val="21"/>
          <w:highlight w:val="none"/>
          <w:shd w:val="clear" w:color="auto" w:fill="FFFFFF"/>
          <w:lang w:val="zh-CN"/>
        </w:rPr>
        <w:t>3、实施</w:t>
      </w:r>
    </w:p>
    <w:p>
      <w:pPr>
        <w:spacing w:line="360" w:lineRule="auto"/>
        <w:ind w:firstLine="420" w:firstLineChars="200"/>
        <w:textAlignment w:val="baseline"/>
        <w:rPr>
          <w:rFonts w:ascii="宋体" w:hAnsi="宋体" w:cs="微软雅黑"/>
          <w:color w:val="000000"/>
          <w:szCs w:val="21"/>
          <w:highlight w:val="none"/>
          <w:shd w:val="clear" w:color="auto" w:fill="FFFFFF"/>
          <w:lang w:val="zh-CN"/>
        </w:rPr>
      </w:pPr>
      <w:r>
        <w:rPr>
          <w:rFonts w:hint="eastAsia" w:ascii="宋体" w:hAnsi="宋体" w:cs="微软雅黑"/>
          <w:color w:val="000000"/>
          <w:szCs w:val="21"/>
          <w:highlight w:val="none"/>
          <w:shd w:val="clear" w:color="auto" w:fill="FFFFFF"/>
          <w:lang w:val="zh-CN"/>
        </w:rPr>
        <w:t>据采购人的要求，所有实施在采购人指定的时间，完成短信平台与省系统的对接并实现正常运行，达到采购人要求的功能和性能。</w:t>
      </w:r>
    </w:p>
    <w:p>
      <w:pPr>
        <w:spacing w:line="360" w:lineRule="auto"/>
        <w:ind w:firstLine="420" w:firstLineChars="200"/>
        <w:textAlignment w:val="baseline"/>
        <w:rPr>
          <w:rFonts w:ascii="宋体" w:hAnsi="宋体" w:cs="微软雅黑"/>
          <w:color w:val="000000"/>
          <w:szCs w:val="21"/>
          <w:highlight w:val="none"/>
          <w:shd w:val="clear" w:color="auto" w:fill="FFFFFF"/>
          <w:lang w:val="zh-CN"/>
        </w:rPr>
      </w:pPr>
      <w:r>
        <w:rPr>
          <w:rFonts w:hint="eastAsia" w:ascii="宋体" w:hAnsi="宋体" w:cs="微软雅黑"/>
          <w:color w:val="000000"/>
          <w:szCs w:val="21"/>
          <w:highlight w:val="none"/>
          <w:shd w:val="clear" w:color="auto" w:fill="FFFFFF"/>
          <w:lang w:val="zh-CN"/>
        </w:rPr>
        <w:t>4、培训</w:t>
      </w:r>
    </w:p>
    <w:p>
      <w:pPr>
        <w:spacing w:line="360" w:lineRule="auto"/>
        <w:ind w:firstLine="420" w:firstLineChars="200"/>
        <w:textAlignment w:val="baseline"/>
        <w:rPr>
          <w:rFonts w:ascii="宋体" w:hAnsi="宋体" w:cs="微软雅黑"/>
          <w:color w:val="000000"/>
          <w:szCs w:val="21"/>
          <w:highlight w:val="none"/>
          <w:shd w:val="clear" w:color="auto" w:fill="FFFFFF"/>
          <w:lang w:val="zh-CN"/>
        </w:rPr>
      </w:pPr>
      <w:r>
        <w:rPr>
          <w:rFonts w:hint="eastAsia" w:ascii="宋体" w:hAnsi="宋体" w:cs="微软雅黑"/>
          <w:color w:val="000000"/>
          <w:szCs w:val="21"/>
          <w:highlight w:val="none"/>
          <w:shd w:val="clear" w:color="auto" w:fill="FFFFFF"/>
          <w:lang w:val="zh-CN"/>
        </w:rPr>
        <w:t>供应商应负责接种单位的操作培训等，培训效果至少要求参训人员能够独立、熟练使用。</w:t>
      </w:r>
    </w:p>
    <w:p>
      <w:pPr>
        <w:spacing w:line="360" w:lineRule="auto"/>
        <w:ind w:firstLine="420" w:firstLineChars="200"/>
        <w:textAlignment w:val="baseline"/>
        <w:rPr>
          <w:rFonts w:ascii="宋体" w:hAnsi="宋体" w:cs="微软雅黑"/>
          <w:color w:val="000000"/>
          <w:szCs w:val="21"/>
          <w:highlight w:val="none"/>
          <w:shd w:val="clear" w:color="auto" w:fill="FFFFFF"/>
        </w:rPr>
      </w:pPr>
      <w:r>
        <w:rPr>
          <w:rFonts w:hint="eastAsia" w:ascii="宋体" w:hAnsi="宋体" w:cs="微软雅黑"/>
          <w:color w:val="000000"/>
          <w:szCs w:val="21"/>
          <w:highlight w:val="none"/>
          <w:shd w:val="clear" w:color="auto" w:fill="FFFFFF"/>
        </w:rPr>
        <w:t>5、验收</w:t>
      </w:r>
    </w:p>
    <w:p>
      <w:pPr>
        <w:spacing w:line="360" w:lineRule="auto"/>
        <w:ind w:firstLine="420" w:firstLineChars="200"/>
        <w:textAlignment w:val="baseline"/>
        <w:rPr>
          <w:rFonts w:ascii="宋体" w:hAnsi="宋体" w:cs="微软雅黑"/>
          <w:color w:val="000000"/>
          <w:szCs w:val="21"/>
          <w:highlight w:val="none"/>
          <w:shd w:val="clear" w:color="auto" w:fill="FFFFFF"/>
        </w:rPr>
      </w:pPr>
      <w:r>
        <w:rPr>
          <w:rFonts w:hint="eastAsia" w:ascii="宋体" w:hAnsi="宋体" w:cs="微软雅黑"/>
          <w:color w:val="000000"/>
          <w:szCs w:val="21"/>
          <w:highlight w:val="none"/>
          <w:shd w:val="clear" w:color="auto" w:fill="FFFFFF"/>
        </w:rPr>
        <w:t>（1）</w:t>
      </w:r>
      <w:r>
        <w:rPr>
          <w:rFonts w:ascii="宋体" w:hAnsi="宋体" w:cs="微软雅黑"/>
          <w:color w:val="000000"/>
          <w:szCs w:val="21"/>
          <w:highlight w:val="none"/>
          <w:shd w:val="clear" w:color="auto" w:fill="FFFFFF"/>
        </w:rPr>
        <w:t>验收按国家有关的规定、规范进行。</w:t>
      </w:r>
    </w:p>
    <w:p>
      <w:pPr>
        <w:spacing w:line="360" w:lineRule="auto"/>
        <w:ind w:firstLine="420" w:firstLineChars="200"/>
        <w:textAlignment w:val="baseline"/>
        <w:rPr>
          <w:rFonts w:ascii="宋体" w:hAnsi="宋体" w:cs="微软雅黑"/>
          <w:color w:val="000000"/>
          <w:szCs w:val="21"/>
          <w:highlight w:val="none"/>
          <w:shd w:val="clear" w:color="auto" w:fill="FFFFFF"/>
          <w:lang w:val="zh-CN"/>
        </w:rPr>
      </w:pPr>
      <w:r>
        <w:rPr>
          <w:rFonts w:hint="eastAsia" w:ascii="宋体" w:hAnsi="宋体" w:cs="微软雅黑"/>
          <w:color w:val="000000"/>
          <w:szCs w:val="21"/>
          <w:highlight w:val="none"/>
          <w:shd w:val="clear" w:color="auto" w:fill="FFFFFF"/>
        </w:rPr>
        <w:t>（2）全部项目实施完成后，</w:t>
      </w:r>
      <w:r>
        <w:rPr>
          <w:rFonts w:hint="eastAsia" w:ascii="宋体" w:hAnsi="宋体" w:cs="微软雅黑"/>
          <w:color w:val="000000"/>
          <w:szCs w:val="21"/>
          <w:highlight w:val="none"/>
          <w:shd w:val="clear" w:color="auto" w:fill="FFFFFF"/>
          <w:lang w:val="zh-CN"/>
        </w:rPr>
        <w:t>采购人</w:t>
      </w:r>
      <w:r>
        <w:rPr>
          <w:rFonts w:ascii="宋体" w:hAnsi="宋体" w:cs="微软雅黑"/>
          <w:color w:val="000000"/>
          <w:szCs w:val="21"/>
          <w:highlight w:val="none"/>
          <w:shd w:val="clear" w:color="auto" w:fill="FFFFFF"/>
        </w:rPr>
        <w:t>货物科及相关</w:t>
      </w:r>
      <w:r>
        <w:rPr>
          <w:rFonts w:hint="eastAsia" w:ascii="宋体" w:hAnsi="宋体" w:cs="微软雅黑"/>
          <w:color w:val="000000"/>
          <w:szCs w:val="21"/>
          <w:highlight w:val="none"/>
          <w:shd w:val="clear" w:color="auto" w:fill="FFFFFF"/>
        </w:rPr>
        <w:t>接种</w:t>
      </w:r>
      <w:r>
        <w:rPr>
          <w:rFonts w:ascii="宋体" w:hAnsi="宋体" w:cs="微软雅黑"/>
          <w:color w:val="000000"/>
          <w:szCs w:val="21"/>
          <w:highlight w:val="none"/>
          <w:shd w:val="clear" w:color="auto" w:fill="FFFFFF"/>
        </w:rPr>
        <w:t>门诊要及时组织验收，并出具验收报告。</w:t>
      </w:r>
    </w:p>
    <w:p>
      <w:pPr>
        <w:spacing w:line="360" w:lineRule="auto"/>
        <w:ind w:firstLine="420" w:firstLineChars="200"/>
        <w:textAlignment w:val="baseline"/>
        <w:rPr>
          <w:rFonts w:ascii="宋体" w:hAnsi="宋体" w:cs="微软雅黑"/>
          <w:color w:val="000000"/>
          <w:szCs w:val="21"/>
          <w:highlight w:val="none"/>
          <w:shd w:val="clear" w:color="auto" w:fill="FFFFFF"/>
          <w:lang w:val="zh-CN"/>
        </w:rPr>
      </w:pPr>
      <w:r>
        <w:rPr>
          <w:rFonts w:hint="eastAsia" w:ascii="宋体" w:hAnsi="宋体" w:cs="微软雅黑"/>
          <w:color w:val="000000"/>
          <w:szCs w:val="21"/>
          <w:highlight w:val="none"/>
          <w:shd w:val="clear" w:color="auto" w:fill="FFFFFF"/>
        </w:rPr>
        <w:t>6</w:t>
      </w:r>
      <w:r>
        <w:rPr>
          <w:rFonts w:hint="eastAsia" w:ascii="宋体" w:hAnsi="宋体" w:cs="微软雅黑"/>
          <w:color w:val="000000"/>
          <w:szCs w:val="21"/>
          <w:highlight w:val="none"/>
          <w:shd w:val="clear" w:color="auto" w:fill="FFFFFF"/>
          <w:lang w:val="zh-CN"/>
        </w:rPr>
        <w:t>、运维</w:t>
      </w:r>
    </w:p>
    <w:p>
      <w:pPr>
        <w:spacing w:line="360" w:lineRule="auto"/>
        <w:ind w:firstLine="420" w:firstLineChars="200"/>
        <w:textAlignment w:val="baseline"/>
        <w:rPr>
          <w:rFonts w:ascii="宋体" w:hAnsi="宋体" w:cs="微软雅黑"/>
          <w:color w:val="000000"/>
          <w:szCs w:val="21"/>
          <w:highlight w:val="none"/>
          <w:shd w:val="clear" w:color="auto" w:fill="FFFFFF"/>
          <w:lang w:val="zh-CN"/>
        </w:rPr>
      </w:pPr>
      <w:r>
        <w:rPr>
          <w:rFonts w:hint="eastAsia" w:ascii="宋体" w:hAnsi="宋体" w:cs="微软雅黑"/>
          <w:color w:val="000000"/>
          <w:szCs w:val="21"/>
          <w:highlight w:val="none"/>
          <w:shd w:val="clear" w:color="auto" w:fill="FFFFFF"/>
          <w:lang w:val="zh-CN"/>
        </w:rPr>
        <w:t>供应商需保障本项目各系统的安全、稳定运行；系统发生故障时，及时调配人员解决故障，最大限度减少损失。</w:t>
      </w:r>
    </w:p>
    <w:p>
      <w:pPr>
        <w:spacing w:line="360" w:lineRule="auto"/>
        <w:ind w:firstLine="420" w:firstLineChars="200"/>
        <w:textAlignment w:val="baseline"/>
        <w:rPr>
          <w:rFonts w:ascii="宋体" w:hAnsi="宋体" w:cs="微软雅黑"/>
          <w:color w:val="000000"/>
          <w:szCs w:val="21"/>
          <w:highlight w:val="none"/>
          <w:shd w:val="clear" w:color="auto" w:fill="FFFFFF"/>
          <w:lang w:val="zh-CN"/>
        </w:rPr>
      </w:pPr>
      <w:r>
        <w:rPr>
          <w:rFonts w:hint="eastAsia" w:ascii="宋体" w:hAnsi="宋体" w:cs="微软雅黑"/>
          <w:color w:val="000000"/>
          <w:szCs w:val="21"/>
          <w:highlight w:val="none"/>
          <w:shd w:val="clear" w:color="auto" w:fill="FFFFFF"/>
          <w:lang w:val="zh-CN"/>
        </w:rPr>
        <w:t>项目实施整体验收之日起，提供不少于1年的质量保证期。在签订合同后应免费提供技术保障对接至省系统。</w:t>
      </w:r>
    </w:p>
    <w:p>
      <w:pPr>
        <w:pStyle w:val="15"/>
        <w:numPr>
          <w:ilvl w:val="0"/>
          <w:numId w:val="6"/>
        </w:numPr>
        <w:tabs>
          <w:tab w:val="left" w:pos="540"/>
        </w:tabs>
        <w:adjustRightInd w:val="0"/>
        <w:snapToGrid w:val="0"/>
        <w:spacing w:line="360" w:lineRule="auto"/>
        <w:rPr>
          <w:rFonts w:hAnsi="宋体"/>
          <w:b/>
          <w:bCs/>
          <w:highlight w:val="none"/>
        </w:rPr>
      </w:pPr>
      <w:r>
        <w:rPr>
          <w:rFonts w:hint="eastAsia" w:hAnsi="宋体"/>
          <w:b/>
          <w:bCs/>
          <w:highlight w:val="none"/>
        </w:rPr>
        <w:t>付款方式</w:t>
      </w:r>
    </w:p>
    <w:p>
      <w:pPr>
        <w:pStyle w:val="47"/>
        <w:numPr>
          <w:ilvl w:val="0"/>
          <w:numId w:val="8"/>
        </w:numPr>
        <w:tabs>
          <w:tab w:val="left" w:pos="567"/>
        </w:tabs>
        <w:autoSpaceDE w:val="0"/>
        <w:autoSpaceDN w:val="0"/>
        <w:adjustRightInd w:val="0"/>
        <w:snapToGrid w:val="0"/>
        <w:spacing w:line="360" w:lineRule="auto"/>
        <w:ind w:firstLineChars="0"/>
        <w:textAlignment w:val="baseline"/>
        <w:rPr>
          <w:rFonts w:ascii="宋体" w:hAnsi="宋体" w:cs="宋体"/>
          <w:color w:val="000000" w:themeColor="text1"/>
          <w:kern w:val="0"/>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结算方式：</w:t>
      </w:r>
      <w:r>
        <w:rPr>
          <w:rFonts w:hint="eastAsia" w:ascii="宋体" w:hAnsi="宋体" w:cs="宋体"/>
          <w:color w:val="000000" w:themeColor="text1"/>
          <w:kern w:val="0"/>
          <w:highlight w:val="none"/>
          <w14:textFill>
            <w14:solidFill>
              <w14:schemeClr w14:val="tx1"/>
            </w14:solidFill>
          </w14:textFill>
        </w:rPr>
        <w:t>采购人与供应商采用支票、银行转账、电汇三种形式进行结算。</w:t>
      </w:r>
    </w:p>
    <w:p>
      <w:pPr>
        <w:pStyle w:val="47"/>
        <w:adjustRightInd w:val="0"/>
        <w:snapToGrid w:val="0"/>
        <w:spacing w:line="360" w:lineRule="auto"/>
        <w:ind w:left="420" w:firstLine="0" w:firstLineChars="0"/>
        <w:rPr>
          <w:rFonts w:ascii="宋体" w:hAnsi="宋体" w:cs="宋体"/>
          <w:color w:val="000000"/>
          <w:szCs w:val="21"/>
          <w:highlight w:val="none"/>
          <w:lang w:bidi="ar"/>
        </w:rPr>
      </w:pPr>
      <w:r>
        <w:rPr>
          <w:rFonts w:hint="eastAsia" w:ascii="宋体" w:hAnsi="宋体" w:cs="宋体"/>
          <w:color w:val="000000"/>
          <w:szCs w:val="21"/>
          <w:highlight w:val="none"/>
          <w:lang w:bidi="ar"/>
        </w:rPr>
        <w:t xml:space="preserve">（二）由采购人按下列程序付款： </w:t>
      </w:r>
    </w:p>
    <w:p>
      <w:pPr>
        <w:tabs>
          <w:tab w:val="left" w:pos="425"/>
        </w:tabs>
        <w:adjustRightInd w:val="0"/>
        <w:snapToGrid w:val="0"/>
        <w:spacing w:line="360" w:lineRule="auto"/>
        <w:ind w:left="425"/>
        <w:rPr>
          <w:rFonts w:ascii="宋体" w:hAnsi="宋体" w:cs="宋体"/>
          <w:color w:val="FF0000"/>
          <w:szCs w:val="21"/>
          <w:highlight w:val="none"/>
          <w:lang w:bidi="ar"/>
        </w:rPr>
      </w:pPr>
      <w:r>
        <w:rPr>
          <w:rFonts w:hint="eastAsia" w:ascii="宋体" w:hAnsi="宋体" w:cs="宋体"/>
          <w:color w:val="FF0000"/>
          <w:szCs w:val="21"/>
          <w:highlight w:val="none"/>
          <w:lang w:bidi="ar"/>
        </w:rPr>
        <w:t>1</w:t>
      </w:r>
      <w:r>
        <w:rPr>
          <w:rFonts w:ascii="宋体" w:hAnsi="宋体" w:cs="宋体"/>
          <w:color w:val="FF0000"/>
          <w:szCs w:val="21"/>
          <w:highlight w:val="none"/>
          <w:lang w:bidi="ar"/>
        </w:rPr>
        <w:t>.</w:t>
      </w:r>
      <w:r>
        <w:rPr>
          <w:rFonts w:hint="eastAsia" w:ascii="宋体" w:hAnsi="宋体" w:cs="宋体"/>
          <w:color w:val="FF0000"/>
          <w:szCs w:val="21"/>
          <w:highlight w:val="none"/>
          <w:lang w:bidi="ar"/>
        </w:rPr>
        <w:t>预付款：签订合同后</w:t>
      </w:r>
      <w:r>
        <w:rPr>
          <w:rFonts w:ascii="宋体" w:hAnsi="宋体" w:cs="宋体"/>
          <w:color w:val="FF0000"/>
          <w:szCs w:val="21"/>
          <w:highlight w:val="none"/>
          <w:lang w:bidi="ar"/>
        </w:rPr>
        <w:t>60</w:t>
      </w:r>
      <w:r>
        <w:rPr>
          <w:rFonts w:hint="eastAsia" w:ascii="宋体" w:hAnsi="宋体" w:cs="宋体"/>
          <w:color w:val="FF0000"/>
          <w:szCs w:val="21"/>
          <w:highlight w:val="none"/>
          <w:lang w:bidi="ar"/>
        </w:rPr>
        <w:t>个工作日内，支付合同总价的</w:t>
      </w:r>
      <w:r>
        <w:rPr>
          <w:rFonts w:ascii="宋体" w:hAnsi="宋体" w:cs="宋体"/>
          <w:color w:val="FF0000"/>
          <w:szCs w:val="21"/>
          <w:highlight w:val="none"/>
          <w:lang w:bidi="ar"/>
        </w:rPr>
        <w:t>80</w:t>
      </w:r>
      <w:r>
        <w:rPr>
          <w:rFonts w:hint="eastAsia" w:ascii="宋体" w:hAnsi="宋体" w:cs="宋体"/>
          <w:color w:val="FF0000"/>
          <w:szCs w:val="21"/>
          <w:highlight w:val="none"/>
          <w:lang w:bidi="ar"/>
        </w:rPr>
        <w:t>%。</w:t>
      </w:r>
    </w:p>
    <w:p>
      <w:pPr>
        <w:tabs>
          <w:tab w:val="left" w:pos="425"/>
        </w:tabs>
        <w:adjustRightInd w:val="0"/>
        <w:snapToGrid w:val="0"/>
        <w:spacing w:line="360" w:lineRule="auto"/>
        <w:ind w:left="425"/>
        <w:rPr>
          <w:rFonts w:ascii="宋体" w:hAnsi="宋体" w:cs="宋体"/>
          <w:color w:val="FF0000"/>
          <w:szCs w:val="21"/>
          <w:highlight w:val="none"/>
          <w:lang w:bidi="ar"/>
        </w:rPr>
      </w:pPr>
      <w:r>
        <w:rPr>
          <w:rFonts w:hint="eastAsia" w:ascii="宋体" w:hAnsi="宋体" w:cs="宋体"/>
          <w:color w:val="FF0000"/>
          <w:szCs w:val="21"/>
          <w:highlight w:val="none"/>
          <w:lang w:bidi="ar"/>
        </w:rPr>
        <w:t>2</w:t>
      </w:r>
      <w:r>
        <w:rPr>
          <w:rFonts w:ascii="宋体" w:hAnsi="宋体" w:cs="宋体"/>
          <w:color w:val="FF0000"/>
          <w:szCs w:val="21"/>
          <w:highlight w:val="none"/>
          <w:lang w:bidi="ar"/>
        </w:rPr>
        <w:t>.</w:t>
      </w:r>
      <w:r>
        <w:rPr>
          <w:rFonts w:hint="eastAsia" w:ascii="宋体" w:hAnsi="宋体" w:cs="宋体"/>
          <w:color w:val="FF0000"/>
          <w:szCs w:val="21"/>
          <w:highlight w:val="none"/>
          <w:lang w:bidi="ar"/>
        </w:rPr>
        <w:t xml:space="preserve">正常使用 </w:t>
      </w:r>
      <w:r>
        <w:rPr>
          <w:rFonts w:ascii="宋体" w:hAnsi="宋体" w:cs="宋体"/>
          <w:color w:val="FF0000"/>
          <w:szCs w:val="21"/>
          <w:highlight w:val="none"/>
          <w:lang w:bidi="ar"/>
        </w:rPr>
        <w:t>2</w:t>
      </w:r>
      <w:r>
        <w:rPr>
          <w:rFonts w:hint="eastAsia" w:ascii="宋体" w:hAnsi="宋体" w:cs="宋体"/>
          <w:color w:val="FF0000"/>
          <w:szCs w:val="21"/>
          <w:highlight w:val="none"/>
          <w:lang w:bidi="ar"/>
        </w:rPr>
        <w:t xml:space="preserve">个月后 </w:t>
      </w:r>
      <w:r>
        <w:rPr>
          <w:rFonts w:ascii="宋体" w:hAnsi="宋体" w:cs="宋体"/>
          <w:color w:val="FF0000"/>
          <w:szCs w:val="21"/>
          <w:highlight w:val="none"/>
          <w:lang w:bidi="ar"/>
        </w:rPr>
        <w:t>7</w:t>
      </w:r>
      <w:r>
        <w:rPr>
          <w:rFonts w:hint="eastAsia" w:ascii="宋体" w:hAnsi="宋体" w:cs="宋体"/>
          <w:color w:val="FF0000"/>
          <w:szCs w:val="21"/>
          <w:highlight w:val="none"/>
          <w:lang w:bidi="ar"/>
        </w:rPr>
        <w:t>个工作日内进行验收，验收合格后可支付至合同总价的</w:t>
      </w:r>
      <w:r>
        <w:rPr>
          <w:rFonts w:ascii="宋体" w:hAnsi="宋体" w:cs="宋体"/>
          <w:color w:val="FF0000"/>
          <w:szCs w:val="21"/>
          <w:highlight w:val="none"/>
          <w:lang w:bidi="ar"/>
        </w:rPr>
        <w:t>100</w:t>
      </w:r>
      <w:r>
        <w:rPr>
          <w:rFonts w:hint="eastAsia" w:ascii="宋体" w:hAnsi="宋体" w:cs="宋体"/>
          <w:color w:val="FF0000"/>
          <w:szCs w:val="21"/>
          <w:highlight w:val="none"/>
          <w:lang w:bidi="ar"/>
        </w:rPr>
        <w:t>%。</w:t>
      </w:r>
    </w:p>
    <w:p>
      <w:pPr>
        <w:pStyle w:val="47"/>
        <w:tabs>
          <w:tab w:val="left" w:pos="425"/>
        </w:tabs>
        <w:adjustRightInd w:val="0"/>
        <w:snapToGrid w:val="0"/>
        <w:spacing w:line="360" w:lineRule="auto"/>
        <w:ind w:left="420" w:firstLine="0" w:firstLineChars="0"/>
        <w:rPr>
          <w:rFonts w:ascii="宋体" w:hAnsi="宋体" w:cs="宋体"/>
          <w:color w:val="000000"/>
          <w:szCs w:val="21"/>
          <w:highlight w:val="none"/>
          <w:lang w:bidi="ar"/>
        </w:rPr>
      </w:pPr>
      <w:r>
        <w:rPr>
          <w:rFonts w:hint="eastAsia" w:ascii="宋体" w:hAnsi="宋体" w:cs="宋体"/>
          <w:color w:val="000000"/>
          <w:szCs w:val="21"/>
          <w:highlight w:val="none"/>
          <w:lang w:bidi="ar"/>
        </w:rPr>
        <w:t>3</w:t>
      </w:r>
      <w:r>
        <w:rPr>
          <w:rFonts w:ascii="宋体" w:hAnsi="宋体" w:cs="宋体"/>
          <w:color w:val="000000"/>
          <w:szCs w:val="21"/>
          <w:highlight w:val="none"/>
          <w:lang w:bidi="ar"/>
        </w:rPr>
        <w:t>.</w:t>
      </w:r>
      <w:r>
        <w:rPr>
          <w:rFonts w:hint="eastAsia" w:ascii="宋体" w:hAnsi="宋体" w:cs="宋体"/>
          <w:color w:val="000000"/>
          <w:szCs w:val="21"/>
          <w:highlight w:val="none"/>
          <w:lang w:bidi="ar"/>
        </w:rPr>
        <w:t>成交人凭以下有效文件与采购人结算：</w:t>
      </w:r>
    </w:p>
    <w:p>
      <w:pPr>
        <w:pStyle w:val="47"/>
        <w:adjustRightInd w:val="0"/>
        <w:snapToGrid w:val="0"/>
        <w:spacing w:line="360" w:lineRule="auto"/>
        <w:ind w:left="420" w:firstLine="0" w:firstLineChars="0"/>
        <w:rPr>
          <w:rFonts w:ascii="宋体" w:hAnsi="宋体" w:cs="宋体"/>
          <w:color w:val="000000"/>
          <w:szCs w:val="21"/>
          <w:highlight w:val="none"/>
          <w:lang w:bidi="ar"/>
        </w:rPr>
      </w:pPr>
      <w:r>
        <w:rPr>
          <w:rFonts w:hint="eastAsia" w:ascii="宋体" w:hAnsi="宋体" w:cs="宋体"/>
          <w:color w:val="000000"/>
          <w:szCs w:val="21"/>
          <w:highlight w:val="none"/>
          <w:lang w:bidi="ar"/>
        </w:rPr>
        <w:t>（1）合同；</w:t>
      </w:r>
    </w:p>
    <w:p>
      <w:pPr>
        <w:pStyle w:val="47"/>
        <w:adjustRightInd w:val="0"/>
        <w:snapToGrid w:val="0"/>
        <w:spacing w:line="360" w:lineRule="auto"/>
        <w:ind w:left="420" w:firstLine="0" w:firstLineChars="0"/>
        <w:rPr>
          <w:rFonts w:ascii="宋体" w:hAnsi="宋体" w:cs="宋体"/>
          <w:color w:val="000000"/>
          <w:szCs w:val="21"/>
          <w:highlight w:val="none"/>
          <w:lang w:bidi="ar"/>
        </w:rPr>
      </w:pPr>
      <w:r>
        <w:rPr>
          <w:rFonts w:hint="eastAsia" w:ascii="宋体" w:hAnsi="宋体" w:cs="宋体"/>
          <w:color w:val="000000"/>
          <w:szCs w:val="21"/>
          <w:highlight w:val="none"/>
          <w:lang w:bidi="ar"/>
        </w:rPr>
        <w:t>（2）成交人开具的正式发票；</w:t>
      </w:r>
    </w:p>
    <w:p>
      <w:pPr>
        <w:pStyle w:val="47"/>
        <w:adjustRightInd w:val="0"/>
        <w:snapToGrid w:val="0"/>
        <w:spacing w:line="360" w:lineRule="auto"/>
        <w:ind w:left="420" w:firstLine="0" w:firstLineChars="0"/>
        <w:rPr>
          <w:rFonts w:ascii="宋体" w:hAnsi="宋体" w:cs="宋体"/>
          <w:b/>
          <w:bCs/>
          <w:szCs w:val="21"/>
          <w:highlight w:val="none"/>
        </w:rPr>
      </w:pPr>
      <w:r>
        <w:rPr>
          <w:rFonts w:hint="eastAsia" w:ascii="宋体" w:hAnsi="宋体" w:cs="宋体"/>
          <w:color w:val="000000"/>
          <w:szCs w:val="21"/>
          <w:highlight w:val="none"/>
          <w:lang w:bidi="ar"/>
        </w:rPr>
        <w:t>（3）成交通知书。</w:t>
      </w:r>
      <w:r>
        <w:rPr>
          <w:rFonts w:hint="eastAsia" w:ascii="宋体" w:hAnsi="宋体" w:cs="宋体"/>
          <w:b/>
          <w:color w:val="000000"/>
          <w:szCs w:val="21"/>
          <w:highlight w:val="none"/>
          <w:lang w:bidi="ar"/>
        </w:rPr>
        <w:tab/>
      </w:r>
    </w:p>
    <w:p>
      <w:pPr>
        <w:snapToGrid w:val="0"/>
        <w:spacing w:line="360" w:lineRule="auto"/>
        <w:jc w:val="center"/>
        <w:rPr>
          <w:b/>
          <w:bCs/>
          <w:sz w:val="32"/>
          <w:szCs w:val="32"/>
          <w:highlight w:val="none"/>
        </w:rPr>
      </w:pPr>
      <w:r>
        <w:rPr>
          <w:b/>
          <w:bCs/>
          <w:sz w:val="32"/>
          <w:szCs w:val="32"/>
          <w:highlight w:val="none"/>
        </w:rPr>
        <w:br w:type="page"/>
      </w:r>
    </w:p>
    <w:p>
      <w:pPr>
        <w:snapToGrid w:val="0"/>
        <w:spacing w:line="360" w:lineRule="auto"/>
        <w:jc w:val="center"/>
        <w:rPr>
          <w:b/>
          <w:bCs/>
          <w:sz w:val="32"/>
          <w:szCs w:val="32"/>
          <w:highlight w:val="none"/>
        </w:rPr>
      </w:pPr>
      <w:r>
        <w:rPr>
          <w:rFonts w:hint="eastAsia"/>
          <w:b/>
          <w:bCs/>
          <w:sz w:val="32"/>
          <w:szCs w:val="32"/>
          <w:highlight w:val="none"/>
        </w:rPr>
        <w:t>第三章竞价附件</w:t>
      </w:r>
    </w:p>
    <w:p>
      <w:pPr>
        <w:keepNext/>
        <w:keepLines/>
        <w:spacing w:line="416" w:lineRule="auto"/>
        <w:jc w:val="center"/>
        <w:outlineLvl w:val="1"/>
        <w:rPr>
          <w:rFonts w:ascii="宋体" w:hAnsi="宋体"/>
          <w:b/>
          <w:bCs/>
          <w:kern w:val="0"/>
          <w:sz w:val="32"/>
          <w:szCs w:val="32"/>
          <w:highlight w:val="none"/>
          <w:lang w:val="zh-CN"/>
        </w:rPr>
      </w:pPr>
      <w:r>
        <w:rPr>
          <w:rFonts w:hint="eastAsia" w:ascii="宋体" w:hAnsi="宋体"/>
          <w:b/>
          <w:bCs/>
          <w:kern w:val="0"/>
          <w:sz w:val="32"/>
          <w:szCs w:val="32"/>
          <w:highlight w:val="none"/>
          <w:lang w:val="zh-CN"/>
        </w:rPr>
        <w:t>报价表</w:t>
      </w:r>
    </w:p>
    <w:p>
      <w:pPr>
        <w:spacing w:line="360" w:lineRule="auto"/>
        <w:rPr>
          <w:rFonts w:asciiTheme="minorEastAsia" w:hAnsiTheme="minorEastAsia"/>
          <w:b/>
          <w:spacing w:val="4"/>
          <w:highlight w:val="none"/>
        </w:rPr>
      </w:pPr>
    </w:p>
    <w:tbl>
      <w:tblPr>
        <w:tblStyle w:val="23"/>
        <w:tblW w:w="8933"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Layout w:type="fixed"/>
        <w:tblCellMar>
          <w:top w:w="0" w:type="dxa"/>
          <w:left w:w="108" w:type="dxa"/>
          <w:bottom w:w="0" w:type="dxa"/>
          <w:right w:w="108" w:type="dxa"/>
        </w:tblCellMar>
      </w:tblPr>
      <w:tblGrid>
        <w:gridCol w:w="2534"/>
        <w:gridCol w:w="1041"/>
        <w:gridCol w:w="821"/>
        <w:gridCol w:w="1920"/>
        <w:gridCol w:w="1410"/>
        <w:gridCol w:w="120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629" w:hRule="atLeast"/>
          <w:jc w:val="center"/>
        </w:trPr>
        <w:tc>
          <w:tcPr>
            <w:tcW w:w="2534" w:type="dxa"/>
            <w:shd w:val="clear" w:color="auto" w:fill="auto"/>
            <w:vAlign w:val="center"/>
          </w:tcPr>
          <w:p>
            <w:pPr>
              <w:spacing w:line="360" w:lineRule="auto"/>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采购内容</w:t>
            </w:r>
          </w:p>
        </w:tc>
        <w:tc>
          <w:tcPr>
            <w:tcW w:w="1041" w:type="dxa"/>
            <w:shd w:val="clear" w:color="auto" w:fill="auto"/>
            <w:vAlign w:val="center"/>
          </w:tcPr>
          <w:p>
            <w:pPr>
              <w:spacing w:line="360" w:lineRule="auto"/>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数量</w:t>
            </w:r>
          </w:p>
        </w:tc>
        <w:tc>
          <w:tcPr>
            <w:tcW w:w="821" w:type="dxa"/>
            <w:tcBorders>
              <w:top w:val="single" w:color="auto" w:sz="12" w:space="0"/>
            </w:tcBorders>
            <w:shd w:val="clear" w:color="auto" w:fill="auto"/>
            <w:vAlign w:val="center"/>
          </w:tcPr>
          <w:p>
            <w:pPr>
              <w:spacing w:line="360" w:lineRule="auto"/>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kern w:val="0"/>
                <w:szCs w:val="21"/>
                <w:highlight w:val="none"/>
              </w:rPr>
              <w:t>单位</w:t>
            </w:r>
          </w:p>
        </w:tc>
        <w:tc>
          <w:tcPr>
            <w:tcW w:w="1920" w:type="dxa"/>
            <w:tcBorders>
              <w:top w:val="single" w:color="auto" w:sz="12" w:space="0"/>
            </w:tcBorders>
            <w:shd w:val="clear" w:color="auto" w:fill="auto"/>
            <w:vAlign w:val="center"/>
          </w:tcPr>
          <w:p>
            <w:pPr>
              <w:spacing w:line="360" w:lineRule="auto"/>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最高限价</w:t>
            </w:r>
          </w:p>
        </w:tc>
        <w:tc>
          <w:tcPr>
            <w:tcW w:w="1410" w:type="dxa"/>
            <w:tcBorders>
              <w:top w:val="single" w:color="auto" w:sz="12" w:space="0"/>
            </w:tcBorders>
            <w:shd w:val="clear" w:color="auto" w:fill="auto"/>
            <w:vAlign w:val="center"/>
          </w:tcPr>
          <w:p>
            <w:pPr>
              <w:spacing w:line="360" w:lineRule="auto"/>
              <w:jc w:val="center"/>
              <w:rPr>
                <w:rFonts w:ascii="宋体" w:hAnsi="宋体" w:cs="宋体"/>
                <w:b/>
                <w:szCs w:val="21"/>
                <w:highlight w:val="none"/>
              </w:rPr>
            </w:pPr>
            <w:r>
              <w:rPr>
                <w:rFonts w:hint="eastAsia" w:ascii="宋体" w:hAnsi="宋体" w:cs="宋体"/>
                <w:b/>
                <w:szCs w:val="21"/>
                <w:highlight w:val="none"/>
              </w:rPr>
              <w:t>报价（元）</w:t>
            </w:r>
          </w:p>
        </w:tc>
        <w:tc>
          <w:tcPr>
            <w:tcW w:w="1207" w:type="dxa"/>
            <w:tcBorders>
              <w:top w:val="single" w:color="auto" w:sz="12" w:space="0"/>
            </w:tcBorders>
            <w:shd w:val="clear" w:color="auto" w:fill="auto"/>
            <w:vAlign w:val="center"/>
          </w:tcPr>
          <w:p>
            <w:pPr>
              <w:spacing w:line="360" w:lineRule="auto"/>
              <w:jc w:val="center"/>
              <w:rPr>
                <w:rFonts w:ascii="宋体" w:hAnsi="宋体" w:cs="宋体"/>
                <w:b/>
                <w:szCs w:val="21"/>
                <w:highlight w:val="none"/>
              </w:rPr>
            </w:pPr>
            <w:r>
              <w:rPr>
                <w:rFonts w:hint="eastAsia" w:ascii="宋体" w:hAnsi="宋体" w:cs="宋体"/>
                <w:b/>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586" w:hRule="atLeast"/>
          <w:jc w:val="center"/>
        </w:trPr>
        <w:tc>
          <w:tcPr>
            <w:tcW w:w="2534" w:type="dxa"/>
            <w:shd w:val="clear" w:color="auto" w:fill="auto"/>
            <w:vAlign w:val="center"/>
          </w:tcPr>
          <w:p>
            <w:pPr>
              <w:spacing w:line="360" w:lineRule="auto"/>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2024年顺德区预防接种短信购买短信服务</w:t>
            </w:r>
          </w:p>
        </w:tc>
        <w:tc>
          <w:tcPr>
            <w:tcW w:w="1041" w:type="dxa"/>
            <w:shd w:val="clear" w:color="auto" w:fill="auto"/>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szCs w:val="21"/>
                <w:highlight w:val="none"/>
              </w:rPr>
              <w:t>1085714</w:t>
            </w:r>
          </w:p>
        </w:tc>
        <w:tc>
          <w:tcPr>
            <w:tcW w:w="821" w:type="dxa"/>
            <w:shd w:val="clear" w:color="auto" w:fill="auto"/>
            <w:vAlign w:val="center"/>
          </w:tcPr>
          <w:p>
            <w:pPr>
              <w:pStyle w:val="35"/>
              <w:spacing w:before="0" w:after="0" w:line="360" w:lineRule="auto"/>
              <w:ind w:right="-82" w:rightChars="-39" w:hanging="54"/>
              <w:rPr>
                <w:rFonts w:ascii="宋体" w:hAnsi="宋体" w:cs="宋体"/>
                <w:color w:val="000000" w:themeColor="text1"/>
                <w:spacing w:val="0"/>
                <w:kern w:val="2"/>
                <w:sz w:val="21"/>
                <w:szCs w:val="21"/>
                <w:highlight w:val="none"/>
                <w14:textFill>
                  <w14:solidFill>
                    <w14:schemeClr w14:val="tx1"/>
                  </w14:solidFill>
                </w14:textFill>
              </w:rPr>
            </w:pPr>
            <w:r>
              <w:rPr>
                <w:rFonts w:hint="eastAsia" w:ascii="宋体" w:hAnsi="宋体" w:cs="宋体"/>
                <w:color w:val="000000" w:themeColor="text1"/>
                <w:spacing w:val="0"/>
                <w:kern w:val="2"/>
                <w:sz w:val="21"/>
                <w:szCs w:val="21"/>
                <w:highlight w:val="none"/>
                <w14:textFill>
                  <w14:solidFill>
                    <w14:schemeClr w14:val="tx1"/>
                  </w14:solidFill>
                </w14:textFill>
              </w:rPr>
              <w:t>条</w:t>
            </w:r>
          </w:p>
        </w:tc>
        <w:tc>
          <w:tcPr>
            <w:tcW w:w="1920" w:type="dxa"/>
            <w:shd w:val="clear" w:color="auto" w:fill="auto"/>
            <w:vAlign w:val="center"/>
          </w:tcPr>
          <w:p>
            <w:pPr>
              <w:pStyle w:val="35"/>
              <w:spacing w:before="0" w:after="0" w:line="360" w:lineRule="auto"/>
              <w:ind w:right="-82" w:rightChars="-39" w:hanging="54"/>
              <w:rPr>
                <w:rFonts w:ascii="宋体" w:hAnsi="宋体" w:cs="宋体"/>
                <w:color w:val="000000" w:themeColor="text1"/>
                <w:spacing w:val="0"/>
                <w:kern w:val="2"/>
                <w:sz w:val="21"/>
                <w:szCs w:val="21"/>
                <w:highlight w:val="none"/>
                <w14:textFill>
                  <w14:solidFill>
                    <w14:schemeClr w14:val="tx1"/>
                  </w14:solidFill>
                </w14:textFill>
              </w:rPr>
            </w:pPr>
            <w:r>
              <w:rPr>
                <w:rFonts w:hint="eastAsia" w:ascii="宋体" w:hAnsi="宋体" w:cs="宋体"/>
                <w:color w:val="000000" w:themeColor="text1"/>
                <w:spacing w:val="0"/>
                <w:kern w:val="2"/>
                <w:sz w:val="21"/>
                <w:szCs w:val="21"/>
                <w:highlight w:val="none"/>
                <w14:textFill>
                  <w14:solidFill>
                    <w14:schemeClr w14:val="tx1"/>
                  </w14:solidFill>
                </w14:textFill>
              </w:rPr>
              <w:t>人民币76000元</w:t>
            </w:r>
          </w:p>
        </w:tc>
        <w:tc>
          <w:tcPr>
            <w:tcW w:w="1410" w:type="dxa"/>
            <w:shd w:val="clear" w:color="auto" w:fill="auto"/>
          </w:tcPr>
          <w:p>
            <w:pPr>
              <w:pStyle w:val="35"/>
              <w:spacing w:before="0" w:after="0" w:line="360" w:lineRule="auto"/>
              <w:ind w:right="-82" w:rightChars="-39" w:hanging="54"/>
              <w:rPr>
                <w:rFonts w:ascii="宋体" w:hAnsi="宋体" w:cs="宋体"/>
                <w:color w:val="000000" w:themeColor="text1"/>
                <w:spacing w:val="0"/>
                <w:kern w:val="2"/>
                <w:sz w:val="21"/>
                <w:szCs w:val="21"/>
                <w:highlight w:val="none"/>
                <w14:textFill>
                  <w14:solidFill>
                    <w14:schemeClr w14:val="tx1"/>
                  </w14:solidFill>
                </w14:textFill>
              </w:rPr>
            </w:pPr>
          </w:p>
        </w:tc>
        <w:tc>
          <w:tcPr>
            <w:tcW w:w="1207" w:type="dxa"/>
            <w:shd w:val="clear" w:color="auto" w:fill="auto"/>
          </w:tcPr>
          <w:p>
            <w:pPr>
              <w:pStyle w:val="35"/>
              <w:spacing w:before="0" w:after="0" w:line="360" w:lineRule="auto"/>
              <w:ind w:right="-82" w:rightChars="-39" w:hanging="54"/>
              <w:rPr>
                <w:rFonts w:ascii="宋体" w:hAnsi="宋体" w:cs="宋体"/>
                <w:color w:val="000000" w:themeColor="text1"/>
                <w:spacing w:val="0"/>
                <w:kern w:val="2"/>
                <w:sz w:val="21"/>
                <w:szCs w:val="21"/>
                <w:highlight w:val="none"/>
                <w14:textFill>
                  <w14:solidFill>
                    <w14:schemeClr w14:val="tx1"/>
                  </w14:solidFill>
                </w14:textFill>
              </w:rPr>
            </w:pPr>
          </w:p>
        </w:tc>
      </w:tr>
    </w:tbl>
    <w:p>
      <w:pPr>
        <w:spacing w:line="360" w:lineRule="auto"/>
        <w:rPr>
          <w:rFonts w:asciiTheme="minorEastAsia" w:hAnsiTheme="minorEastAsia"/>
          <w:b/>
          <w:spacing w:val="4"/>
          <w:highlight w:val="none"/>
        </w:rPr>
      </w:pPr>
      <w:r>
        <w:rPr>
          <w:rFonts w:hint="eastAsia" w:asciiTheme="minorEastAsia" w:hAnsiTheme="minorEastAsia"/>
          <w:b/>
          <w:spacing w:val="4"/>
          <w:highlight w:val="none"/>
        </w:rPr>
        <w:t>注：</w:t>
      </w:r>
    </w:p>
    <w:p>
      <w:pPr>
        <w:spacing w:line="360" w:lineRule="auto"/>
        <w:ind w:firstLine="438" w:firstLineChars="200"/>
        <w:rPr>
          <w:rFonts w:asciiTheme="minorEastAsia" w:hAnsiTheme="minorEastAsia" w:eastAsiaTheme="minorEastAsia"/>
          <w:b/>
          <w:bCs/>
          <w:highlight w:val="none"/>
          <w:u w:val="single"/>
        </w:rPr>
      </w:pPr>
      <w:r>
        <w:rPr>
          <w:rFonts w:hint="eastAsia" w:asciiTheme="minorEastAsia" w:hAnsiTheme="minorEastAsia" w:eastAsiaTheme="minorEastAsia"/>
          <w:b/>
          <w:spacing w:val="4"/>
          <w:highlight w:val="none"/>
        </w:rPr>
        <w:t>1、</w:t>
      </w:r>
      <w:r>
        <w:rPr>
          <w:rFonts w:hint="eastAsia" w:asciiTheme="minorEastAsia" w:hAnsiTheme="minorEastAsia" w:eastAsiaTheme="minorEastAsia"/>
          <w:b/>
          <w:bCs/>
          <w:highlight w:val="none"/>
          <w:u w:val="single"/>
        </w:rPr>
        <w:t>供应商必须按报价表的格式填写，不得增加或删除表格内容。除单价、金额或项目要求填写的内容外，不得擅自改动报价表内容，否则将有可能影响成交结果，不推荐为</w:t>
      </w:r>
      <w:bookmarkStart w:id="3" w:name="_Hlk79481060"/>
      <w:r>
        <w:rPr>
          <w:rFonts w:hint="eastAsia" w:asciiTheme="minorEastAsia" w:hAnsiTheme="minorEastAsia" w:eastAsiaTheme="minorEastAsia"/>
          <w:b/>
          <w:bCs/>
          <w:highlight w:val="none"/>
          <w:u w:val="single"/>
        </w:rPr>
        <w:t>成交</w:t>
      </w:r>
      <w:bookmarkEnd w:id="3"/>
      <w:r>
        <w:rPr>
          <w:rFonts w:hint="eastAsia" w:asciiTheme="minorEastAsia" w:hAnsiTheme="minorEastAsia" w:eastAsiaTheme="minorEastAsia"/>
          <w:b/>
          <w:bCs/>
          <w:highlight w:val="none"/>
          <w:u w:val="single"/>
        </w:rPr>
        <w:t>候选人。</w:t>
      </w:r>
    </w:p>
    <w:p>
      <w:pPr>
        <w:pStyle w:val="21"/>
        <w:shd w:val="clear" w:color="auto" w:fill="FFFFFF"/>
        <w:spacing w:before="0" w:beforeAutospacing="0" w:after="0" w:afterAutospacing="0" w:line="360" w:lineRule="auto"/>
        <w:ind w:firstLine="422" w:firstLineChars="200"/>
        <w:rPr>
          <w:rFonts w:asciiTheme="minorEastAsia" w:hAnsiTheme="minorEastAsia" w:eastAsiaTheme="minorEastAsia"/>
          <w:b/>
          <w:sz w:val="21"/>
          <w:szCs w:val="21"/>
          <w:highlight w:val="none"/>
        </w:rPr>
      </w:pPr>
      <w:r>
        <w:rPr>
          <w:rFonts w:hint="eastAsia" w:asciiTheme="minorEastAsia" w:hAnsiTheme="minorEastAsia" w:eastAsiaTheme="minorEastAsia"/>
          <w:b/>
          <w:sz w:val="21"/>
          <w:szCs w:val="21"/>
          <w:highlight w:val="none"/>
        </w:rPr>
        <w:t>2、所有价格均系用人民币表示，单位为元，</w:t>
      </w:r>
      <w:r>
        <w:rPr>
          <w:rFonts w:hint="eastAsia" w:asciiTheme="minorEastAsia" w:hAnsiTheme="minorEastAsia" w:eastAsiaTheme="minorEastAsia"/>
          <w:b/>
          <w:bCs/>
          <w:sz w:val="21"/>
          <w:szCs w:val="21"/>
          <w:highlight w:val="none"/>
        </w:rPr>
        <w:t>均为含税价</w:t>
      </w:r>
      <w:r>
        <w:rPr>
          <w:rFonts w:hint="eastAsia" w:asciiTheme="minorEastAsia" w:hAnsiTheme="minorEastAsia" w:eastAsiaTheme="minorEastAsia"/>
          <w:b/>
          <w:sz w:val="21"/>
          <w:szCs w:val="21"/>
          <w:highlight w:val="none"/>
        </w:rPr>
        <w:t>。</w:t>
      </w:r>
    </w:p>
    <w:p>
      <w:pPr>
        <w:pStyle w:val="21"/>
        <w:shd w:val="clear" w:color="auto" w:fill="FFFFFF"/>
        <w:spacing w:before="0" w:beforeAutospacing="0" w:after="0" w:afterAutospacing="0" w:line="360" w:lineRule="auto"/>
        <w:ind w:firstLine="422" w:firstLineChars="200"/>
        <w:rPr>
          <w:b/>
          <w:sz w:val="21"/>
          <w:szCs w:val="21"/>
          <w:highlight w:val="none"/>
        </w:rPr>
      </w:pPr>
      <w:r>
        <w:rPr>
          <w:rFonts w:hint="eastAsia"/>
          <w:b/>
          <w:sz w:val="21"/>
          <w:szCs w:val="21"/>
          <w:highlight w:val="none"/>
        </w:rPr>
        <w:t>3、平台上报价与报价表合计不一致的，以报价表合计（经价格核准后的价格）为准。</w:t>
      </w:r>
    </w:p>
    <w:p>
      <w:pPr>
        <w:spacing w:line="360" w:lineRule="auto"/>
        <w:rPr>
          <w:rFonts w:asciiTheme="minorEastAsia" w:hAnsiTheme="minorEastAsia"/>
          <w:spacing w:val="4"/>
          <w:highlight w:val="none"/>
        </w:rPr>
      </w:pPr>
    </w:p>
    <w:p>
      <w:pPr>
        <w:spacing w:line="360" w:lineRule="auto"/>
        <w:rPr>
          <w:rFonts w:asciiTheme="minorEastAsia" w:hAnsiTheme="minorEastAsia"/>
          <w:highlight w:val="none"/>
          <w:u w:val="single"/>
        </w:rPr>
      </w:pPr>
      <w:r>
        <w:rPr>
          <w:rFonts w:hint="eastAsia" w:asciiTheme="minorEastAsia" w:hAnsiTheme="minorEastAsia"/>
          <w:spacing w:val="4"/>
          <w:highlight w:val="none"/>
        </w:rPr>
        <w:t>供应商名称（</w:t>
      </w:r>
      <w:r>
        <w:rPr>
          <w:rFonts w:hint="eastAsia" w:asciiTheme="minorEastAsia" w:hAnsiTheme="minorEastAsia"/>
          <w:highlight w:val="none"/>
        </w:rPr>
        <w:t>单位盖</w:t>
      </w:r>
      <w:r>
        <w:rPr>
          <w:rFonts w:hint="eastAsia" w:asciiTheme="minorEastAsia" w:hAnsiTheme="minorEastAsia"/>
          <w:spacing w:val="4"/>
          <w:highlight w:val="none"/>
        </w:rPr>
        <w:t>公章）：</w:t>
      </w:r>
      <w:r>
        <w:rPr>
          <w:rFonts w:asciiTheme="minorEastAsia" w:hAnsiTheme="minorEastAsia"/>
          <w:spacing w:val="4"/>
          <w:highlight w:val="none"/>
          <w:u w:val="single"/>
        </w:rPr>
        <w:t xml:space="preserve">                     </w:t>
      </w:r>
    </w:p>
    <w:p>
      <w:pPr>
        <w:spacing w:line="360" w:lineRule="auto"/>
        <w:rPr>
          <w:rFonts w:asciiTheme="minorEastAsia" w:hAnsiTheme="minorEastAsia"/>
          <w:spacing w:val="4"/>
          <w:highlight w:val="none"/>
        </w:rPr>
      </w:pPr>
    </w:p>
    <w:p>
      <w:pPr>
        <w:spacing w:line="360" w:lineRule="auto"/>
        <w:rPr>
          <w:rFonts w:asciiTheme="minorEastAsia" w:hAnsiTheme="minorEastAsia"/>
          <w:spacing w:val="4"/>
          <w:highlight w:val="none"/>
          <w:u w:val="single"/>
        </w:rPr>
      </w:pPr>
      <w:r>
        <w:rPr>
          <w:rFonts w:hint="eastAsia" w:asciiTheme="minorEastAsia" w:hAnsiTheme="minorEastAsia"/>
          <w:spacing w:val="4"/>
          <w:highlight w:val="none"/>
        </w:rPr>
        <w:t>日期：</w:t>
      </w:r>
      <w:r>
        <w:rPr>
          <w:rFonts w:asciiTheme="minorEastAsia" w:hAnsiTheme="minorEastAsia"/>
          <w:spacing w:val="4"/>
          <w:highlight w:val="none"/>
          <w:u w:val="single"/>
        </w:rPr>
        <w:t xml:space="preserve">                 </w:t>
      </w:r>
    </w:p>
    <w:p>
      <w:pPr>
        <w:widowControl/>
        <w:jc w:val="left"/>
        <w:rPr>
          <w:rFonts w:ascii="宋体" w:hAnsi="宋体"/>
          <w:b/>
          <w:bCs/>
          <w:kern w:val="0"/>
          <w:sz w:val="32"/>
          <w:szCs w:val="32"/>
          <w:highlight w:val="none"/>
        </w:rPr>
      </w:pPr>
    </w:p>
    <w:p>
      <w:pPr>
        <w:keepNext/>
        <w:spacing w:after="240" w:line="360" w:lineRule="auto"/>
        <w:ind w:left="720" w:hanging="360"/>
        <w:jc w:val="center"/>
        <w:outlineLvl w:val="1"/>
        <w:rPr>
          <w:rFonts w:ascii="宋体" w:hAnsi="宋体"/>
          <w:b/>
          <w:bCs/>
          <w:kern w:val="0"/>
          <w:sz w:val="32"/>
          <w:szCs w:val="32"/>
          <w:highlight w:val="none"/>
        </w:rPr>
      </w:pPr>
      <w:r>
        <w:rPr>
          <w:rFonts w:ascii="宋体" w:hAnsi="宋体"/>
          <w:b/>
          <w:bCs/>
          <w:kern w:val="0"/>
          <w:sz w:val="32"/>
          <w:szCs w:val="32"/>
          <w:highlight w:val="none"/>
        </w:rPr>
        <w:br w:type="page"/>
      </w:r>
      <w:r>
        <w:rPr>
          <w:rFonts w:hint="eastAsia" w:ascii="宋体" w:hAnsi="宋体"/>
          <w:b/>
          <w:bCs/>
          <w:kern w:val="0"/>
          <w:sz w:val="32"/>
          <w:szCs w:val="32"/>
          <w:highlight w:val="none"/>
        </w:rPr>
        <w:t>用户需求书响应声明函</w:t>
      </w:r>
    </w:p>
    <w:p>
      <w:pPr>
        <w:spacing w:line="360" w:lineRule="auto"/>
        <w:rPr>
          <w:rFonts w:ascii="宋体" w:hAnsi="宋体"/>
          <w:b/>
          <w:highlight w:val="none"/>
        </w:rPr>
      </w:pPr>
      <w:r>
        <w:rPr>
          <w:rFonts w:hint="eastAsia" w:ascii="宋体" w:hAnsi="宋体"/>
          <w:b/>
          <w:highlight w:val="none"/>
        </w:rPr>
        <w:t>致：</w:t>
      </w:r>
      <w:r>
        <w:rPr>
          <w:rFonts w:hint="eastAsia"/>
          <w:b/>
          <w:bCs/>
          <w:highlight w:val="none"/>
        </w:rPr>
        <w:t>佛山市顺德区疾病预防控制中心</w:t>
      </w:r>
      <w:r>
        <w:rPr>
          <w:rFonts w:hint="eastAsia" w:ascii="宋体" w:hAnsi="宋体"/>
          <w:b/>
          <w:highlight w:val="none"/>
        </w:rPr>
        <w:t>、云采链（广州）信息科技有限公司</w:t>
      </w:r>
    </w:p>
    <w:p>
      <w:pPr>
        <w:snapToGrid w:val="0"/>
        <w:spacing w:line="480" w:lineRule="auto"/>
        <w:ind w:firstLine="420" w:firstLineChars="200"/>
        <w:rPr>
          <w:rFonts w:ascii="宋体" w:hAnsi="宋体"/>
          <w:highlight w:val="none"/>
        </w:rPr>
      </w:pPr>
    </w:p>
    <w:p>
      <w:pPr>
        <w:snapToGrid w:val="0"/>
        <w:spacing w:line="480" w:lineRule="auto"/>
        <w:ind w:firstLine="420" w:firstLineChars="200"/>
        <w:rPr>
          <w:rFonts w:ascii="宋体" w:hAnsi="宋体"/>
          <w:b/>
          <w:bCs/>
          <w:highlight w:val="none"/>
          <w:u w:val="single"/>
        </w:rPr>
      </w:pPr>
      <w:r>
        <w:rPr>
          <w:rFonts w:hint="eastAsia" w:ascii="宋体" w:hAnsi="宋体"/>
          <w:highlight w:val="none"/>
        </w:rPr>
        <w:t>关于贵单位、贵司发布</w:t>
      </w:r>
      <w:r>
        <w:rPr>
          <w:rFonts w:hint="eastAsia" w:ascii="宋体" w:hAnsi="宋体"/>
          <w:b/>
          <w:highlight w:val="none"/>
        </w:rPr>
        <w:t>2024年顺德区预防接种短信购买短信服务</w:t>
      </w:r>
      <w:r>
        <w:rPr>
          <w:rFonts w:hint="eastAsia" w:ascii="宋体" w:hAnsi="宋体"/>
          <w:highlight w:val="none"/>
        </w:rPr>
        <w:t>的竞价公告，本公司（企业）愿意参加采购活动，并作出如下声明：</w:t>
      </w:r>
    </w:p>
    <w:p>
      <w:pPr>
        <w:tabs>
          <w:tab w:val="left" w:pos="426"/>
        </w:tabs>
        <w:snapToGrid w:val="0"/>
        <w:spacing w:line="480" w:lineRule="auto"/>
        <w:ind w:firstLine="420"/>
        <w:rPr>
          <w:rFonts w:ascii="宋体" w:hAnsi="宋体"/>
          <w:kern w:val="0"/>
          <w:highlight w:val="none"/>
        </w:rPr>
      </w:pPr>
      <w:r>
        <w:rPr>
          <w:rFonts w:hint="eastAsia" w:ascii="宋体" w:hAnsi="宋体"/>
          <w:kern w:val="0"/>
          <w:highlight w:val="none"/>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pPr>
        <w:tabs>
          <w:tab w:val="left" w:pos="426"/>
        </w:tabs>
        <w:snapToGrid w:val="0"/>
        <w:spacing w:line="480" w:lineRule="auto"/>
        <w:ind w:firstLine="420"/>
        <w:rPr>
          <w:rFonts w:ascii="宋体" w:hAnsi="宋体" w:cs="宋体"/>
          <w:kern w:val="0"/>
          <w:highlight w:val="none"/>
        </w:rPr>
      </w:pPr>
      <w:r>
        <w:rPr>
          <w:rFonts w:hint="eastAsia" w:ascii="宋体" w:hAnsi="宋体" w:cs="宋体"/>
          <w:kern w:val="0"/>
          <w:highlight w:val="none"/>
        </w:rPr>
        <w:t>本公司（企业）承诺在本次采购活动中，如有违法、违规、弄虚作假行为，所造成的损失、不良后果及法律责任，一律由我公司（企业）承担。</w:t>
      </w:r>
    </w:p>
    <w:p>
      <w:pPr>
        <w:autoSpaceDE w:val="0"/>
        <w:autoSpaceDN w:val="0"/>
        <w:adjustRightInd w:val="0"/>
        <w:spacing w:line="480" w:lineRule="auto"/>
        <w:ind w:firstLine="413" w:firstLineChars="196"/>
        <w:rPr>
          <w:rFonts w:ascii="宋体" w:hAnsi="宋体"/>
          <w:b/>
          <w:highlight w:val="none"/>
        </w:rPr>
      </w:pPr>
      <w:r>
        <w:rPr>
          <w:rFonts w:hint="eastAsia" w:ascii="宋体" w:hAnsi="宋体"/>
          <w:b/>
          <w:highlight w:val="none"/>
        </w:rPr>
        <w:t>备注：</w:t>
      </w:r>
    </w:p>
    <w:p>
      <w:pPr>
        <w:widowControl/>
        <w:numPr>
          <w:ilvl w:val="0"/>
          <w:numId w:val="9"/>
        </w:numPr>
        <w:autoSpaceDE w:val="0"/>
        <w:autoSpaceDN w:val="0"/>
        <w:adjustRightInd w:val="0"/>
        <w:spacing w:line="480" w:lineRule="auto"/>
        <w:jc w:val="left"/>
        <w:rPr>
          <w:rFonts w:ascii="宋体" w:hAnsi="宋体"/>
          <w:highlight w:val="none"/>
        </w:rPr>
      </w:pPr>
      <w:r>
        <w:rPr>
          <w:rFonts w:hint="eastAsia" w:ascii="宋体" w:hAnsi="宋体"/>
          <w:highlight w:val="none"/>
        </w:rPr>
        <w:t>本声明函必须提供且内容不得擅自删改，否则视为响应无效。</w:t>
      </w:r>
    </w:p>
    <w:p>
      <w:pPr>
        <w:widowControl/>
        <w:numPr>
          <w:ilvl w:val="0"/>
          <w:numId w:val="9"/>
        </w:numPr>
        <w:snapToGrid w:val="0"/>
        <w:spacing w:line="480" w:lineRule="auto"/>
        <w:jc w:val="left"/>
        <w:rPr>
          <w:rFonts w:ascii="宋体" w:hAnsi="宋体"/>
          <w:highlight w:val="none"/>
        </w:rPr>
      </w:pPr>
      <w:r>
        <w:rPr>
          <w:rFonts w:hint="eastAsia" w:ascii="宋体" w:hAnsi="宋体"/>
          <w:highlight w:val="none"/>
        </w:rPr>
        <w:t>本声明函如有虚假或与事实不符的，作无效报价处理。</w:t>
      </w:r>
    </w:p>
    <w:p>
      <w:pPr>
        <w:widowControl/>
        <w:spacing w:line="480" w:lineRule="auto"/>
        <w:jc w:val="left"/>
        <w:rPr>
          <w:rFonts w:ascii="宋体" w:hAnsi="宋体"/>
          <w:b/>
          <w:bCs/>
          <w:kern w:val="0"/>
          <w:sz w:val="32"/>
          <w:szCs w:val="32"/>
          <w:highlight w:val="none"/>
        </w:rPr>
      </w:pPr>
    </w:p>
    <w:p>
      <w:pPr>
        <w:pStyle w:val="36"/>
        <w:spacing w:line="360" w:lineRule="auto"/>
        <w:ind w:right="218" w:firstLine="0" w:firstLineChars="0"/>
        <w:jc w:val="left"/>
        <w:rPr>
          <w:rFonts w:ascii="宋体" w:hAnsi="宋体"/>
          <w:highlight w:val="none"/>
          <w:u w:val="single"/>
        </w:rPr>
      </w:pPr>
      <w:r>
        <w:rPr>
          <w:rFonts w:hint="eastAsia" w:ascii="宋体" w:hAnsi="宋体"/>
          <w:spacing w:val="4"/>
          <w:highlight w:val="none"/>
        </w:rPr>
        <w:t>供应商名称（</w:t>
      </w:r>
      <w:r>
        <w:rPr>
          <w:rFonts w:hint="eastAsia" w:ascii="宋体" w:hAnsi="宋体"/>
          <w:highlight w:val="none"/>
        </w:rPr>
        <w:t>单位盖</w:t>
      </w:r>
      <w:r>
        <w:rPr>
          <w:rFonts w:hint="eastAsia" w:ascii="宋体" w:hAnsi="宋体"/>
          <w:spacing w:val="4"/>
          <w:highlight w:val="none"/>
        </w:rPr>
        <w:t>公章）：</w:t>
      </w:r>
      <w:r>
        <w:rPr>
          <w:rFonts w:hint="eastAsia" w:ascii="宋体" w:hAnsi="宋体"/>
          <w:spacing w:val="4"/>
          <w:highlight w:val="none"/>
          <w:u w:val="single"/>
        </w:rPr>
        <w:t xml:space="preserve">          </w:t>
      </w:r>
    </w:p>
    <w:p>
      <w:pPr>
        <w:pStyle w:val="36"/>
        <w:spacing w:line="360" w:lineRule="auto"/>
        <w:ind w:left="1200" w:right="210" w:firstLine="0" w:firstLineChars="0"/>
        <w:jc w:val="left"/>
        <w:rPr>
          <w:rFonts w:ascii="宋体" w:hAnsi="宋体"/>
          <w:highlight w:val="none"/>
          <w:u w:val="single"/>
        </w:rPr>
      </w:pPr>
    </w:p>
    <w:p>
      <w:pPr>
        <w:wordWrap w:val="0"/>
        <w:spacing w:line="360" w:lineRule="auto"/>
        <w:jc w:val="left"/>
        <w:rPr>
          <w:rFonts w:ascii="宋体" w:hAnsi="宋体"/>
          <w:highlight w:val="none"/>
          <w:u w:val="single"/>
        </w:rPr>
      </w:pPr>
      <w:r>
        <w:rPr>
          <w:rFonts w:hint="eastAsia" w:ascii="宋体" w:hAnsi="宋体"/>
          <w:spacing w:val="4"/>
          <w:highlight w:val="none"/>
        </w:rPr>
        <w:t>日期：</w:t>
      </w:r>
      <w:r>
        <w:rPr>
          <w:rFonts w:hint="eastAsia" w:ascii="宋体" w:hAnsi="宋体"/>
          <w:spacing w:val="4"/>
          <w:highlight w:val="none"/>
          <w:u w:val="single"/>
        </w:rPr>
        <w:t xml:space="preserve">          </w:t>
      </w:r>
      <w:bookmarkStart w:id="4" w:name="_Toc435515303"/>
      <w:bookmarkStart w:id="5" w:name="_Toc435514863"/>
      <w:r>
        <w:rPr>
          <w:rFonts w:hint="eastAsia" w:ascii="宋体" w:hAnsi="宋体"/>
          <w:spacing w:val="4"/>
          <w:highlight w:val="none"/>
          <w:u w:val="single"/>
        </w:rPr>
        <w:t xml:space="preserve"> </w:t>
      </w:r>
    </w:p>
    <w:p>
      <w:pPr>
        <w:spacing w:line="360" w:lineRule="auto"/>
        <w:jc w:val="left"/>
        <w:rPr>
          <w:rFonts w:ascii="宋体" w:hAnsi="宋体"/>
          <w:highlight w:val="none"/>
        </w:rPr>
      </w:pPr>
    </w:p>
    <w:bookmarkEnd w:id="4"/>
    <w:bookmarkEnd w:id="5"/>
    <w:p>
      <w:pPr>
        <w:widowControl/>
        <w:jc w:val="left"/>
        <w:rPr>
          <w:rFonts w:cs="Arial" w:asciiTheme="minorEastAsia" w:hAnsiTheme="minorEastAsia" w:eastAsiaTheme="minorEastAsia"/>
          <w:b/>
          <w:bCs/>
          <w:kern w:val="0"/>
          <w:sz w:val="32"/>
          <w:szCs w:val="32"/>
          <w:highlight w:val="none"/>
        </w:rPr>
      </w:pPr>
      <w:r>
        <w:rPr>
          <w:rFonts w:asciiTheme="minorEastAsia" w:hAnsiTheme="minorEastAsia" w:eastAsiaTheme="minorEastAsia"/>
          <w:highlight w:val="none"/>
        </w:rPr>
        <w:br w:type="page"/>
      </w:r>
    </w:p>
    <w:p>
      <w:pPr>
        <w:pStyle w:val="5"/>
        <w:pageBreakBefore/>
        <w:numPr>
          <w:ilvl w:val="0"/>
          <w:numId w:val="0"/>
        </w:numPr>
        <w:adjustRightInd w:val="0"/>
        <w:snapToGrid w:val="0"/>
        <w:spacing w:before="312"/>
        <w:jc w:val="center"/>
        <w:rPr>
          <w:rFonts w:ascii="黑体" w:hAnsi="黑体" w:eastAsia="黑体"/>
          <w:b w:val="0"/>
          <w:sz w:val="32"/>
          <w:highlight w:val="none"/>
        </w:rPr>
      </w:pPr>
      <w:r>
        <w:rPr>
          <w:rFonts w:hint="eastAsia" w:ascii="黑体" w:hAnsi="黑体" w:eastAsia="黑体"/>
          <w:b w:val="0"/>
          <w:sz w:val="32"/>
          <w:highlight w:val="none"/>
        </w:rPr>
        <w:t>供应商资格声明函</w:t>
      </w:r>
    </w:p>
    <w:p>
      <w:pPr>
        <w:spacing w:line="360" w:lineRule="auto"/>
        <w:rPr>
          <w:rFonts w:asciiTheme="minorEastAsia" w:hAnsiTheme="minorEastAsia" w:eastAsiaTheme="minorEastAsia"/>
          <w:b/>
          <w:highlight w:val="none"/>
        </w:rPr>
      </w:pPr>
      <w:r>
        <w:rPr>
          <w:rFonts w:hint="eastAsia" w:asciiTheme="minorEastAsia" w:hAnsiTheme="minorEastAsia" w:eastAsiaTheme="minorEastAsia"/>
          <w:b/>
          <w:highlight w:val="none"/>
        </w:rPr>
        <w:t>致：佛山市顺德区疾病预防控制中心、云采链（广州）信息科技有限公司</w:t>
      </w:r>
    </w:p>
    <w:p>
      <w:pPr>
        <w:spacing w:line="360" w:lineRule="auto"/>
        <w:rPr>
          <w:rFonts w:asciiTheme="minorEastAsia" w:hAnsiTheme="minorEastAsia" w:eastAsiaTheme="minorEastAsia"/>
          <w:b/>
          <w:highlight w:val="none"/>
        </w:rPr>
      </w:pPr>
    </w:p>
    <w:p>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关于贵单位、贵司发</w:t>
      </w:r>
      <w:r>
        <w:rPr>
          <w:rFonts w:hint="eastAsia" w:ascii="宋体" w:hAnsi="宋体"/>
          <w:highlight w:val="none"/>
        </w:rPr>
        <w:t>布</w:t>
      </w:r>
      <w:r>
        <w:rPr>
          <w:rFonts w:hint="eastAsia" w:ascii="宋体" w:hAnsi="宋体"/>
          <w:b/>
          <w:highlight w:val="none"/>
        </w:rPr>
        <w:t>2024年顺德区预防接种短信购买短信服务</w:t>
      </w:r>
      <w:r>
        <w:rPr>
          <w:rFonts w:hint="eastAsia" w:asciiTheme="minorEastAsia" w:hAnsiTheme="minorEastAsia" w:eastAsiaTheme="minorEastAsia"/>
          <w:highlight w:val="none"/>
        </w:rPr>
        <w:t>的竞价公告，本公司（企业）愿意参加竞价，并声明：</w:t>
      </w:r>
    </w:p>
    <w:p>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一、本公司（企业）具备《中华人民共和国政府采购法》第二十二条规定的条件：</w:t>
      </w:r>
    </w:p>
    <w:p>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（一）具有独立承担民事责任的能力；</w:t>
      </w:r>
    </w:p>
    <w:p>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 xml:space="preserve">（二）具有良好的商业信誉和健全的财务会计制度； </w:t>
      </w:r>
    </w:p>
    <w:p>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（三）具有履行合同所必需的</w:t>
      </w:r>
      <w:r>
        <w:rPr>
          <w:rFonts w:hint="eastAsia" w:ascii="宋体" w:hAnsi="宋体" w:cs="宋体"/>
          <w:szCs w:val="21"/>
          <w:highlight w:val="none"/>
        </w:rPr>
        <w:t>货物</w:t>
      </w:r>
      <w:r>
        <w:rPr>
          <w:rFonts w:hint="eastAsia" w:asciiTheme="minorEastAsia" w:hAnsiTheme="minorEastAsia" w:eastAsiaTheme="minorEastAsia"/>
          <w:highlight w:val="none"/>
        </w:rPr>
        <w:t>和专业技术能力；</w:t>
      </w:r>
    </w:p>
    <w:p>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（四）有依法缴纳税收和社会保障资金的良好记录；</w:t>
      </w:r>
    </w:p>
    <w:p>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（五）参加本次询价活动前三年内，在经营活动中没有重大违法记录；</w:t>
      </w:r>
    </w:p>
    <w:p>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（六）法律、行政法规规定的其他条件。</w:t>
      </w:r>
    </w:p>
    <w:p>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二、本公司具有本次采购项目服务能力。</w:t>
      </w:r>
    </w:p>
    <w:p>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三、本公司有固定的经营场所，信誉良好、售后维护服务好，并且在经营活动中无严重违法记录。</w:t>
      </w:r>
    </w:p>
    <w:p>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四、本公司在本项目中不转包且不联合竞价。</w:t>
      </w:r>
    </w:p>
    <w:p>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本公司（企业）承诺在本次采购活动中，如有违法、违规、弄虚作假行为，所造成的损失、不良后果及法律责任，一律由我公司（企业）承担。</w:t>
      </w:r>
    </w:p>
    <w:p>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特此声明！</w:t>
      </w:r>
    </w:p>
    <w:p>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备注：</w:t>
      </w:r>
    </w:p>
    <w:p>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本声明函必须提供且内容不得擅自删改，否则视为响应无效。</w:t>
      </w:r>
    </w:p>
    <w:p>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本声明函如有虚假或与事实不符的，作无效报价处理。</w:t>
      </w:r>
    </w:p>
    <w:p>
      <w:pPr>
        <w:pStyle w:val="36"/>
        <w:wordWrap w:val="0"/>
        <w:spacing w:line="360" w:lineRule="auto"/>
        <w:ind w:left="1200" w:right="218" w:firstLine="0" w:firstLineChars="0"/>
        <w:jc w:val="right"/>
        <w:rPr>
          <w:rFonts w:ascii="宋体" w:hAnsi="宋体"/>
          <w:spacing w:val="4"/>
          <w:highlight w:val="none"/>
        </w:rPr>
      </w:pPr>
    </w:p>
    <w:p>
      <w:pPr>
        <w:pStyle w:val="36"/>
        <w:spacing w:line="360" w:lineRule="auto"/>
        <w:ind w:left="1200" w:right="218" w:firstLine="0" w:firstLineChars="0"/>
        <w:jc w:val="right"/>
        <w:rPr>
          <w:rFonts w:ascii="宋体" w:hAnsi="宋体"/>
          <w:spacing w:val="4"/>
          <w:highlight w:val="none"/>
        </w:rPr>
      </w:pPr>
    </w:p>
    <w:p>
      <w:pPr>
        <w:pStyle w:val="36"/>
        <w:spacing w:line="360" w:lineRule="auto"/>
        <w:ind w:right="218" w:firstLine="218" w:firstLineChars="100"/>
        <w:jc w:val="left"/>
        <w:rPr>
          <w:rFonts w:ascii="宋体" w:hAnsi="宋体"/>
          <w:highlight w:val="none"/>
          <w:u w:val="single"/>
        </w:rPr>
      </w:pPr>
      <w:r>
        <w:rPr>
          <w:rFonts w:hint="eastAsia" w:ascii="宋体" w:hAnsi="宋体"/>
          <w:spacing w:val="4"/>
          <w:highlight w:val="none"/>
        </w:rPr>
        <w:t>供应商名称（</w:t>
      </w:r>
      <w:r>
        <w:rPr>
          <w:rFonts w:hint="eastAsia" w:ascii="宋体" w:hAnsi="宋体"/>
          <w:highlight w:val="none"/>
        </w:rPr>
        <w:t>单位盖</w:t>
      </w:r>
      <w:r>
        <w:rPr>
          <w:rFonts w:hint="eastAsia" w:ascii="宋体" w:hAnsi="宋体"/>
          <w:spacing w:val="4"/>
          <w:highlight w:val="none"/>
        </w:rPr>
        <w:t>公章）：</w:t>
      </w:r>
      <w:r>
        <w:rPr>
          <w:rFonts w:hint="eastAsia" w:ascii="宋体" w:hAnsi="宋体"/>
          <w:spacing w:val="4"/>
          <w:highlight w:val="none"/>
          <w:u w:val="single"/>
        </w:rPr>
        <w:t xml:space="preserve">          </w:t>
      </w:r>
    </w:p>
    <w:p>
      <w:pPr>
        <w:pStyle w:val="36"/>
        <w:spacing w:line="360" w:lineRule="auto"/>
        <w:ind w:left="1200" w:right="210" w:firstLine="0" w:firstLineChars="0"/>
        <w:jc w:val="left"/>
        <w:rPr>
          <w:rFonts w:ascii="宋体" w:hAnsi="宋体"/>
          <w:highlight w:val="none"/>
          <w:u w:val="single"/>
        </w:rPr>
      </w:pPr>
    </w:p>
    <w:p>
      <w:pPr>
        <w:wordWrap w:val="0"/>
        <w:spacing w:line="360" w:lineRule="auto"/>
        <w:ind w:firstLine="218" w:firstLineChars="100"/>
        <w:jc w:val="left"/>
        <w:rPr>
          <w:rFonts w:ascii="宋体" w:hAnsi="宋体"/>
          <w:highlight w:val="none"/>
          <w:u w:val="single"/>
        </w:rPr>
      </w:pPr>
      <w:r>
        <w:rPr>
          <w:rFonts w:hint="eastAsia" w:ascii="宋体" w:hAnsi="宋体"/>
          <w:spacing w:val="4"/>
          <w:highlight w:val="none"/>
        </w:rPr>
        <w:t>日期：</w:t>
      </w:r>
      <w:r>
        <w:rPr>
          <w:rFonts w:hint="eastAsia" w:ascii="宋体" w:hAnsi="宋体"/>
          <w:spacing w:val="4"/>
          <w:highlight w:val="none"/>
          <w:u w:val="single"/>
        </w:rPr>
        <w:t xml:space="preserve">          </w:t>
      </w:r>
    </w:p>
    <w:p>
      <w:pPr>
        <w:spacing w:line="360" w:lineRule="auto"/>
        <w:ind w:firstLine="420" w:firstLineChars="200"/>
        <w:rPr>
          <w:rFonts w:asciiTheme="minorEastAsia" w:hAnsiTheme="minorEastAsia" w:eastAsiaTheme="minorEastAsia"/>
          <w:highlight w:val="none"/>
        </w:rPr>
      </w:pPr>
    </w:p>
    <w:p>
      <w:pPr>
        <w:widowControl/>
        <w:jc w:val="left"/>
        <w:rPr>
          <w:rFonts w:ascii="宋体" w:hAnsi="宋体" w:cs="仿宋"/>
          <w:color w:val="000000"/>
          <w:kern w:val="0"/>
          <w:szCs w:val="21"/>
          <w:highlight w:val="none"/>
        </w:rPr>
      </w:pPr>
      <w:r>
        <w:rPr>
          <w:rFonts w:ascii="宋体" w:hAnsi="宋体" w:cs="仿宋"/>
          <w:szCs w:val="21"/>
          <w:highlight w:val="none"/>
        </w:rPr>
        <w:br w:type="page"/>
      </w:r>
    </w:p>
    <w:p>
      <w:pPr>
        <w:pStyle w:val="3"/>
        <w:rPr>
          <w:sz w:val="72"/>
          <w:szCs w:val="72"/>
          <w:highlight w:val="none"/>
        </w:rPr>
      </w:pPr>
      <w:r>
        <w:rPr>
          <w:rFonts w:hint="eastAsia"/>
          <w:sz w:val="72"/>
          <w:szCs w:val="72"/>
          <w:highlight w:val="none"/>
        </w:rPr>
        <w:t>合</w:t>
      </w:r>
      <w:r>
        <w:rPr>
          <w:sz w:val="72"/>
          <w:szCs w:val="72"/>
          <w:highlight w:val="none"/>
        </w:rPr>
        <w:t xml:space="preserve">  </w:t>
      </w:r>
      <w:r>
        <w:rPr>
          <w:rFonts w:hint="eastAsia"/>
          <w:sz w:val="72"/>
          <w:szCs w:val="72"/>
          <w:highlight w:val="none"/>
        </w:rPr>
        <w:t>同</w:t>
      </w:r>
      <w:r>
        <w:rPr>
          <w:sz w:val="72"/>
          <w:szCs w:val="72"/>
          <w:highlight w:val="none"/>
        </w:rPr>
        <w:t xml:space="preserve">  </w:t>
      </w:r>
      <w:r>
        <w:rPr>
          <w:rFonts w:hint="eastAsia"/>
          <w:sz w:val="72"/>
          <w:szCs w:val="72"/>
          <w:highlight w:val="none"/>
        </w:rPr>
        <w:t>书</w:t>
      </w:r>
    </w:p>
    <w:p>
      <w:pPr>
        <w:spacing w:line="360" w:lineRule="auto"/>
        <w:ind w:firstLine="2675" w:firstLineChars="1269"/>
        <w:rPr>
          <w:rFonts w:ascii="宋体" w:hAnsi="宋体"/>
          <w:b/>
          <w:bCs/>
          <w:highlight w:val="none"/>
        </w:rPr>
      </w:pPr>
    </w:p>
    <w:p>
      <w:pPr>
        <w:spacing w:before="156" w:beforeLines="50" w:line="360" w:lineRule="auto"/>
        <w:jc w:val="left"/>
        <w:rPr>
          <w:rFonts w:ascii="宋体" w:hAnsi="宋体"/>
          <w:b/>
          <w:bCs/>
          <w:highlight w:val="none"/>
        </w:rPr>
      </w:pPr>
    </w:p>
    <w:p>
      <w:pPr>
        <w:spacing w:line="540" w:lineRule="exact"/>
        <w:rPr>
          <w:rFonts w:ascii="宋体" w:hAnsi="宋体"/>
          <w:b/>
          <w:bCs/>
          <w:sz w:val="24"/>
          <w:szCs w:val="24"/>
          <w:highlight w:val="none"/>
        </w:rPr>
      </w:pPr>
      <w:r>
        <w:rPr>
          <w:rFonts w:hint="eastAsia" w:ascii="宋体" w:hAnsi="宋体" w:cs="宋体"/>
          <w:b/>
          <w:highlight w:val="none"/>
        </w:rPr>
        <w:t>项目名称：</w:t>
      </w:r>
      <w:r>
        <w:rPr>
          <w:rFonts w:hint="eastAsia" w:ascii="宋体" w:hAnsi="宋体"/>
          <w:b/>
          <w:highlight w:val="none"/>
        </w:rPr>
        <w:t>2024年顺德区预防接种短信购买短信服务</w:t>
      </w:r>
    </w:p>
    <w:p>
      <w:pPr>
        <w:spacing w:line="540" w:lineRule="exact"/>
        <w:rPr>
          <w:rFonts w:ascii="宋体" w:hAnsi="宋体" w:cs="宋体"/>
          <w:b/>
          <w:highlight w:val="none"/>
        </w:rPr>
      </w:pPr>
      <w:r>
        <w:rPr>
          <w:rFonts w:hint="eastAsia" w:ascii="宋体" w:hAnsi="宋体" w:cs="宋体"/>
          <w:b/>
          <w:highlight w:val="none"/>
        </w:rPr>
        <w:t>项目编号：</w:t>
      </w:r>
    </w:p>
    <w:p>
      <w:pPr>
        <w:spacing w:line="360" w:lineRule="auto"/>
        <w:rPr>
          <w:rFonts w:ascii="宋体" w:hAnsi="宋体"/>
          <w:highlight w:val="none"/>
        </w:rPr>
      </w:pPr>
    </w:p>
    <w:p>
      <w:pPr>
        <w:spacing w:line="360" w:lineRule="auto"/>
        <w:rPr>
          <w:rFonts w:ascii="宋体" w:hAnsi="宋体"/>
          <w:highlight w:val="none"/>
        </w:rPr>
      </w:pPr>
    </w:p>
    <w:p>
      <w:pPr>
        <w:spacing w:line="360" w:lineRule="auto"/>
        <w:rPr>
          <w:rFonts w:ascii="宋体" w:hAnsi="宋体"/>
          <w:highlight w:val="none"/>
        </w:rPr>
      </w:pPr>
    </w:p>
    <w:p>
      <w:pPr>
        <w:spacing w:line="360" w:lineRule="auto"/>
        <w:rPr>
          <w:rFonts w:ascii="宋体" w:hAnsi="宋体"/>
          <w:highlight w:val="none"/>
        </w:rPr>
      </w:pPr>
    </w:p>
    <w:p>
      <w:pPr>
        <w:spacing w:line="360" w:lineRule="auto"/>
        <w:rPr>
          <w:rFonts w:ascii="宋体" w:hAnsi="宋体"/>
          <w:highlight w:val="none"/>
        </w:rPr>
      </w:pPr>
    </w:p>
    <w:p>
      <w:pPr>
        <w:spacing w:line="360" w:lineRule="auto"/>
        <w:rPr>
          <w:rFonts w:ascii="宋体" w:hAnsi="宋体"/>
          <w:highlight w:val="none"/>
        </w:rPr>
      </w:pPr>
    </w:p>
    <w:p>
      <w:pPr>
        <w:spacing w:line="360" w:lineRule="auto"/>
        <w:rPr>
          <w:rFonts w:ascii="宋体" w:hAnsi="宋体"/>
          <w:highlight w:val="none"/>
        </w:rPr>
      </w:pPr>
    </w:p>
    <w:p>
      <w:pPr>
        <w:spacing w:line="360" w:lineRule="auto"/>
        <w:rPr>
          <w:rFonts w:ascii="宋体" w:hAnsi="宋体"/>
          <w:highlight w:val="none"/>
        </w:rPr>
      </w:pPr>
    </w:p>
    <w:p>
      <w:pPr>
        <w:spacing w:line="360" w:lineRule="auto"/>
        <w:rPr>
          <w:rFonts w:ascii="宋体" w:hAnsi="宋体"/>
          <w:highlight w:val="none"/>
        </w:rPr>
      </w:pPr>
    </w:p>
    <w:p>
      <w:pPr>
        <w:spacing w:line="360" w:lineRule="auto"/>
        <w:rPr>
          <w:rFonts w:ascii="宋体" w:hAnsi="宋体"/>
          <w:highlight w:val="none"/>
        </w:rPr>
      </w:pPr>
    </w:p>
    <w:p>
      <w:pPr>
        <w:spacing w:line="360" w:lineRule="auto"/>
        <w:rPr>
          <w:rFonts w:ascii="宋体" w:hAnsi="宋体"/>
          <w:highlight w:val="none"/>
        </w:rPr>
      </w:pPr>
    </w:p>
    <w:tbl>
      <w:tblPr>
        <w:tblStyle w:val="23"/>
        <w:tblW w:w="5167" w:type="dxa"/>
        <w:jc w:val="center"/>
        <w:tblLayout w:type="fixed"/>
        <w:tblCellMar>
          <w:top w:w="0" w:type="dxa"/>
          <w:left w:w="108" w:type="dxa"/>
          <w:bottom w:w="0" w:type="dxa"/>
          <w:right w:w="108" w:type="dxa"/>
        </w:tblCellMar>
      </w:tblPr>
      <w:tblGrid>
        <w:gridCol w:w="5167"/>
      </w:tblGrid>
      <w:tr>
        <w:tblPrEx>
          <w:tblCellMar>
            <w:top w:w="0" w:type="dxa"/>
            <w:left w:w="108" w:type="dxa"/>
            <w:bottom w:w="0" w:type="dxa"/>
            <w:right w:w="108" w:type="dxa"/>
          </w:tblCellMar>
        </w:tblPrEx>
        <w:trPr>
          <w:trHeight w:val="615" w:hRule="atLeast"/>
          <w:jc w:val="center"/>
        </w:trPr>
        <w:tc>
          <w:tcPr>
            <w:tcW w:w="5167" w:type="dxa"/>
          </w:tcPr>
          <w:p>
            <w:pPr>
              <w:spacing w:line="360" w:lineRule="auto"/>
              <w:rPr>
                <w:rFonts w:ascii="宋体" w:hAnsi="宋体"/>
                <w:highlight w:val="none"/>
              </w:rPr>
            </w:pPr>
            <w:r>
              <w:rPr>
                <w:rFonts w:ascii="宋体" w:hAnsi="宋体"/>
                <w:b/>
                <w:highlight w:val="none"/>
              </w:rPr>
              <w:t>甲方：</w:t>
            </w:r>
            <w:r>
              <w:rPr>
                <w:rFonts w:hint="eastAsia" w:ascii="宋体" w:hAnsi="宋体"/>
                <w:b/>
                <w:highlight w:val="none"/>
                <w:u w:val="single"/>
              </w:rPr>
              <w:t xml:space="preserve">           （采购人）           </w:t>
            </w:r>
          </w:p>
        </w:tc>
      </w:tr>
      <w:tr>
        <w:tblPrEx>
          <w:tblCellMar>
            <w:top w:w="0" w:type="dxa"/>
            <w:left w:w="108" w:type="dxa"/>
            <w:bottom w:w="0" w:type="dxa"/>
            <w:right w:w="108" w:type="dxa"/>
          </w:tblCellMar>
        </w:tblPrEx>
        <w:trPr>
          <w:trHeight w:val="439" w:hRule="atLeast"/>
          <w:jc w:val="center"/>
        </w:trPr>
        <w:tc>
          <w:tcPr>
            <w:tcW w:w="5167" w:type="dxa"/>
          </w:tcPr>
          <w:p>
            <w:pPr>
              <w:spacing w:line="360" w:lineRule="auto"/>
              <w:rPr>
                <w:rFonts w:ascii="宋体" w:hAnsi="宋体"/>
                <w:highlight w:val="none"/>
              </w:rPr>
            </w:pPr>
            <w:r>
              <w:rPr>
                <w:rFonts w:ascii="宋体" w:hAnsi="宋体"/>
                <w:b/>
                <w:highlight w:val="none"/>
              </w:rPr>
              <w:t>乙方：</w:t>
            </w:r>
            <w:r>
              <w:rPr>
                <w:rFonts w:hint="eastAsia" w:ascii="宋体" w:hAnsi="宋体"/>
                <w:b/>
                <w:highlight w:val="none"/>
                <w:u w:val="single"/>
              </w:rPr>
              <w:t xml:space="preserve">         （成交供应商）        </w:t>
            </w:r>
            <w:r>
              <w:rPr>
                <w:rFonts w:ascii="宋体" w:hAnsi="宋体"/>
                <w:b/>
                <w:highlight w:val="none"/>
                <w:u w:val="single"/>
              </w:rPr>
              <w:t xml:space="preserve"> </w:t>
            </w:r>
          </w:p>
        </w:tc>
      </w:tr>
      <w:tr>
        <w:tblPrEx>
          <w:tblCellMar>
            <w:top w:w="0" w:type="dxa"/>
            <w:left w:w="108" w:type="dxa"/>
            <w:bottom w:w="0" w:type="dxa"/>
            <w:right w:w="108" w:type="dxa"/>
          </w:tblCellMar>
        </w:tblPrEx>
        <w:trPr>
          <w:trHeight w:val="439" w:hRule="atLeast"/>
          <w:jc w:val="center"/>
        </w:trPr>
        <w:tc>
          <w:tcPr>
            <w:tcW w:w="5167" w:type="dxa"/>
          </w:tcPr>
          <w:p>
            <w:pPr>
              <w:spacing w:line="360" w:lineRule="auto"/>
              <w:jc w:val="center"/>
              <w:rPr>
                <w:rFonts w:ascii="宋体" w:hAnsi="宋体"/>
                <w:b/>
                <w:bCs/>
                <w:highlight w:val="none"/>
              </w:rPr>
            </w:pPr>
            <w:r>
              <w:rPr>
                <w:rFonts w:ascii="宋体" w:hAnsi="宋体"/>
                <w:b/>
                <w:highlight w:val="none"/>
              </w:rPr>
              <w:t>签订日期：</w:t>
            </w:r>
            <w:r>
              <w:rPr>
                <w:rFonts w:hint="eastAsia" w:ascii="宋体" w:hAnsi="宋体"/>
                <w:b/>
                <w:highlight w:val="none"/>
              </w:rPr>
              <w:t xml:space="preserve">     </w:t>
            </w:r>
            <w:r>
              <w:rPr>
                <w:rFonts w:ascii="宋体" w:hAnsi="宋体"/>
                <w:b/>
                <w:highlight w:val="none"/>
              </w:rPr>
              <w:t>年</w:t>
            </w:r>
            <w:r>
              <w:rPr>
                <w:rFonts w:hint="eastAsia" w:ascii="宋体" w:hAnsi="宋体"/>
                <w:b/>
                <w:highlight w:val="none"/>
              </w:rPr>
              <w:t xml:space="preserve">    </w:t>
            </w:r>
            <w:r>
              <w:rPr>
                <w:rFonts w:ascii="宋体" w:hAnsi="宋体"/>
                <w:b/>
                <w:highlight w:val="none"/>
              </w:rPr>
              <w:t>月</w:t>
            </w:r>
          </w:p>
        </w:tc>
      </w:tr>
    </w:tbl>
    <w:p>
      <w:pPr>
        <w:rPr>
          <w:rFonts w:ascii="宋体" w:hAnsi="宋体"/>
          <w:highlight w:val="none"/>
        </w:rPr>
      </w:pPr>
    </w:p>
    <w:p>
      <w:pPr>
        <w:adjustRightInd w:val="0"/>
        <w:snapToGrid w:val="0"/>
        <w:spacing w:line="360" w:lineRule="auto"/>
        <w:rPr>
          <w:rFonts w:ascii="宋体" w:hAnsi="宋体"/>
          <w:b/>
          <w:highlight w:val="none"/>
        </w:rPr>
      </w:pPr>
      <w:r>
        <w:rPr>
          <w:rFonts w:hint="eastAsia" w:ascii="宋体" w:hAnsi="宋体"/>
          <w:highlight w:val="none"/>
        </w:rPr>
        <w:br w:type="page"/>
      </w:r>
      <w:r>
        <w:rPr>
          <w:rFonts w:hint="eastAsia" w:ascii="宋体" w:hAnsi="宋体"/>
          <w:b/>
          <w:highlight w:val="none"/>
        </w:rPr>
        <w:t>甲      方：</w:t>
      </w:r>
      <w:r>
        <w:rPr>
          <w:rFonts w:hint="eastAsia" w:ascii="宋体" w:hAnsi="宋体"/>
          <w:b/>
          <w:highlight w:val="none"/>
          <w:u w:val="single"/>
        </w:rPr>
        <w:t xml:space="preserve"> （采购人）          </w:t>
      </w:r>
    </w:p>
    <w:p>
      <w:pPr>
        <w:adjustRightInd w:val="0"/>
        <w:snapToGrid w:val="0"/>
        <w:spacing w:line="360" w:lineRule="auto"/>
        <w:rPr>
          <w:rFonts w:ascii="宋体" w:hAnsi="宋体"/>
          <w:b/>
          <w:highlight w:val="none"/>
        </w:rPr>
      </w:pPr>
      <w:r>
        <w:rPr>
          <w:rFonts w:ascii="宋体" w:hAnsi="宋体"/>
          <w:b/>
          <w:highlight w:val="none"/>
        </w:rPr>
        <w:t>乙</w:t>
      </w:r>
      <w:r>
        <w:rPr>
          <w:rFonts w:hint="eastAsia" w:ascii="宋体" w:hAnsi="宋体"/>
          <w:b/>
          <w:highlight w:val="none"/>
        </w:rPr>
        <w:t xml:space="preserve">      </w:t>
      </w:r>
      <w:r>
        <w:rPr>
          <w:rFonts w:ascii="宋体" w:hAnsi="宋体"/>
          <w:b/>
          <w:highlight w:val="none"/>
        </w:rPr>
        <w:t>方：</w:t>
      </w:r>
      <w:r>
        <w:rPr>
          <w:rFonts w:hint="eastAsia" w:ascii="宋体" w:hAnsi="宋体"/>
          <w:b/>
          <w:highlight w:val="none"/>
          <w:u w:val="single"/>
        </w:rPr>
        <w:t xml:space="preserve"> （成交人）    </w:t>
      </w:r>
      <w:r>
        <w:rPr>
          <w:rFonts w:ascii="宋体" w:hAnsi="宋体"/>
          <w:b/>
          <w:highlight w:val="none"/>
          <w:u w:val="single"/>
        </w:rPr>
        <w:t xml:space="preserve">    </w:t>
      </w:r>
      <w:r>
        <w:rPr>
          <w:rFonts w:hint="eastAsia" w:ascii="宋体" w:hAnsi="宋体"/>
          <w:b/>
          <w:highlight w:val="none"/>
          <w:u w:val="single"/>
        </w:rPr>
        <w:t xml:space="preserve">  </w:t>
      </w:r>
    </w:p>
    <w:p>
      <w:pPr>
        <w:adjustRightInd w:val="0"/>
        <w:snapToGrid w:val="0"/>
        <w:spacing w:line="360" w:lineRule="auto"/>
        <w:rPr>
          <w:rFonts w:ascii="宋体" w:hAnsi="宋体"/>
          <w:b/>
          <w:highlight w:val="none"/>
          <w:u w:val="single"/>
        </w:rPr>
      </w:pPr>
      <w:r>
        <w:rPr>
          <w:rFonts w:hint="eastAsia" w:ascii="宋体" w:hAnsi="宋体"/>
          <w:b/>
          <w:highlight w:val="none"/>
        </w:rPr>
        <w:t>合同见证方：</w:t>
      </w:r>
    </w:p>
    <w:p>
      <w:pPr>
        <w:adjustRightInd w:val="0"/>
        <w:snapToGrid w:val="0"/>
        <w:spacing w:line="360" w:lineRule="auto"/>
        <w:ind w:firstLine="420" w:firstLineChars="200"/>
        <w:rPr>
          <w:rFonts w:ascii="宋体" w:hAnsi="宋体"/>
          <w:highlight w:val="none"/>
        </w:rPr>
      </w:pPr>
    </w:p>
    <w:p>
      <w:pPr>
        <w:adjustRightInd w:val="0"/>
        <w:snapToGrid w:val="0"/>
        <w:spacing w:line="360" w:lineRule="auto"/>
        <w:ind w:firstLine="420" w:firstLineChars="200"/>
        <w:rPr>
          <w:rFonts w:ascii="宋体" w:hAnsi="宋体"/>
          <w:kern w:val="28"/>
          <w:highlight w:val="none"/>
        </w:rPr>
      </w:pPr>
      <w:r>
        <w:rPr>
          <w:rFonts w:hint="eastAsia" w:ascii="宋体" w:hAnsi="宋体"/>
          <w:highlight w:val="none"/>
        </w:rPr>
        <w:t>根据</w:t>
      </w:r>
      <w:r>
        <w:rPr>
          <w:rFonts w:hint="eastAsia" w:ascii="宋体" w:hAnsi="宋体"/>
          <w:b/>
          <w:highlight w:val="none"/>
        </w:rPr>
        <w:t>2024年顺德区预防接种短信购买短信服务</w:t>
      </w:r>
      <w:r>
        <w:rPr>
          <w:rFonts w:hint="eastAsia" w:ascii="宋体" w:hAnsi="宋体"/>
          <w:highlight w:val="none"/>
        </w:rPr>
        <w:t>的采购结果，按照《中华人民共和国政府采购法》《中华人民共和国民法典》、竞价文件的要求，</w:t>
      </w:r>
      <w:r>
        <w:rPr>
          <w:rFonts w:hint="eastAsia" w:ascii="宋体" w:hAnsi="宋体"/>
          <w:kern w:val="28"/>
          <w:highlight w:val="none"/>
        </w:rPr>
        <w:t>经双方协商，</w:t>
      </w:r>
      <w:r>
        <w:rPr>
          <w:rFonts w:hint="eastAsia" w:ascii="宋体" w:hAnsi="宋体"/>
          <w:highlight w:val="none"/>
        </w:rPr>
        <w:t>本着平等互利和诚实信用的原则，</w:t>
      </w:r>
      <w:r>
        <w:rPr>
          <w:rFonts w:hint="eastAsia" w:ascii="宋体" w:hAnsi="宋体"/>
          <w:kern w:val="28"/>
          <w:highlight w:val="none"/>
        </w:rPr>
        <w:t>一致同意签订本合同如下。</w:t>
      </w:r>
    </w:p>
    <w:p>
      <w:pPr>
        <w:pStyle w:val="40"/>
        <w:numPr>
          <w:ilvl w:val="0"/>
          <w:numId w:val="10"/>
        </w:numPr>
        <w:spacing w:line="360" w:lineRule="auto"/>
        <w:ind w:left="0" w:firstLine="422"/>
        <w:rPr>
          <w:rFonts w:ascii="宋体" w:hAnsi="宋体" w:eastAsia="宋体" w:cs="Calibri"/>
          <w:b/>
          <w:bCs/>
          <w:szCs w:val="21"/>
          <w:highlight w:val="none"/>
        </w:rPr>
      </w:pPr>
      <w:r>
        <w:rPr>
          <w:rFonts w:hint="eastAsia" w:ascii="宋体" w:hAnsi="宋体" w:eastAsia="宋体" w:cs="Calibri"/>
          <w:b/>
          <w:bCs/>
          <w:szCs w:val="21"/>
          <w:highlight w:val="none"/>
        </w:rPr>
        <w:t>项目名称及编号</w:t>
      </w:r>
    </w:p>
    <w:p>
      <w:pPr>
        <w:numPr>
          <w:ilvl w:val="1"/>
          <w:numId w:val="11"/>
        </w:numPr>
        <w:adjustRightInd w:val="0"/>
        <w:snapToGrid w:val="0"/>
        <w:spacing w:line="360" w:lineRule="auto"/>
        <w:ind w:left="0" w:firstLine="420" w:firstLineChars="200"/>
        <w:jc w:val="left"/>
        <w:rPr>
          <w:rFonts w:ascii="宋体" w:hAnsi="宋体"/>
          <w:highlight w:val="none"/>
        </w:rPr>
      </w:pPr>
      <w:r>
        <w:rPr>
          <w:rFonts w:hint="eastAsia" w:ascii="宋体" w:hAnsi="宋体"/>
          <w:highlight w:val="none"/>
        </w:rPr>
        <w:t>项目名称：</w:t>
      </w:r>
      <w:r>
        <w:rPr>
          <w:rFonts w:hint="eastAsia" w:ascii="宋体" w:hAnsi="宋体"/>
          <w:b/>
          <w:highlight w:val="none"/>
        </w:rPr>
        <w:t>2024年顺德区预防接种短信购买短信服务</w:t>
      </w:r>
    </w:p>
    <w:p>
      <w:pPr>
        <w:numPr>
          <w:ilvl w:val="1"/>
          <w:numId w:val="11"/>
        </w:numPr>
        <w:adjustRightInd w:val="0"/>
        <w:snapToGrid w:val="0"/>
        <w:spacing w:line="360" w:lineRule="auto"/>
        <w:ind w:left="0" w:firstLine="420" w:firstLineChars="200"/>
        <w:jc w:val="left"/>
        <w:rPr>
          <w:rFonts w:ascii="宋体" w:hAnsi="宋体"/>
          <w:highlight w:val="none"/>
        </w:rPr>
      </w:pPr>
      <w:r>
        <w:rPr>
          <w:rFonts w:hint="eastAsia" w:ascii="宋体" w:hAnsi="宋体"/>
          <w:highlight w:val="none"/>
        </w:rPr>
        <w:t>项目编号：</w:t>
      </w:r>
    </w:p>
    <w:p>
      <w:pPr>
        <w:pStyle w:val="40"/>
        <w:numPr>
          <w:ilvl w:val="0"/>
          <w:numId w:val="10"/>
        </w:numPr>
        <w:spacing w:line="360" w:lineRule="auto"/>
        <w:ind w:left="0" w:firstLine="422"/>
        <w:rPr>
          <w:rFonts w:ascii="宋体" w:hAnsi="宋体" w:eastAsia="宋体" w:cs="Calibri"/>
          <w:b/>
          <w:bCs/>
          <w:szCs w:val="21"/>
          <w:highlight w:val="none"/>
        </w:rPr>
      </w:pPr>
      <w:bookmarkStart w:id="6" w:name="_Toc78604606"/>
      <w:r>
        <w:rPr>
          <w:rFonts w:hint="eastAsia" w:ascii="宋体" w:hAnsi="宋体" w:eastAsia="宋体" w:cs="Calibri"/>
          <w:b/>
          <w:bCs/>
          <w:szCs w:val="21"/>
          <w:highlight w:val="none"/>
        </w:rPr>
        <w:t>采购内容</w:t>
      </w:r>
    </w:p>
    <w:tbl>
      <w:tblPr>
        <w:tblStyle w:val="23"/>
        <w:tblW w:w="9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4"/>
        <w:gridCol w:w="1604"/>
        <w:gridCol w:w="3937"/>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2384" w:type="dxa"/>
            <w:shd w:val="clear" w:color="auto" w:fill="auto"/>
            <w:vAlign w:val="center"/>
          </w:tcPr>
          <w:p>
            <w:pPr>
              <w:spacing w:line="360" w:lineRule="auto"/>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采购内容</w:t>
            </w:r>
          </w:p>
        </w:tc>
        <w:tc>
          <w:tcPr>
            <w:tcW w:w="1604" w:type="dxa"/>
            <w:shd w:val="clear" w:color="auto" w:fill="auto"/>
            <w:vAlign w:val="center"/>
          </w:tcPr>
          <w:p>
            <w:pPr>
              <w:spacing w:line="360" w:lineRule="auto"/>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数量</w:t>
            </w:r>
          </w:p>
        </w:tc>
        <w:tc>
          <w:tcPr>
            <w:tcW w:w="3937" w:type="dxa"/>
            <w:shd w:val="clear" w:color="auto" w:fill="auto"/>
            <w:vAlign w:val="center"/>
          </w:tcPr>
          <w:p>
            <w:pPr>
              <w:spacing w:line="360" w:lineRule="auto"/>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交付时间</w:t>
            </w:r>
          </w:p>
        </w:tc>
        <w:tc>
          <w:tcPr>
            <w:tcW w:w="1861" w:type="dxa"/>
            <w:shd w:val="clear" w:color="auto" w:fill="auto"/>
          </w:tcPr>
          <w:p>
            <w:pPr>
              <w:spacing w:line="360" w:lineRule="auto"/>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384" w:type="dxa"/>
            <w:shd w:val="clear" w:color="auto" w:fill="auto"/>
            <w:vAlign w:val="center"/>
          </w:tcPr>
          <w:p>
            <w:pPr>
              <w:spacing w:line="360" w:lineRule="auto"/>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2024年顺德区预防接种短信购买短信服务</w:t>
            </w:r>
          </w:p>
        </w:tc>
        <w:tc>
          <w:tcPr>
            <w:tcW w:w="1604" w:type="dxa"/>
            <w:shd w:val="clear" w:color="auto" w:fill="auto"/>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szCs w:val="21"/>
                <w:highlight w:val="none"/>
              </w:rPr>
              <w:t>1085714条</w:t>
            </w:r>
          </w:p>
        </w:tc>
        <w:tc>
          <w:tcPr>
            <w:tcW w:w="3937" w:type="dxa"/>
            <w:shd w:val="clear" w:color="auto" w:fill="auto"/>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szCs w:val="21"/>
                <w:highlight w:val="none"/>
              </w:rPr>
              <w:t>在签订合同后7天内完成与省系统承建商的对接，15天内完成短信平台接入。</w:t>
            </w:r>
          </w:p>
        </w:tc>
        <w:tc>
          <w:tcPr>
            <w:tcW w:w="1861" w:type="dxa"/>
            <w:shd w:val="clear" w:color="auto" w:fill="auto"/>
          </w:tcPr>
          <w:p>
            <w:pPr>
              <w:spacing w:line="360" w:lineRule="auto"/>
              <w:jc w:val="center"/>
              <w:rPr>
                <w:rFonts w:ascii="宋体" w:hAnsi="宋体" w:cs="宋体"/>
                <w:szCs w:val="21"/>
                <w:highlight w:val="none"/>
              </w:rPr>
            </w:pPr>
            <w:r>
              <w:rPr>
                <w:rFonts w:hint="eastAsia" w:ascii="宋体" w:hAnsi="宋体" w:cs="宋体"/>
                <w:color w:val="000000" w:themeColor="text1"/>
                <w:szCs w:val="21"/>
                <w:highlight w:val="none"/>
                <w14:textFill>
                  <w14:solidFill>
                    <w14:schemeClr w14:val="tx1"/>
                  </w14:solidFill>
                </w14:textFill>
              </w:rPr>
              <w:t>短信不设定使用时限，发完即止</w:t>
            </w:r>
          </w:p>
        </w:tc>
      </w:tr>
    </w:tbl>
    <w:p>
      <w:pPr>
        <w:adjustRightInd w:val="0"/>
        <w:snapToGrid w:val="0"/>
        <w:spacing w:line="360" w:lineRule="auto"/>
        <w:ind w:left="420" w:leftChars="200"/>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三、</w:t>
      </w:r>
      <w:r>
        <w:rPr>
          <w:rFonts w:ascii="宋体" w:hAnsi="宋体"/>
          <w:b/>
          <w:bCs/>
          <w:color w:val="000000" w:themeColor="text1"/>
          <w:highlight w:val="none"/>
          <w14:textFill>
            <w14:solidFill>
              <w14:schemeClr w14:val="tx1"/>
            </w14:solidFill>
          </w14:textFill>
        </w:rPr>
        <w:t>合同</w:t>
      </w:r>
      <w:bookmarkEnd w:id="6"/>
      <w:r>
        <w:rPr>
          <w:rFonts w:ascii="宋体" w:hAnsi="宋体"/>
          <w:b/>
          <w:bCs/>
          <w:color w:val="000000" w:themeColor="text1"/>
          <w:highlight w:val="none"/>
          <w14:textFill>
            <w14:solidFill>
              <w14:schemeClr w14:val="tx1"/>
            </w14:solidFill>
          </w14:textFill>
        </w:rPr>
        <w:t>金额</w:t>
      </w:r>
    </w:p>
    <w:p>
      <w:pPr>
        <w:tabs>
          <w:tab w:val="left" w:pos="624"/>
        </w:tabs>
        <w:snapToGrid w:val="0"/>
        <w:spacing w:line="360" w:lineRule="auto"/>
        <w:ind w:firstLine="420" w:firstLineChars="200"/>
        <w:jc w:val="left"/>
        <w:rPr>
          <w:highlight w:val="none"/>
        </w:rPr>
      </w:pPr>
      <w:r>
        <w:rPr>
          <w:color w:val="000000" w:themeColor="text1"/>
          <w:szCs w:val="24"/>
          <w:highlight w:val="none"/>
          <w14:textFill>
            <w14:solidFill>
              <w14:schemeClr w14:val="tx1"/>
            </w14:solidFill>
          </w14:textFill>
        </w:rPr>
        <w:t>合同价：￥</w:t>
      </w:r>
      <w:r>
        <w:rPr>
          <w:color w:val="000000" w:themeColor="text1"/>
          <w:szCs w:val="24"/>
          <w:highlight w:val="none"/>
          <w:u w:val="single"/>
          <w14:textFill>
            <w14:solidFill>
              <w14:schemeClr w14:val="tx1"/>
            </w14:solidFill>
          </w14:textFill>
        </w:rPr>
        <w:t xml:space="preserve">       </w:t>
      </w:r>
      <w:r>
        <w:rPr>
          <w:rFonts w:hint="eastAsia"/>
          <w:color w:val="000000" w:themeColor="text1"/>
          <w:szCs w:val="24"/>
          <w:highlight w:val="none"/>
          <w14:textFill>
            <w14:solidFill>
              <w14:schemeClr w14:val="tx1"/>
            </w14:solidFill>
          </w14:textFill>
        </w:rPr>
        <w:t>（</w:t>
      </w:r>
      <w:r>
        <w:rPr>
          <w:color w:val="000000" w:themeColor="text1"/>
          <w:szCs w:val="24"/>
          <w:highlight w:val="none"/>
          <w14:textFill>
            <w14:solidFill>
              <w14:schemeClr w14:val="tx1"/>
            </w14:solidFill>
          </w14:textFill>
        </w:rPr>
        <w:t>小写</w:t>
      </w:r>
      <w:r>
        <w:rPr>
          <w:rFonts w:hint="eastAsia"/>
          <w:color w:val="000000" w:themeColor="text1"/>
          <w:szCs w:val="24"/>
          <w:highlight w:val="none"/>
          <w14:textFill>
            <w14:solidFill>
              <w14:schemeClr w14:val="tx1"/>
            </w14:solidFill>
          </w14:textFill>
        </w:rPr>
        <w:t>）</w:t>
      </w:r>
      <w:r>
        <w:rPr>
          <w:color w:val="000000" w:themeColor="text1"/>
          <w:szCs w:val="24"/>
          <w:highlight w:val="none"/>
          <w14:textFill>
            <w14:solidFill>
              <w14:schemeClr w14:val="tx1"/>
            </w14:solidFill>
          </w14:textFill>
        </w:rPr>
        <w:t>；人民币</w:t>
      </w:r>
      <w:r>
        <w:rPr>
          <w:color w:val="000000" w:themeColor="text1"/>
          <w:szCs w:val="24"/>
          <w:highlight w:val="none"/>
          <w:u w:val="single"/>
          <w14:textFill>
            <w14:solidFill>
              <w14:schemeClr w14:val="tx1"/>
            </w14:solidFill>
          </w14:textFill>
        </w:rPr>
        <w:t xml:space="preserve">               </w:t>
      </w:r>
      <w:r>
        <w:rPr>
          <w:rFonts w:hint="eastAsia"/>
          <w:color w:val="000000" w:themeColor="text1"/>
          <w:szCs w:val="24"/>
          <w:highlight w:val="none"/>
          <w14:textFill>
            <w14:solidFill>
              <w14:schemeClr w14:val="tx1"/>
            </w14:solidFill>
          </w14:textFill>
        </w:rPr>
        <w:t>（</w:t>
      </w:r>
      <w:r>
        <w:rPr>
          <w:color w:val="000000" w:themeColor="text1"/>
          <w:szCs w:val="24"/>
          <w:highlight w:val="none"/>
          <w14:textFill>
            <w14:solidFill>
              <w14:schemeClr w14:val="tx1"/>
            </w14:solidFill>
          </w14:textFill>
        </w:rPr>
        <w:t>大写</w:t>
      </w:r>
      <w:r>
        <w:rPr>
          <w:rFonts w:hint="eastAsia"/>
          <w:color w:val="000000" w:themeColor="text1"/>
          <w:szCs w:val="24"/>
          <w:highlight w:val="none"/>
          <w14:textFill>
            <w14:solidFill>
              <w14:schemeClr w14:val="tx1"/>
            </w14:solidFill>
          </w14:textFill>
        </w:rPr>
        <w:t>）</w:t>
      </w:r>
    </w:p>
    <w:p>
      <w:pPr>
        <w:pStyle w:val="15"/>
        <w:tabs>
          <w:tab w:val="left" w:pos="540"/>
        </w:tabs>
        <w:adjustRightInd w:val="0"/>
        <w:snapToGrid w:val="0"/>
        <w:spacing w:line="360" w:lineRule="auto"/>
        <w:ind w:left="420"/>
        <w:rPr>
          <w:rFonts w:hAnsi="宋体"/>
          <w:b/>
          <w:bCs/>
          <w:highlight w:val="none"/>
        </w:rPr>
      </w:pPr>
      <w:r>
        <w:rPr>
          <w:rFonts w:hint="eastAsia" w:hAnsi="宋体"/>
          <w:b/>
          <w:bCs/>
          <w:highlight w:val="none"/>
        </w:rPr>
        <w:t>四、内容简述：</w:t>
      </w:r>
    </w:p>
    <w:p>
      <w:pPr>
        <w:pStyle w:val="15"/>
        <w:tabs>
          <w:tab w:val="left" w:pos="540"/>
        </w:tabs>
        <w:adjustRightInd w:val="0"/>
        <w:snapToGrid w:val="0"/>
        <w:spacing w:line="360" w:lineRule="auto"/>
        <w:ind w:firstLine="420" w:firstLineChars="200"/>
        <w:rPr>
          <w:highlight w:val="none"/>
        </w:rPr>
      </w:pPr>
      <w:r>
        <w:rPr>
          <w:rFonts w:hint="eastAsia"/>
          <w:highlight w:val="none"/>
        </w:rPr>
        <w:t>依据《中华人民共和国疫苗管理法》、《预防接种工作规范2023版》等要求，预防接种工作人员采取口头预约、书面预约、电话联系、手机短信（微信）告知、邮件通知、广播通知、公示告知等方式，通知儿童监护人或受种者到场接种，告知接种疫苗的种类、时间、地点和相关要求，同时应定期筛查需漏种、补种的人员名单进行补发通知。为贯彻相关法律法规要求，落实及时、批量通知漏种儿童补种疫苗，现需购买短信1085714条，供全区24个预防接种门诊使用。</w:t>
      </w:r>
    </w:p>
    <w:p>
      <w:pPr>
        <w:pStyle w:val="15"/>
        <w:tabs>
          <w:tab w:val="left" w:pos="540"/>
        </w:tabs>
        <w:adjustRightInd w:val="0"/>
        <w:snapToGrid w:val="0"/>
        <w:spacing w:line="360" w:lineRule="auto"/>
        <w:ind w:left="420"/>
        <w:rPr>
          <w:rFonts w:hAnsi="宋体"/>
          <w:b/>
          <w:bCs/>
          <w:highlight w:val="none"/>
        </w:rPr>
      </w:pPr>
      <w:r>
        <w:rPr>
          <w:rFonts w:hint="eastAsia" w:hAnsi="宋体"/>
          <w:b/>
          <w:bCs/>
          <w:highlight w:val="none"/>
        </w:rPr>
        <w:t>五、技术参数：</w:t>
      </w:r>
    </w:p>
    <w:p>
      <w:pPr>
        <w:pStyle w:val="15"/>
        <w:tabs>
          <w:tab w:val="left" w:pos="540"/>
        </w:tabs>
        <w:adjustRightInd w:val="0"/>
        <w:snapToGrid w:val="0"/>
        <w:spacing w:line="360" w:lineRule="auto"/>
        <w:ind w:firstLine="420" w:firstLineChars="200"/>
        <w:rPr>
          <w:highlight w:val="none"/>
        </w:rPr>
      </w:pPr>
      <w:r>
        <w:rPr>
          <w:rFonts w:hint="eastAsia"/>
          <w:highlight w:val="none"/>
        </w:rPr>
        <w:t>通过主流短信平台与广东省疫苗流通与接种管理信息系统对接，支持免疫规划疫苗、新冠疫苗等查漏补种/到期未种等告知短信发送。</w:t>
      </w:r>
    </w:p>
    <w:p>
      <w:pPr>
        <w:pStyle w:val="15"/>
        <w:tabs>
          <w:tab w:val="left" w:pos="540"/>
        </w:tabs>
        <w:adjustRightInd w:val="0"/>
        <w:snapToGrid w:val="0"/>
        <w:spacing w:line="360" w:lineRule="auto"/>
        <w:ind w:left="420"/>
        <w:rPr>
          <w:rFonts w:hAnsi="宋体"/>
          <w:b/>
          <w:bCs/>
          <w:highlight w:val="none"/>
        </w:rPr>
      </w:pPr>
      <w:r>
        <w:rPr>
          <w:rFonts w:hint="eastAsia" w:hAnsi="宋体"/>
          <w:b/>
          <w:bCs/>
          <w:highlight w:val="none"/>
        </w:rPr>
        <w:t>六、具体服务内容：</w:t>
      </w:r>
    </w:p>
    <w:tbl>
      <w:tblPr>
        <w:tblStyle w:val="23"/>
        <w:tblW w:w="88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4"/>
        <w:gridCol w:w="1079"/>
        <w:gridCol w:w="5665"/>
        <w:gridCol w:w="719"/>
        <w:gridCol w:w="6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4" w:type="dxa"/>
            <w:vAlign w:val="center"/>
          </w:tcPr>
          <w:p>
            <w:pPr>
              <w:widowControl/>
              <w:spacing w:line="320" w:lineRule="exact"/>
              <w:jc w:val="center"/>
              <w:rPr>
                <w:rFonts w:ascii="宋体" w:hAnsi="宋体" w:cs="宋体"/>
                <w:b/>
                <w:color w:val="000000"/>
                <w:kern w:val="0"/>
                <w:szCs w:val="21"/>
                <w:highlight w:val="none"/>
              </w:rPr>
            </w:pPr>
            <w:r>
              <w:rPr>
                <w:rFonts w:hint="eastAsia" w:ascii="宋体" w:hAnsi="宋体" w:cs="宋体"/>
                <w:b/>
                <w:color w:val="000000"/>
                <w:kern w:val="0"/>
                <w:szCs w:val="21"/>
                <w:highlight w:val="none"/>
              </w:rPr>
              <w:t>序号</w:t>
            </w:r>
          </w:p>
        </w:tc>
        <w:tc>
          <w:tcPr>
            <w:tcW w:w="1079" w:type="dxa"/>
            <w:vAlign w:val="center"/>
          </w:tcPr>
          <w:p>
            <w:pPr>
              <w:widowControl/>
              <w:spacing w:line="320" w:lineRule="exact"/>
              <w:jc w:val="center"/>
              <w:rPr>
                <w:rFonts w:ascii="宋体" w:hAnsi="宋体" w:cs="宋体"/>
                <w:b/>
                <w:color w:val="000000"/>
                <w:kern w:val="0"/>
                <w:szCs w:val="21"/>
                <w:highlight w:val="none"/>
              </w:rPr>
            </w:pPr>
            <w:r>
              <w:rPr>
                <w:rFonts w:hint="eastAsia" w:ascii="宋体" w:hAnsi="宋体" w:cs="宋体"/>
                <w:b/>
                <w:color w:val="000000"/>
                <w:kern w:val="0"/>
                <w:szCs w:val="21"/>
                <w:highlight w:val="none"/>
              </w:rPr>
              <w:t>名称</w:t>
            </w:r>
          </w:p>
        </w:tc>
        <w:tc>
          <w:tcPr>
            <w:tcW w:w="5665" w:type="dxa"/>
            <w:vAlign w:val="center"/>
          </w:tcPr>
          <w:p>
            <w:pPr>
              <w:widowControl/>
              <w:spacing w:line="320" w:lineRule="exact"/>
              <w:jc w:val="center"/>
              <w:rPr>
                <w:rFonts w:ascii="宋体" w:hAnsi="宋体" w:cs="宋体"/>
                <w:b/>
                <w:color w:val="000000"/>
                <w:kern w:val="0"/>
                <w:szCs w:val="21"/>
                <w:highlight w:val="none"/>
              </w:rPr>
            </w:pPr>
            <w:r>
              <w:rPr>
                <w:rFonts w:hint="eastAsia" w:ascii="宋体" w:hAnsi="宋体" w:cs="宋体"/>
                <w:b/>
                <w:color w:val="000000"/>
                <w:kern w:val="0"/>
                <w:szCs w:val="21"/>
                <w:highlight w:val="none"/>
              </w:rPr>
              <w:t>服务内容</w:t>
            </w:r>
          </w:p>
        </w:tc>
        <w:tc>
          <w:tcPr>
            <w:tcW w:w="719" w:type="dxa"/>
            <w:vAlign w:val="center"/>
          </w:tcPr>
          <w:p>
            <w:pPr>
              <w:widowControl/>
              <w:spacing w:line="320" w:lineRule="exact"/>
              <w:jc w:val="center"/>
              <w:rPr>
                <w:rFonts w:ascii="宋体" w:hAnsi="宋体" w:cs="宋体"/>
                <w:b/>
                <w:color w:val="000000"/>
                <w:kern w:val="0"/>
                <w:szCs w:val="21"/>
                <w:highlight w:val="none"/>
              </w:rPr>
            </w:pPr>
            <w:r>
              <w:rPr>
                <w:rFonts w:hint="eastAsia" w:ascii="宋体" w:hAnsi="宋体" w:cs="宋体"/>
                <w:b/>
                <w:color w:val="000000"/>
                <w:kern w:val="0"/>
                <w:szCs w:val="21"/>
                <w:highlight w:val="none"/>
              </w:rPr>
              <w:t>单位</w:t>
            </w:r>
          </w:p>
        </w:tc>
        <w:tc>
          <w:tcPr>
            <w:tcW w:w="659" w:type="dxa"/>
            <w:vAlign w:val="center"/>
          </w:tcPr>
          <w:p>
            <w:pPr>
              <w:widowControl/>
              <w:spacing w:line="320" w:lineRule="exact"/>
              <w:jc w:val="center"/>
              <w:rPr>
                <w:rFonts w:ascii="宋体" w:hAnsi="宋体" w:cs="宋体"/>
                <w:b/>
                <w:color w:val="000000"/>
                <w:kern w:val="0"/>
                <w:szCs w:val="21"/>
                <w:highlight w:val="none"/>
              </w:rPr>
            </w:pPr>
            <w:r>
              <w:rPr>
                <w:rFonts w:hint="eastAsia" w:ascii="宋体" w:hAnsi="宋体" w:cs="宋体"/>
                <w:b/>
                <w:color w:val="000000"/>
                <w:kern w:val="0"/>
                <w:szCs w:val="21"/>
                <w:highlight w:val="none"/>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4" w:type="dxa"/>
            <w:vAlign w:val="center"/>
          </w:tcPr>
          <w:p>
            <w:pPr>
              <w:spacing w:line="320" w:lineRule="exact"/>
              <w:jc w:val="center"/>
              <w:rPr>
                <w:rFonts w:ascii="宋体" w:hAnsi="宋体" w:cs="宋体"/>
                <w:bCs/>
                <w:color w:val="000000"/>
                <w:kern w:val="0"/>
                <w:szCs w:val="21"/>
                <w:highlight w:val="none"/>
              </w:rPr>
            </w:pPr>
            <w:r>
              <w:rPr>
                <w:rFonts w:hint="eastAsia" w:ascii="宋体" w:hAnsi="宋体" w:cs="宋体"/>
                <w:bCs/>
                <w:color w:val="000000"/>
                <w:kern w:val="0"/>
                <w:szCs w:val="21"/>
                <w:highlight w:val="none"/>
              </w:rPr>
              <w:t>1</w:t>
            </w:r>
          </w:p>
        </w:tc>
        <w:tc>
          <w:tcPr>
            <w:tcW w:w="1079" w:type="dxa"/>
            <w:vAlign w:val="center"/>
          </w:tcPr>
          <w:p>
            <w:pPr>
              <w:pStyle w:val="45"/>
              <w:spacing w:line="320" w:lineRule="exact"/>
              <w:rPr>
                <w:rFonts w:ascii="宋体" w:hAnsi="宋体" w:eastAsia="宋体"/>
                <w:color w:val="000000"/>
                <w:szCs w:val="21"/>
                <w:highlight w:val="none"/>
                <w:lang w:bidi="ar"/>
              </w:rPr>
            </w:pPr>
            <w:r>
              <w:rPr>
                <w:rFonts w:hint="eastAsia" w:ascii="宋体" w:hAnsi="宋体" w:eastAsia="宋体"/>
                <w:color w:val="000000"/>
                <w:szCs w:val="21"/>
                <w:highlight w:val="none"/>
                <w:lang w:bidi="ar"/>
              </w:rPr>
              <w:t>短信预约接种、宣传与验证服务</w:t>
            </w:r>
          </w:p>
        </w:tc>
        <w:tc>
          <w:tcPr>
            <w:tcW w:w="5665" w:type="dxa"/>
          </w:tcPr>
          <w:p>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通过主流短信平台与广东省疫苗流通与接种管理信息系统对接，支持免疫规划疫苗或新冠疫苗查漏补种/到期未种等告知短信发送。具体能力为：</w:t>
            </w:r>
          </w:p>
          <w:p>
            <w:pPr>
              <w:numPr>
                <w:ilvl w:val="0"/>
                <w:numId w:val="12"/>
              </w:numPr>
              <w:spacing w:line="326" w:lineRule="auto"/>
              <w:ind w:left="420" w:hanging="420" w:hangingChars="200"/>
              <w:rPr>
                <w:rFonts w:ascii="宋体" w:hAnsi="宋体"/>
                <w:color w:val="000000"/>
                <w:szCs w:val="21"/>
                <w:highlight w:val="none"/>
              </w:rPr>
            </w:pPr>
            <w:r>
              <w:rPr>
                <w:rFonts w:hint="eastAsia" w:ascii="宋体" w:hAnsi="宋体"/>
                <w:color w:val="000000"/>
                <w:szCs w:val="21"/>
                <w:highlight w:val="none"/>
              </w:rPr>
              <w:t>短信可接收对象的覆盖范围应为三网国内手机号码。</w:t>
            </w:r>
          </w:p>
          <w:p>
            <w:pPr>
              <w:numPr>
                <w:ilvl w:val="0"/>
                <w:numId w:val="12"/>
              </w:numPr>
              <w:spacing w:line="326" w:lineRule="auto"/>
              <w:ind w:left="420" w:hanging="420" w:hangingChars="200"/>
              <w:rPr>
                <w:rFonts w:ascii="宋体" w:hAnsi="宋体"/>
                <w:color w:val="000000"/>
                <w:szCs w:val="21"/>
                <w:highlight w:val="none"/>
              </w:rPr>
            </w:pPr>
            <w:r>
              <w:rPr>
                <w:rFonts w:hint="eastAsia" w:ascii="宋体" w:hAnsi="宋体"/>
                <w:color w:val="000000"/>
                <w:szCs w:val="21"/>
                <w:highlight w:val="none"/>
              </w:rPr>
              <w:t>短信内容可编辑或有具体疫苗种类模板，短信署名为接种单位。</w:t>
            </w:r>
          </w:p>
          <w:p>
            <w:pPr>
              <w:numPr>
                <w:ilvl w:val="0"/>
                <w:numId w:val="12"/>
              </w:numPr>
              <w:spacing w:line="326" w:lineRule="auto"/>
              <w:ind w:left="420" w:hanging="420" w:hangingChars="200"/>
              <w:rPr>
                <w:rFonts w:ascii="宋体" w:hAnsi="宋体"/>
                <w:color w:val="000000"/>
                <w:szCs w:val="21"/>
                <w:highlight w:val="none"/>
              </w:rPr>
            </w:pPr>
            <w:r>
              <w:rPr>
                <w:rFonts w:hint="eastAsia" w:ascii="宋体" w:hAnsi="宋体"/>
                <w:color w:val="000000"/>
                <w:szCs w:val="21"/>
                <w:highlight w:val="none"/>
              </w:rPr>
              <w:t>可支持5G消息短信，覆盖三网国内手机用户，为用户提供内容更加丰富的富媒体信息服务，带来全新的人机交互模式，用户在消息窗口内就能完成疫苗接种预约、疫苗宣传内容交互等一站式的业务体验，显著提升用户体验和消息价值。</w:t>
            </w:r>
          </w:p>
          <w:p>
            <w:pPr>
              <w:numPr>
                <w:ilvl w:val="0"/>
                <w:numId w:val="12"/>
              </w:numPr>
              <w:spacing w:line="326" w:lineRule="auto"/>
              <w:ind w:left="420" w:hanging="420" w:hangingChars="200"/>
              <w:rPr>
                <w:rFonts w:ascii="宋体" w:hAnsi="宋体"/>
                <w:color w:val="000000"/>
                <w:szCs w:val="21"/>
                <w:highlight w:val="none"/>
              </w:rPr>
            </w:pPr>
            <w:r>
              <w:rPr>
                <w:rFonts w:hint="eastAsia" w:ascii="宋体" w:hAnsi="宋体"/>
                <w:color w:val="000000"/>
                <w:szCs w:val="21"/>
                <w:highlight w:val="none"/>
              </w:rPr>
              <w:t>能结合“广东省疫苗流通与接种管理信息系统”中的查漏补种/到期未种功能发送短信，且短信内容可有具体的查漏对象名字和应种疫苗；若个案存在两个号码，只发送给其中一个号码，自动识别发送不成功的手机号码并反馈给接种单位。</w:t>
            </w:r>
          </w:p>
          <w:p>
            <w:pPr>
              <w:numPr>
                <w:ilvl w:val="0"/>
                <w:numId w:val="12"/>
              </w:numPr>
              <w:spacing w:line="326" w:lineRule="auto"/>
              <w:ind w:left="420" w:hanging="420" w:hangingChars="200"/>
              <w:rPr>
                <w:rFonts w:ascii="宋体" w:hAnsi="宋体"/>
                <w:color w:val="000000"/>
                <w:szCs w:val="21"/>
                <w:highlight w:val="none"/>
              </w:rPr>
            </w:pPr>
            <w:r>
              <w:rPr>
                <w:rFonts w:hint="eastAsia" w:ascii="宋体" w:hAnsi="宋体"/>
                <w:color w:val="000000"/>
                <w:szCs w:val="21"/>
                <w:highlight w:val="none"/>
              </w:rPr>
              <w:t>实发实减，不设定最后发送限期，区内总账号进行统一调控子账号的使用量，及时反馈账号所剩余短信数量。</w:t>
            </w:r>
          </w:p>
          <w:p>
            <w:pPr>
              <w:numPr>
                <w:ilvl w:val="0"/>
                <w:numId w:val="12"/>
              </w:numPr>
              <w:spacing w:line="326" w:lineRule="auto"/>
              <w:ind w:left="420" w:hanging="420" w:hangingChars="200"/>
              <w:rPr>
                <w:highlight w:val="none"/>
              </w:rPr>
            </w:pPr>
            <w:r>
              <w:rPr>
                <w:rFonts w:hint="eastAsia" w:ascii="宋体" w:hAnsi="宋体"/>
                <w:color w:val="000000"/>
                <w:szCs w:val="21"/>
                <w:highlight w:val="none"/>
              </w:rPr>
              <w:t>售后服务要求：24小时在线向接种门诊提供短信发送的技术支持。</w:t>
            </w:r>
          </w:p>
        </w:tc>
        <w:tc>
          <w:tcPr>
            <w:tcW w:w="719" w:type="dxa"/>
            <w:vAlign w:val="center"/>
          </w:tcPr>
          <w:p>
            <w:pPr>
              <w:pStyle w:val="46"/>
              <w:spacing w:line="320" w:lineRule="exact"/>
              <w:ind w:firstLine="0"/>
              <w:jc w:val="center"/>
              <w:rPr>
                <w:rFonts w:ascii="宋体" w:hAnsi="宋体"/>
                <w:color w:val="000000"/>
                <w:kern w:val="0"/>
                <w:sz w:val="21"/>
                <w:szCs w:val="21"/>
                <w:highlight w:val="none"/>
                <w:lang w:eastAsia="zh-CN" w:bidi="ar-SA"/>
              </w:rPr>
            </w:pPr>
            <w:r>
              <w:rPr>
                <w:rFonts w:hint="eastAsia" w:ascii="宋体" w:hAnsi="宋体"/>
                <w:color w:val="000000"/>
                <w:kern w:val="0"/>
                <w:sz w:val="21"/>
                <w:szCs w:val="21"/>
                <w:highlight w:val="none"/>
                <w:lang w:eastAsia="zh-CN" w:bidi="ar-SA"/>
              </w:rPr>
              <w:t>接种门诊</w:t>
            </w:r>
          </w:p>
        </w:tc>
        <w:tc>
          <w:tcPr>
            <w:tcW w:w="659" w:type="dxa"/>
            <w:vAlign w:val="center"/>
          </w:tcPr>
          <w:p>
            <w:pPr>
              <w:pStyle w:val="46"/>
              <w:spacing w:line="320" w:lineRule="exact"/>
              <w:ind w:firstLine="0"/>
              <w:jc w:val="center"/>
              <w:rPr>
                <w:rFonts w:ascii="宋体" w:hAnsi="宋体"/>
                <w:color w:val="000000"/>
                <w:kern w:val="0"/>
                <w:sz w:val="21"/>
                <w:szCs w:val="21"/>
                <w:highlight w:val="none"/>
                <w:lang w:eastAsia="zh-CN" w:bidi="ar-SA"/>
              </w:rPr>
            </w:pPr>
            <w:r>
              <w:rPr>
                <w:rFonts w:hint="eastAsia" w:ascii="宋体" w:hAnsi="宋体"/>
                <w:color w:val="000000"/>
                <w:kern w:val="0"/>
                <w:sz w:val="21"/>
                <w:szCs w:val="21"/>
                <w:highlight w:val="none"/>
                <w:lang w:eastAsia="zh-CN" w:bidi="ar-SA"/>
              </w:rPr>
              <w:t>24个</w:t>
            </w:r>
          </w:p>
        </w:tc>
      </w:tr>
    </w:tbl>
    <w:p>
      <w:pPr>
        <w:pStyle w:val="15"/>
        <w:tabs>
          <w:tab w:val="left" w:pos="540"/>
        </w:tabs>
        <w:adjustRightInd w:val="0"/>
        <w:snapToGrid w:val="0"/>
        <w:spacing w:line="360" w:lineRule="auto"/>
        <w:ind w:firstLine="422" w:firstLineChars="200"/>
        <w:rPr>
          <w:rFonts w:hAnsi="宋体"/>
          <w:b/>
          <w:bCs/>
          <w:color w:val="000000" w:themeColor="text1"/>
          <w:highlight w:val="none"/>
          <w14:textFill>
            <w14:solidFill>
              <w14:schemeClr w14:val="tx1"/>
            </w14:solidFill>
          </w14:textFill>
        </w:rPr>
      </w:pPr>
      <w:r>
        <w:rPr>
          <w:rFonts w:hint="eastAsia" w:hAnsi="宋体"/>
          <w:b/>
          <w:bCs/>
          <w:highlight w:val="none"/>
        </w:rPr>
        <w:t>七、</w:t>
      </w:r>
      <w:r>
        <w:rPr>
          <w:rFonts w:hAnsi="宋体"/>
          <w:b/>
          <w:bCs/>
          <w:color w:val="000000" w:themeColor="text1"/>
          <w:highlight w:val="none"/>
          <w14:textFill>
            <w14:solidFill>
              <w14:schemeClr w14:val="tx1"/>
            </w14:solidFill>
          </w14:textFill>
        </w:rPr>
        <w:t>服务要求</w:t>
      </w:r>
    </w:p>
    <w:tbl>
      <w:tblPr>
        <w:tblStyle w:val="23"/>
        <w:tblW w:w="87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4"/>
        <w:gridCol w:w="1078"/>
        <w:gridCol w:w="5665"/>
        <w:gridCol w:w="12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4" w:type="dxa"/>
            <w:vAlign w:val="center"/>
          </w:tcPr>
          <w:p>
            <w:pPr>
              <w:widowControl/>
              <w:spacing w:line="360" w:lineRule="auto"/>
              <w:jc w:val="center"/>
              <w:rPr>
                <w:rFonts w:ascii="宋体" w:hAnsi="宋体" w:cs="宋体"/>
                <w:b/>
                <w:color w:val="000000"/>
                <w:kern w:val="0"/>
                <w:szCs w:val="21"/>
                <w:highlight w:val="none"/>
              </w:rPr>
            </w:pPr>
            <w:r>
              <w:rPr>
                <w:rFonts w:hint="eastAsia" w:ascii="宋体" w:hAnsi="宋体" w:cs="宋体"/>
                <w:b/>
                <w:color w:val="000000"/>
                <w:kern w:val="0"/>
                <w:szCs w:val="21"/>
                <w:highlight w:val="none"/>
              </w:rPr>
              <w:t>序号</w:t>
            </w:r>
          </w:p>
        </w:tc>
        <w:tc>
          <w:tcPr>
            <w:tcW w:w="1078" w:type="dxa"/>
            <w:vAlign w:val="center"/>
          </w:tcPr>
          <w:p>
            <w:pPr>
              <w:widowControl/>
              <w:spacing w:line="360" w:lineRule="auto"/>
              <w:jc w:val="center"/>
              <w:rPr>
                <w:rFonts w:ascii="宋体" w:hAnsi="宋体" w:cs="宋体"/>
                <w:b/>
                <w:color w:val="000000"/>
                <w:kern w:val="0"/>
                <w:szCs w:val="21"/>
                <w:highlight w:val="none"/>
              </w:rPr>
            </w:pPr>
            <w:r>
              <w:rPr>
                <w:rFonts w:hint="eastAsia" w:ascii="宋体" w:hAnsi="宋体" w:cs="宋体"/>
                <w:b/>
                <w:color w:val="000000"/>
                <w:kern w:val="0"/>
                <w:szCs w:val="21"/>
                <w:highlight w:val="none"/>
              </w:rPr>
              <w:t>名称</w:t>
            </w:r>
          </w:p>
        </w:tc>
        <w:tc>
          <w:tcPr>
            <w:tcW w:w="5665" w:type="dxa"/>
            <w:vAlign w:val="center"/>
          </w:tcPr>
          <w:p>
            <w:pPr>
              <w:widowControl/>
              <w:spacing w:line="360" w:lineRule="auto"/>
              <w:jc w:val="center"/>
              <w:rPr>
                <w:rFonts w:ascii="宋体" w:hAnsi="宋体" w:cs="宋体"/>
                <w:b/>
                <w:color w:val="000000"/>
                <w:kern w:val="0"/>
                <w:szCs w:val="21"/>
                <w:highlight w:val="none"/>
              </w:rPr>
            </w:pPr>
            <w:r>
              <w:rPr>
                <w:rFonts w:hint="eastAsia" w:ascii="宋体" w:hAnsi="宋体" w:cs="宋体"/>
                <w:b/>
                <w:color w:val="000000"/>
                <w:kern w:val="0"/>
                <w:szCs w:val="21"/>
                <w:highlight w:val="none"/>
              </w:rPr>
              <w:t>技术参数</w:t>
            </w:r>
          </w:p>
        </w:tc>
        <w:tc>
          <w:tcPr>
            <w:tcW w:w="1258" w:type="dxa"/>
            <w:vAlign w:val="center"/>
          </w:tcPr>
          <w:p>
            <w:pPr>
              <w:widowControl/>
              <w:spacing w:line="360" w:lineRule="auto"/>
              <w:jc w:val="center"/>
              <w:rPr>
                <w:rFonts w:ascii="宋体" w:hAnsi="宋体" w:cs="宋体"/>
                <w:b/>
                <w:color w:val="000000"/>
                <w:kern w:val="0"/>
                <w:szCs w:val="21"/>
                <w:highlight w:val="none"/>
              </w:rPr>
            </w:pPr>
            <w:r>
              <w:rPr>
                <w:rFonts w:hint="eastAsia" w:ascii="宋体" w:hAnsi="宋体" w:cs="宋体"/>
                <w:b/>
                <w:color w:val="000000"/>
                <w:kern w:val="0"/>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4" w:type="dxa"/>
            <w:vAlign w:val="center"/>
          </w:tcPr>
          <w:p>
            <w:pPr>
              <w:spacing w:line="360" w:lineRule="auto"/>
              <w:jc w:val="center"/>
              <w:rPr>
                <w:rFonts w:ascii="宋体" w:hAnsi="宋体" w:cs="宋体"/>
                <w:bCs/>
                <w:color w:val="000000"/>
                <w:kern w:val="0"/>
                <w:szCs w:val="21"/>
                <w:highlight w:val="none"/>
              </w:rPr>
            </w:pPr>
            <w:r>
              <w:rPr>
                <w:rFonts w:hint="eastAsia" w:ascii="宋体" w:hAnsi="宋体" w:cs="宋体"/>
                <w:bCs/>
                <w:color w:val="000000"/>
                <w:kern w:val="0"/>
                <w:szCs w:val="21"/>
                <w:highlight w:val="none"/>
              </w:rPr>
              <w:t>1</w:t>
            </w:r>
          </w:p>
        </w:tc>
        <w:tc>
          <w:tcPr>
            <w:tcW w:w="1078" w:type="dxa"/>
            <w:vAlign w:val="center"/>
          </w:tcPr>
          <w:p>
            <w:pPr>
              <w:widowControl/>
              <w:spacing w:line="360" w:lineRule="auto"/>
              <w:jc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项目主要服务内容</w:t>
            </w:r>
          </w:p>
        </w:tc>
        <w:tc>
          <w:tcPr>
            <w:tcW w:w="5665" w:type="dxa"/>
            <w:vAlign w:val="center"/>
          </w:tcPr>
          <w:p>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1.短信内容可编辑或有具体疫苗种类模板，短信署名为接种单位。</w:t>
            </w:r>
          </w:p>
          <w:p>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2.实现与“广东省疫苗流通与接种管理信息系统”对接，结合“广东省疫苗流通与接种管理信息系统”中的查漏补种/到期未种功能发送短信，且短信内容可有具体的查漏对象名字；若个案存在两个号码，只发送给其中一个号码，自动识别发送不成功的手机号码并反馈具体原因给接种单位。</w:t>
            </w:r>
          </w:p>
          <w:p>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3.区级与接种点都有相应的账号，区级可授权短信数量，并对接种单位发送短信内容进行审核。</w:t>
            </w:r>
          </w:p>
          <w:p>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4.系统应有短信发送的数量统计界面，总额度即将用完（如超过80%），应定期进行提醒所剩额度。</w:t>
            </w:r>
          </w:p>
          <w:p>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5.短信可接收对象的覆盖范围应为三网国内手机号码。</w:t>
            </w:r>
          </w:p>
          <w:p>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6.短信平台支持垃圾短信分析拦截、敏感关键字识别拦截、黑名单拦截等短信安全管理功能，可根据用户实际情况和客户的具体需求，进行调整敏感关键字的能力。</w:t>
            </w:r>
          </w:p>
          <w:p>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7.可支持5G消息短信，覆盖三网手机用户，为用户提供内容更加丰富的富媒体信息服务，用户在消息窗口内就能完成疫苗接种预约、疫苗宣传内容交互等一站式的业务体验，显著提升用户体验和消息价值。</w:t>
            </w:r>
          </w:p>
          <w:p>
            <w:pPr>
              <w:spacing w:line="360" w:lineRule="auto"/>
              <w:ind w:firstLine="420" w:firstLineChars="200"/>
              <w:rPr>
                <w:rFonts w:ascii="宋体" w:hAnsi="宋体"/>
                <w:color w:val="000000"/>
                <w:szCs w:val="21"/>
                <w:highlight w:val="none"/>
                <w:lang w:bidi="ar"/>
              </w:rPr>
            </w:pPr>
            <w:r>
              <w:rPr>
                <w:rFonts w:hint="eastAsia" w:ascii="宋体" w:hAnsi="宋体"/>
                <w:color w:val="000000"/>
                <w:szCs w:val="21"/>
                <w:highlight w:val="none"/>
              </w:rPr>
              <w:t>8.为保证短信平台的使用稳定性，短信平台架构需基于主流微服务架构，满足高可用，易扩展的技术特性。</w:t>
            </w:r>
          </w:p>
        </w:tc>
        <w:tc>
          <w:tcPr>
            <w:tcW w:w="1258" w:type="dxa"/>
            <w:vAlign w:val="center"/>
          </w:tcPr>
          <w:p>
            <w:pPr>
              <w:widowControl/>
              <w:spacing w:line="360" w:lineRule="auto"/>
              <w:jc w:val="center"/>
              <w:rPr>
                <w:rFonts w:ascii="宋体" w:hAnsi="宋体" w:cs="宋体"/>
                <w:color w:val="000000"/>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4" w:type="dxa"/>
            <w:vAlign w:val="center"/>
          </w:tcPr>
          <w:p>
            <w:pPr>
              <w:spacing w:line="360" w:lineRule="auto"/>
              <w:jc w:val="center"/>
              <w:rPr>
                <w:rFonts w:ascii="宋体" w:hAnsi="宋体"/>
                <w:color w:val="000000"/>
                <w:szCs w:val="21"/>
                <w:highlight w:val="none"/>
              </w:rPr>
            </w:pPr>
            <w:r>
              <w:rPr>
                <w:rFonts w:hint="eastAsia" w:ascii="宋体" w:hAnsi="宋体"/>
                <w:color w:val="000000"/>
                <w:szCs w:val="21"/>
                <w:highlight w:val="none"/>
              </w:rPr>
              <w:t>2</w:t>
            </w:r>
          </w:p>
        </w:tc>
        <w:tc>
          <w:tcPr>
            <w:tcW w:w="1078" w:type="dxa"/>
            <w:vAlign w:val="center"/>
          </w:tcPr>
          <w:p>
            <w:pPr>
              <w:widowControl/>
              <w:spacing w:line="360" w:lineRule="auto"/>
              <w:jc w:val="center"/>
              <w:rPr>
                <w:rFonts w:ascii="宋体" w:hAnsi="宋体"/>
                <w:color w:val="000000"/>
                <w:szCs w:val="21"/>
                <w:highlight w:val="none"/>
              </w:rPr>
            </w:pPr>
            <w:r>
              <w:rPr>
                <w:rFonts w:hint="eastAsia" w:ascii="宋体" w:hAnsi="宋体"/>
                <w:color w:val="000000"/>
                <w:szCs w:val="21"/>
                <w:highlight w:val="none"/>
              </w:rPr>
              <w:t>项目实施团队要求</w:t>
            </w:r>
          </w:p>
        </w:tc>
        <w:tc>
          <w:tcPr>
            <w:tcW w:w="5665" w:type="dxa"/>
            <w:vAlign w:val="center"/>
          </w:tcPr>
          <w:p>
            <w:pPr>
              <w:widowControl/>
              <w:spacing w:line="360" w:lineRule="auto"/>
              <w:rPr>
                <w:rFonts w:ascii="宋体" w:hAnsi="宋体"/>
                <w:color w:val="000000"/>
                <w:szCs w:val="21"/>
                <w:highlight w:val="none"/>
              </w:rPr>
            </w:pPr>
            <w:r>
              <w:rPr>
                <w:rFonts w:hint="eastAsia" w:ascii="宋体" w:hAnsi="宋体"/>
                <w:color w:val="000000"/>
                <w:szCs w:val="21"/>
                <w:highlight w:val="none"/>
              </w:rPr>
              <w:t>要求乙方针对本项目设立项目团队，其中要求项目经理具备项目管理相关证书，具备PMP证书或信息系统项目管理师、具备CISP信息安全工程师证书、具备软件设计师证书、具备系统集成项目管理工程师证书，以上5项证书其中具备1项均可。其他项目团队成员总人数不少于5人，持证上岗</w:t>
            </w:r>
          </w:p>
        </w:tc>
        <w:tc>
          <w:tcPr>
            <w:tcW w:w="1258" w:type="dxa"/>
            <w:vAlign w:val="center"/>
          </w:tcPr>
          <w:p>
            <w:pPr>
              <w:widowControl/>
              <w:spacing w:line="360" w:lineRule="auto"/>
              <w:jc w:val="center"/>
              <w:rPr>
                <w:rFonts w:ascii="宋体" w:hAnsi="宋体" w:cs="宋体"/>
                <w:color w:val="000000"/>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4" w:type="dxa"/>
            <w:vAlign w:val="center"/>
          </w:tcPr>
          <w:p>
            <w:pPr>
              <w:spacing w:line="360" w:lineRule="auto"/>
              <w:jc w:val="center"/>
              <w:rPr>
                <w:rFonts w:ascii="宋体" w:hAnsi="宋体"/>
                <w:color w:val="000000"/>
                <w:szCs w:val="21"/>
                <w:highlight w:val="none"/>
              </w:rPr>
            </w:pPr>
            <w:r>
              <w:rPr>
                <w:rFonts w:hint="eastAsia" w:ascii="宋体" w:hAnsi="宋体"/>
                <w:color w:val="000000"/>
                <w:szCs w:val="21"/>
                <w:highlight w:val="none"/>
              </w:rPr>
              <w:t>3</w:t>
            </w:r>
          </w:p>
        </w:tc>
        <w:tc>
          <w:tcPr>
            <w:tcW w:w="1078" w:type="dxa"/>
            <w:vAlign w:val="center"/>
          </w:tcPr>
          <w:p>
            <w:pPr>
              <w:widowControl/>
              <w:spacing w:line="360" w:lineRule="auto"/>
              <w:jc w:val="center"/>
              <w:rPr>
                <w:rFonts w:ascii="宋体" w:hAnsi="宋体"/>
                <w:color w:val="000000"/>
                <w:szCs w:val="21"/>
                <w:highlight w:val="none"/>
              </w:rPr>
            </w:pPr>
            <w:r>
              <w:rPr>
                <w:rFonts w:hint="eastAsia" w:ascii="宋体" w:hAnsi="宋体"/>
                <w:color w:val="000000"/>
                <w:szCs w:val="21"/>
                <w:highlight w:val="none"/>
              </w:rPr>
              <w:t>完成项目能力</w:t>
            </w:r>
          </w:p>
        </w:tc>
        <w:tc>
          <w:tcPr>
            <w:tcW w:w="5665" w:type="dxa"/>
            <w:vAlign w:val="center"/>
          </w:tcPr>
          <w:p>
            <w:pPr>
              <w:widowControl/>
              <w:spacing w:line="360" w:lineRule="auto"/>
              <w:rPr>
                <w:rFonts w:ascii="宋体" w:hAnsi="宋体"/>
                <w:color w:val="000000"/>
                <w:szCs w:val="21"/>
                <w:highlight w:val="none"/>
              </w:rPr>
            </w:pPr>
            <w:r>
              <w:rPr>
                <w:rFonts w:ascii="宋体" w:hAnsi="宋体"/>
                <w:color w:val="000000"/>
                <w:szCs w:val="21"/>
                <w:highlight w:val="none"/>
              </w:rPr>
              <w:t>乙方需具备在规定时间内完成项目的能力，</w:t>
            </w:r>
            <w:r>
              <w:rPr>
                <w:rFonts w:hint="eastAsia" w:ascii="宋体" w:hAnsi="宋体"/>
                <w:color w:val="000000"/>
                <w:szCs w:val="21"/>
                <w:highlight w:val="none"/>
              </w:rPr>
              <w:t>甲方</w:t>
            </w:r>
            <w:r>
              <w:rPr>
                <w:rFonts w:ascii="宋体" w:hAnsi="宋体"/>
                <w:color w:val="000000"/>
                <w:szCs w:val="21"/>
                <w:highlight w:val="none"/>
              </w:rPr>
              <w:t>有权要求在</w:t>
            </w:r>
            <w:r>
              <w:rPr>
                <w:rFonts w:hint="eastAsia" w:ascii="宋体" w:hAnsi="宋体"/>
                <w:color w:val="000000"/>
                <w:szCs w:val="21"/>
                <w:highlight w:val="none"/>
              </w:rPr>
              <w:t>成交</w:t>
            </w:r>
            <w:r>
              <w:rPr>
                <w:rFonts w:ascii="宋体" w:hAnsi="宋体"/>
                <w:color w:val="000000"/>
                <w:szCs w:val="21"/>
                <w:highlight w:val="none"/>
              </w:rPr>
              <w:t>后一周内对系统进行演示并体现系统实施和集成能力，如果不能完成，按虚假响应处理。</w:t>
            </w:r>
          </w:p>
        </w:tc>
        <w:tc>
          <w:tcPr>
            <w:tcW w:w="1258" w:type="dxa"/>
            <w:vAlign w:val="center"/>
          </w:tcPr>
          <w:p>
            <w:pPr>
              <w:widowControl/>
              <w:spacing w:line="360" w:lineRule="auto"/>
              <w:jc w:val="center"/>
              <w:rPr>
                <w:rFonts w:ascii="宋体" w:hAnsi="宋体" w:cs="宋体"/>
                <w:color w:val="000000"/>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4" w:type="dxa"/>
            <w:vAlign w:val="center"/>
          </w:tcPr>
          <w:p>
            <w:pPr>
              <w:spacing w:line="360" w:lineRule="auto"/>
              <w:jc w:val="center"/>
              <w:rPr>
                <w:rFonts w:ascii="宋体" w:hAnsi="宋体"/>
                <w:color w:val="000000"/>
                <w:szCs w:val="21"/>
                <w:highlight w:val="none"/>
              </w:rPr>
            </w:pPr>
            <w:r>
              <w:rPr>
                <w:rFonts w:hint="eastAsia" w:ascii="宋体" w:hAnsi="宋体"/>
                <w:color w:val="000000"/>
                <w:szCs w:val="21"/>
                <w:highlight w:val="none"/>
              </w:rPr>
              <w:t>4</w:t>
            </w:r>
          </w:p>
        </w:tc>
        <w:tc>
          <w:tcPr>
            <w:tcW w:w="1078" w:type="dxa"/>
            <w:vAlign w:val="center"/>
          </w:tcPr>
          <w:p>
            <w:pPr>
              <w:widowControl/>
              <w:spacing w:line="360" w:lineRule="auto"/>
              <w:jc w:val="center"/>
              <w:rPr>
                <w:rFonts w:ascii="宋体" w:hAnsi="宋体"/>
                <w:color w:val="000000"/>
                <w:szCs w:val="21"/>
                <w:highlight w:val="none"/>
              </w:rPr>
            </w:pPr>
            <w:r>
              <w:rPr>
                <w:rFonts w:hint="eastAsia" w:ascii="宋体" w:hAnsi="宋体"/>
                <w:color w:val="000000"/>
                <w:szCs w:val="21"/>
                <w:highlight w:val="none"/>
              </w:rPr>
              <w:t>交付要求</w:t>
            </w:r>
          </w:p>
        </w:tc>
        <w:tc>
          <w:tcPr>
            <w:tcW w:w="5665" w:type="dxa"/>
            <w:vAlign w:val="center"/>
          </w:tcPr>
          <w:p>
            <w:pPr>
              <w:widowControl/>
              <w:spacing w:line="360" w:lineRule="auto"/>
              <w:rPr>
                <w:rFonts w:ascii="宋体" w:hAnsi="宋体"/>
                <w:color w:val="000000"/>
                <w:szCs w:val="21"/>
                <w:highlight w:val="none"/>
              </w:rPr>
            </w:pPr>
            <w:r>
              <w:rPr>
                <w:rFonts w:hint="eastAsia" w:ascii="宋体" w:hAnsi="宋体"/>
                <w:color w:val="000000"/>
                <w:szCs w:val="21"/>
                <w:highlight w:val="none"/>
              </w:rPr>
              <w:t>乙方</w:t>
            </w:r>
            <w:r>
              <w:rPr>
                <w:rFonts w:ascii="宋体" w:hAnsi="宋体"/>
                <w:color w:val="000000"/>
                <w:szCs w:val="21"/>
                <w:highlight w:val="none"/>
              </w:rPr>
              <w:t>负责协调省系统承建商，在签订合</w:t>
            </w:r>
            <w:r>
              <w:rPr>
                <w:rFonts w:ascii="宋体" w:hAnsi="宋体"/>
                <w:szCs w:val="21"/>
                <w:highlight w:val="none"/>
              </w:rPr>
              <w:t>同后7天内完成与省系统承建商的对接，15天内完成短信平</w:t>
            </w:r>
            <w:r>
              <w:rPr>
                <w:rFonts w:ascii="宋体" w:hAnsi="宋体"/>
                <w:color w:val="000000"/>
                <w:szCs w:val="21"/>
                <w:highlight w:val="none"/>
              </w:rPr>
              <w:t>台接入。</w:t>
            </w:r>
          </w:p>
        </w:tc>
        <w:tc>
          <w:tcPr>
            <w:tcW w:w="1258" w:type="dxa"/>
            <w:vAlign w:val="center"/>
          </w:tcPr>
          <w:p>
            <w:pPr>
              <w:widowControl/>
              <w:spacing w:line="360" w:lineRule="auto"/>
              <w:jc w:val="center"/>
              <w:rPr>
                <w:rFonts w:ascii="宋体" w:hAnsi="宋体" w:cs="宋体"/>
                <w:color w:val="000000"/>
                <w:kern w:val="0"/>
                <w:szCs w:val="21"/>
                <w:highlight w:val="none"/>
              </w:rPr>
            </w:pPr>
          </w:p>
        </w:tc>
      </w:tr>
    </w:tbl>
    <w:p>
      <w:pPr>
        <w:pStyle w:val="15"/>
        <w:tabs>
          <w:tab w:val="left" w:pos="540"/>
        </w:tabs>
        <w:adjustRightInd w:val="0"/>
        <w:spacing w:line="360" w:lineRule="auto"/>
        <w:ind w:firstLine="422" w:firstLineChars="200"/>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八、</w:t>
      </w:r>
      <w:r>
        <w:rPr>
          <w:rFonts w:hAnsi="宋体"/>
          <w:b/>
          <w:color w:val="000000" w:themeColor="text1"/>
          <w:highlight w:val="none"/>
          <w14:textFill>
            <w14:solidFill>
              <w14:schemeClr w14:val="tx1"/>
            </w14:solidFill>
          </w14:textFill>
        </w:rPr>
        <w:t>商务要求</w:t>
      </w:r>
    </w:p>
    <w:p>
      <w:pPr>
        <w:spacing w:line="360" w:lineRule="auto"/>
        <w:ind w:firstLine="420" w:firstLineChars="200"/>
        <w:textAlignment w:val="baseline"/>
        <w:rPr>
          <w:rFonts w:ascii="宋体" w:hAnsi="宋体" w:cs="微软雅黑"/>
          <w:color w:val="000000"/>
          <w:szCs w:val="21"/>
          <w:highlight w:val="none"/>
          <w:shd w:val="clear" w:color="auto" w:fill="FFFFFF"/>
          <w:lang w:val="zh-CN"/>
        </w:rPr>
      </w:pPr>
      <w:r>
        <w:rPr>
          <w:rFonts w:hint="eastAsia" w:ascii="宋体" w:hAnsi="宋体" w:cs="微软雅黑"/>
          <w:color w:val="000000"/>
          <w:szCs w:val="21"/>
          <w:highlight w:val="none"/>
          <w:shd w:val="clear" w:color="auto" w:fill="FFFFFF"/>
          <w:lang w:val="zh-CN"/>
        </w:rPr>
        <w:t>1、时间和地点</w:t>
      </w:r>
    </w:p>
    <w:p>
      <w:pPr>
        <w:spacing w:line="360" w:lineRule="auto"/>
        <w:ind w:firstLine="420" w:firstLineChars="200"/>
        <w:textAlignment w:val="baseline"/>
        <w:rPr>
          <w:rFonts w:ascii="宋体" w:hAnsi="宋体" w:cs="微软雅黑"/>
          <w:color w:val="000000"/>
          <w:szCs w:val="21"/>
          <w:highlight w:val="none"/>
          <w:shd w:val="clear" w:color="auto" w:fill="FFFFFF"/>
          <w:lang w:val="zh-CN"/>
        </w:rPr>
      </w:pPr>
      <w:r>
        <w:rPr>
          <w:rFonts w:hint="eastAsia" w:ascii="宋体" w:hAnsi="宋体" w:cs="微软雅黑"/>
          <w:color w:val="000000"/>
          <w:szCs w:val="21"/>
          <w:highlight w:val="none"/>
          <w:shd w:val="clear" w:color="auto" w:fill="FFFFFF"/>
          <w:lang w:val="zh-CN"/>
        </w:rPr>
        <w:t>交付时间：在签订合同后7天内完成与省系统承建商的对接，15天内完成短信平台接入</w:t>
      </w:r>
      <w:r>
        <w:rPr>
          <w:rFonts w:ascii="宋体" w:hAnsi="宋体" w:cs="微软雅黑"/>
          <w:color w:val="000000"/>
          <w:szCs w:val="21"/>
          <w:highlight w:val="none"/>
          <w:shd w:val="clear" w:color="auto" w:fill="FFFFFF"/>
          <w:lang w:val="zh-CN"/>
        </w:rPr>
        <w:t>。</w:t>
      </w:r>
    </w:p>
    <w:p>
      <w:pPr>
        <w:spacing w:line="360" w:lineRule="auto"/>
        <w:ind w:firstLine="420" w:firstLineChars="200"/>
        <w:textAlignment w:val="baseline"/>
        <w:rPr>
          <w:rFonts w:ascii="宋体" w:hAnsi="宋体" w:cs="微软雅黑"/>
          <w:color w:val="000000"/>
          <w:szCs w:val="21"/>
          <w:highlight w:val="none"/>
          <w:shd w:val="clear" w:color="auto" w:fill="FFFFFF"/>
          <w:lang w:val="zh-CN"/>
        </w:rPr>
      </w:pPr>
      <w:r>
        <w:rPr>
          <w:rFonts w:hint="eastAsia" w:ascii="宋体" w:hAnsi="宋体" w:cs="微软雅黑"/>
          <w:color w:val="000000"/>
          <w:szCs w:val="21"/>
          <w:highlight w:val="none"/>
          <w:shd w:val="clear" w:color="auto" w:fill="FFFFFF"/>
          <w:lang w:val="zh-CN"/>
        </w:rPr>
        <w:t>交付</w:t>
      </w:r>
      <w:r>
        <w:rPr>
          <w:rFonts w:ascii="宋体" w:hAnsi="宋体" w:cs="微软雅黑"/>
          <w:color w:val="000000"/>
          <w:szCs w:val="21"/>
          <w:highlight w:val="none"/>
          <w:shd w:val="clear" w:color="auto" w:fill="FFFFFF"/>
          <w:lang w:val="zh-CN"/>
        </w:rPr>
        <w:t>地点：</w:t>
      </w:r>
      <w:r>
        <w:rPr>
          <w:rFonts w:hint="eastAsia" w:ascii="宋体" w:hAnsi="宋体" w:cs="微软雅黑"/>
          <w:color w:val="000000"/>
          <w:szCs w:val="21"/>
          <w:highlight w:val="none"/>
          <w:shd w:val="clear" w:color="auto" w:fill="FFFFFF"/>
          <w:lang w:val="zh-CN"/>
        </w:rPr>
        <w:t>甲方指定地点。</w:t>
      </w:r>
    </w:p>
    <w:p>
      <w:pPr>
        <w:spacing w:line="360" w:lineRule="auto"/>
        <w:ind w:firstLine="420" w:firstLineChars="200"/>
        <w:textAlignment w:val="baseline"/>
        <w:rPr>
          <w:rFonts w:ascii="宋体" w:hAnsi="宋体" w:cs="微软雅黑"/>
          <w:color w:val="000000"/>
          <w:szCs w:val="21"/>
          <w:highlight w:val="none"/>
          <w:shd w:val="clear" w:color="auto" w:fill="FFFFFF"/>
          <w:lang w:val="zh-CN"/>
        </w:rPr>
      </w:pPr>
      <w:r>
        <w:rPr>
          <w:rFonts w:hint="eastAsia" w:ascii="宋体" w:hAnsi="宋体" w:cs="微软雅黑"/>
          <w:color w:val="000000"/>
          <w:szCs w:val="21"/>
          <w:highlight w:val="none"/>
          <w:shd w:val="clear" w:color="auto" w:fill="FFFFFF"/>
          <w:lang w:val="zh-CN"/>
        </w:rPr>
        <w:t>2、团队</w:t>
      </w:r>
    </w:p>
    <w:p>
      <w:pPr>
        <w:spacing w:line="360" w:lineRule="auto"/>
        <w:ind w:firstLine="420" w:firstLineChars="200"/>
        <w:textAlignment w:val="baseline"/>
        <w:rPr>
          <w:rFonts w:ascii="宋体" w:hAnsi="宋体" w:cs="微软雅黑"/>
          <w:color w:val="000000"/>
          <w:szCs w:val="21"/>
          <w:highlight w:val="none"/>
          <w:shd w:val="clear" w:color="auto" w:fill="FFFFFF"/>
          <w:lang w:val="zh-CN"/>
        </w:rPr>
      </w:pPr>
      <w:r>
        <w:rPr>
          <w:rFonts w:hint="eastAsia" w:ascii="宋体" w:hAnsi="宋体" w:cs="微软雅黑"/>
          <w:color w:val="000000"/>
          <w:szCs w:val="21"/>
          <w:highlight w:val="none"/>
          <w:shd w:val="clear" w:color="auto" w:fill="FFFFFF"/>
          <w:lang w:val="zh-CN"/>
        </w:rPr>
        <w:t>为保证本项目能保质保量，按交付要求完成项目，乙方须提供一个具备能力的稳定团队来实施本项目，包括不限于项目经理、需求分析人员、实施人员、运维人员等。</w:t>
      </w:r>
    </w:p>
    <w:p>
      <w:pPr>
        <w:spacing w:line="360" w:lineRule="auto"/>
        <w:ind w:firstLine="420" w:firstLineChars="200"/>
        <w:textAlignment w:val="baseline"/>
        <w:rPr>
          <w:rFonts w:ascii="宋体" w:hAnsi="宋体" w:cs="微软雅黑"/>
          <w:color w:val="000000"/>
          <w:szCs w:val="21"/>
          <w:highlight w:val="none"/>
          <w:shd w:val="clear" w:color="auto" w:fill="FFFFFF"/>
          <w:lang w:val="zh-CN"/>
        </w:rPr>
      </w:pPr>
      <w:r>
        <w:rPr>
          <w:rFonts w:hint="eastAsia" w:ascii="宋体" w:hAnsi="宋体" w:cs="微软雅黑"/>
          <w:color w:val="000000"/>
          <w:szCs w:val="21"/>
          <w:highlight w:val="none"/>
          <w:shd w:val="clear" w:color="auto" w:fill="FFFFFF"/>
          <w:lang w:val="zh-CN"/>
        </w:rPr>
        <w:t>3、实施</w:t>
      </w:r>
    </w:p>
    <w:p>
      <w:pPr>
        <w:spacing w:line="360" w:lineRule="auto"/>
        <w:ind w:firstLine="420" w:firstLineChars="200"/>
        <w:textAlignment w:val="baseline"/>
        <w:rPr>
          <w:rFonts w:ascii="宋体" w:hAnsi="宋体" w:cs="微软雅黑"/>
          <w:color w:val="000000"/>
          <w:szCs w:val="21"/>
          <w:highlight w:val="none"/>
          <w:shd w:val="clear" w:color="auto" w:fill="FFFFFF"/>
          <w:lang w:val="zh-CN"/>
        </w:rPr>
      </w:pPr>
      <w:r>
        <w:rPr>
          <w:rFonts w:hint="eastAsia" w:ascii="宋体" w:hAnsi="宋体" w:cs="微软雅黑"/>
          <w:color w:val="000000"/>
          <w:szCs w:val="21"/>
          <w:highlight w:val="none"/>
          <w:shd w:val="clear" w:color="auto" w:fill="FFFFFF"/>
          <w:lang w:val="zh-CN"/>
        </w:rPr>
        <w:t>据甲方的要求，所有实施在甲方指定的时间，完成短信平台与省系统的对接并实现正常运行，达到甲方要求的功能和性能。</w:t>
      </w:r>
    </w:p>
    <w:p>
      <w:pPr>
        <w:spacing w:line="360" w:lineRule="auto"/>
        <w:ind w:firstLine="420" w:firstLineChars="200"/>
        <w:textAlignment w:val="baseline"/>
        <w:rPr>
          <w:rFonts w:ascii="宋体" w:hAnsi="宋体" w:cs="微软雅黑"/>
          <w:color w:val="000000"/>
          <w:szCs w:val="21"/>
          <w:highlight w:val="none"/>
          <w:shd w:val="clear" w:color="auto" w:fill="FFFFFF"/>
          <w:lang w:val="zh-CN"/>
        </w:rPr>
      </w:pPr>
      <w:r>
        <w:rPr>
          <w:rFonts w:hint="eastAsia" w:ascii="宋体" w:hAnsi="宋体" w:cs="微软雅黑"/>
          <w:color w:val="000000"/>
          <w:szCs w:val="21"/>
          <w:highlight w:val="none"/>
          <w:shd w:val="clear" w:color="auto" w:fill="FFFFFF"/>
          <w:lang w:val="zh-CN"/>
        </w:rPr>
        <w:t>4、培训</w:t>
      </w:r>
    </w:p>
    <w:p>
      <w:pPr>
        <w:spacing w:line="360" w:lineRule="auto"/>
        <w:ind w:firstLine="420" w:firstLineChars="200"/>
        <w:textAlignment w:val="baseline"/>
        <w:rPr>
          <w:rFonts w:ascii="宋体" w:hAnsi="宋体" w:cs="微软雅黑"/>
          <w:color w:val="000000"/>
          <w:szCs w:val="21"/>
          <w:highlight w:val="none"/>
          <w:shd w:val="clear" w:color="auto" w:fill="FFFFFF"/>
          <w:lang w:val="zh-CN"/>
        </w:rPr>
      </w:pPr>
      <w:r>
        <w:rPr>
          <w:rFonts w:hint="eastAsia" w:ascii="宋体" w:hAnsi="宋体" w:cs="微软雅黑"/>
          <w:color w:val="000000"/>
          <w:szCs w:val="21"/>
          <w:highlight w:val="none"/>
          <w:shd w:val="clear" w:color="auto" w:fill="FFFFFF"/>
          <w:lang w:val="zh-CN"/>
        </w:rPr>
        <w:t>乙方应负责接种单位的操作培训等，培训效果至少要求参训人员能够独立、熟练使用。</w:t>
      </w:r>
    </w:p>
    <w:p>
      <w:pPr>
        <w:spacing w:line="360" w:lineRule="auto"/>
        <w:ind w:firstLine="420" w:firstLineChars="200"/>
        <w:textAlignment w:val="baseline"/>
        <w:rPr>
          <w:rFonts w:ascii="宋体" w:hAnsi="宋体" w:cs="微软雅黑"/>
          <w:color w:val="000000"/>
          <w:szCs w:val="21"/>
          <w:highlight w:val="none"/>
          <w:shd w:val="clear" w:color="auto" w:fill="FFFFFF"/>
        </w:rPr>
      </w:pPr>
      <w:r>
        <w:rPr>
          <w:rFonts w:hint="eastAsia" w:ascii="宋体" w:hAnsi="宋体" w:cs="微软雅黑"/>
          <w:color w:val="000000"/>
          <w:szCs w:val="21"/>
          <w:highlight w:val="none"/>
          <w:shd w:val="clear" w:color="auto" w:fill="FFFFFF"/>
        </w:rPr>
        <w:t>5、验收</w:t>
      </w:r>
    </w:p>
    <w:p>
      <w:pPr>
        <w:spacing w:line="360" w:lineRule="auto"/>
        <w:ind w:firstLine="420" w:firstLineChars="200"/>
        <w:textAlignment w:val="baseline"/>
        <w:rPr>
          <w:rFonts w:ascii="宋体" w:hAnsi="宋体" w:cs="微软雅黑"/>
          <w:color w:val="000000"/>
          <w:szCs w:val="21"/>
          <w:highlight w:val="none"/>
          <w:shd w:val="clear" w:color="auto" w:fill="FFFFFF"/>
        </w:rPr>
      </w:pPr>
      <w:r>
        <w:rPr>
          <w:rFonts w:hint="eastAsia" w:ascii="宋体" w:hAnsi="宋体" w:cs="微软雅黑"/>
          <w:color w:val="000000"/>
          <w:szCs w:val="21"/>
          <w:highlight w:val="none"/>
          <w:shd w:val="clear" w:color="auto" w:fill="FFFFFF"/>
        </w:rPr>
        <w:t>（1）</w:t>
      </w:r>
      <w:r>
        <w:rPr>
          <w:rFonts w:ascii="宋体" w:hAnsi="宋体" w:cs="微软雅黑"/>
          <w:color w:val="000000"/>
          <w:szCs w:val="21"/>
          <w:highlight w:val="none"/>
          <w:shd w:val="clear" w:color="auto" w:fill="FFFFFF"/>
        </w:rPr>
        <w:t>验收按国家有关的规定、规范进行。</w:t>
      </w:r>
    </w:p>
    <w:p>
      <w:pPr>
        <w:spacing w:line="360" w:lineRule="auto"/>
        <w:ind w:firstLine="420" w:firstLineChars="200"/>
        <w:textAlignment w:val="baseline"/>
        <w:rPr>
          <w:rFonts w:ascii="宋体" w:hAnsi="宋体" w:cs="微软雅黑"/>
          <w:color w:val="000000"/>
          <w:szCs w:val="21"/>
          <w:highlight w:val="none"/>
          <w:shd w:val="clear" w:color="auto" w:fill="FFFFFF"/>
          <w:lang w:val="zh-CN"/>
        </w:rPr>
      </w:pPr>
      <w:r>
        <w:rPr>
          <w:rFonts w:hint="eastAsia" w:ascii="宋体" w:hAnsi="宋体" w:cs="微软雅黑"/>
          <w:color w:val="000000"/>
          <w:szCs w:val="21"/>
          <w:highlight w:val="none"/>
          <w:shd w:val="clear" w:color="auto" w:fill="FFFFFF"/>
        </w:rPr>
        <w:t>（2）全部项目实施完成后，</w:t>
      </w:r>
      <w:r>
        <w:rPr>
          <w:rFonts w:hint="eastAsia" w:ascii="宋体" w:hAnsi="宋体" w:cs="微软雅黑"/>
          <w:color w:val="000000"/>
          <w:szCs w:val="21"/>
          <w:highlight w:val="none"/>
          <w:shd w:val="clear" w:color="auto" w:fill="FFFFFF"/>
          <w:lang w:val="zh-CN"/>
        </w:rPr>
        <w:t>甲方</w:t>
      </w:r>
      <w:r>
        <w:rPr>
          <w:rFonts w:ascii="宋体" w:hAnsi="宋体" w:cs="微软雅黑"/>
          <w:color w:val="000000"/>
          <w:szCs w:val="21"/>
          <w:highlight w:val="none"/>
          <w:shd w:val="clear" w:color="auto" w:fill="FFFFFF"/>
        </w:rPr>
        <w:t>货物科及相关</w:t>
      </w:r>
      <w:r>
        <w:rPr>
          <w:rFonts w:hint="eastAsia" w:ascii="宋体" w:hAnsi="宋体" w:cs="微软雅黑"/>
          <w:color w:val="000000"/>
          <w:szCs w:val="21"/>
          <w:highlight w:val="none"/>
          <w:shd w:val="clear" w:color="auto" w:fill="FFFFFF"/>
        </w:rPr>
        <w:t>接种</w:t>
      </w:r>
      <w:r>
        <w:rPr>
          <w:rFonts w:ascii="宋体" w:hAnsi="宋体" w:cs="微软雅黑"/>
          <w:color w:val="000000"/>
          <w:szCs w:val="21"/>
          <w:highlight w:val="none"/>
          <w:shd w:val="clear" w:color="auto" w:fill="FFFFFF"/>
        </w:rPr>
        <w:t>门诊要及时组织验收，并出具验收报告。</w:t>
      </w:r>
    </w:p>
    <w:p>
      <w:pPr>
        <w:spacing w:line="360" w:lineRule="auto"/>
        <w:ind w:firstLine="420" w:firstLineChars="200"/>
        <w:textAlignment w:val="baseline"/>
        <w:rPr>
          <w:rFonts w:ascii="宋体" w:hAnsi="宋体" w:cs="微软雅黑"/>
          <w:color w:val="000000"/>
          <w:szCs w:val="21"/>
          <w:highlight w:val="none"/>
          <w:shd w:val="clear" w:color="auto" w:fill="FFFFFF"/>
          <w:lang w:val="zh-CN"/>
        </w:rPr>
      </w:pPr>
      <w:r>
        <w:rPr>
          <w:rFonts w:hint="eastAsia" w:ascii="宋体" w:hAnsi="宋体" w:cs="微软雅黑"/>
          <w:color w:val="000000"/>
          <w:szCs w:val="21"/>
          <w:highlight w:val="none"/>
          <w:shd w:val="clear" w:color="auto" w:fill="FFFFFF"/>
        </w:rPr>
        <w:t>6</w:t>
      </w:r>
      <w:r>
        <w:rPr>
          <w:rFonts w:hint="eastAsia" w:ascii="宋体" w:hAnsi="宋体" w:cs="微软雅黑"/>
          <w:color w:val="000000"/>
          <w:szCs w:val="21"/>
          <w:highlight w:val="none"/>
          <w:shd w:val="clear" w:color="auto" w:fill="FFFFFF"/>
          <w:lang w:val="zh-CN"/>
        </w:rPr>
        <w:t>、运维</w:t>
      </w:r>
    </w:p>
    <w:p>
      <w:pPr>
        <w:spacing w:line="360" w:lineRule="auto"/>
        <w:ind w:firstLine="420" w:firstLineChars="200"/>
        <w:textAlignment w:val="baseline"/>
        <w:rPr>
          <w:rFonts w:ascii="宋体" w:hAnsi="宋体" w:cs="微软雅黑"/>
          <w:color w:val="000000"/>
          <w:szCs w:val="21"/>
          <w:highlight w:val="none"/>
          <w:shd w:val="clear" w:color="auto" w:fill="FFFFFF"/>
          <w:lang w:val="zh-CN"/>
        </w:rPr>
      </w:pPr>
      <w:r>
        <w:rPr>
          <w:rFonts w:hint="eastAsia" w:ascii="宋体" w:hAnsi="宋体" w:cs="微软雅黑"/>
          <w:color w:val="000000"/>
          <w:szCs w:val="21"/>
          <w:highlight w:val="none"/>
          <w:shd w:val="clear" w:color="auto" w:fill="FFFFFF"/>
          <w:lang w:val="zh-CN"/>
        </w:rPr>
        <w:t>乙方需保障本项目各系统的安全、稳定运行；系统发生故障时，及时调配人员解决故障，最大限度减少损失。</w:t>
      </w:r>
    </w:p>
    <w:p>
      <w:pPr>
        <w:spacing w:line="360" w:lineRule="auto"/>
        <w:ind w:firstLine="420" w:firstLineChars="200"/>
        <w:textAlignment w:val="baseline"/>
        <w:rPr>
          <w:rFonts w:ascii="宋体" w:hAnsi="宋体" w:cs="微软雅黑"/>
          <w:color w:val="000000"/>
          <w:szCs w:val="21"/>
          <w:highlight w:val="none"/>
          <w:shd w:val="clear" w:color="auto" w:fill="FFFFFF"/>
          <w:lang w:val="zh-CN"/>
        </w:rPr>
      </w:pPr>
      <w:r>
        <w:rPr>
          <w:rFonts w:hint="eastAsia" w:ascii="宋体" w:hAnsi="宋体" w:cs="微软雅黑"/>
          <w:color w:val="000000"/>
          <w:szCs w:val="21"/>
          <w:highlight w:val="none"/>
          <w:shd w:val="clear" w:color="auto" w:fill="FFFFFF"/>
          <w:lang w:val="zh-CN"/>
        </w:rPr>
        <w:t>项目实施整体验收之日起，提供不少于1年的质量保证期。在签订合同后应免费提供技术保障对接至省系统。</w:t>
      </w:r>
    </w:p>
    <w:p>
      <w:pPr>
        <w:tabs>
          <w:tab w:val="left" w:pos="567"/>
        </w:tabs>
        <w:autoSpaceDE w:val="0"/>
        <w:autoSpaceDN w:val="0"/>
        <w:adjustRightInd w:val="0"/>
        <w:snapToGrid w:val="0"/>
        <w:spacing w:line="360" w:lineRule="auto"/>
        <w:ind w:left="420" w:leftChars="200"/>
        <w:textAlignment w:val="baseline"/>
        <w:rPr>
          <w:rFonts w:ascii="宋体" w:hAnsi="宋体" w:cs="宋体"/>
          <w:b/>
          <w:szCs w:val="21"/>
          <w:highlight w:val="none"/>
        </w:rPr>
      </w:pPr>
      <w:r>
        <w:rPr>
          <w:rFonts w:hint="eastAsia" w:ascii="宋体" w:hAnsi="宋体" w:cs="宋体"/>
          <w:b/>
          <w:szCs w:val="21"/>
          <w:highlight w:val="none"/>
        </w:rPr>
        <w:t>九、付款方式</w:t>
      </w:r>
    </w:p>
    <w:p>
      <w:pPr>
        <w:tabs>
          <w:tab w:val="left" w:pos="567"/>
        </w:tabs>
        <w:autoSpaceDE w:val="0"/>
        <w:autoSpaceDN w:val="0"/>
        <w:adjustRightInd w:val="0"/>
        <w:snapToGrid w:val="0"/>
        <w:spacing w:line="360" w:lineRule="auto"/>
        <w:ind w:left="420" w:leftChars="200"/>
        <w:textAlignment w:val="baseline"/>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（一）</w:t>
      </w:r>
      <w:r>
        <w:rPr>
          <w:rFonts w:ascii="宋体" w:hAnsi="宋体" w:cs="宋体"/>
          <w:color w:val="000000" w:themeColor="text1"/>
          <w:kern w:val="0"/>
          <w:highlight w:val="none"/>
          <w14:textFill>
            <w14:solidFill>
              <w14:schemeClr w14:val="tx1"/>
            </w14:solidFill>
          </w14:textFill>
        </w:rPr>
        <w:t>结算方式：</w:t>
      </w:r>
      <w:r>
        <w:rPr>
          <w:rFonts w:hint="eastAsia" w:ascii="宋体" w:hAnsi="宋体" w:cs="宋体"/>
          <w:color w:val="000000" w:themeColor="text1"/>
          <w:kern w:val="0"/>
          <w:highlight w:val="none"/>
          <w14:textFill>
            <w14:solidFill>
              <w14:schemeClr w14:val="tx1"/>
            </w14:solidFill>
          </w14:textFill>
        </w:rPr>
        <w:t>甲方与乙方采用支票、银行转账、电汇三种形式进行结算。双方相关信息如下：</w:t>
      </w:r>
    </w:p>
    <w:p>
      <w:pPr>
        <w:tabs>
          <w:tab w:val="left" w:pos="567"/>
        </w:tabs>
        <w:autoSpaceDE w:val="0"/>
        <w:autoSpaceDN w:val="0"/>
        <w:adjustRightInd w:val="0"/>
        <w:snapToGrid w:val="0"/>
        <w:spacing w:line="360" w:lineRule="auto"/>
        <w:ind w:firstLine="420" w:firstLineChars="200"/>
        <w:textAlignment w:val="baseline"/>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甲方开票信息为</w:t>
      </w:r>
    </w:p>
    <w:p>
      <w:pPr>
        <w:tabs>
          <w:tab w:val="left" w:pos="567"/>
        </w:tabs>
        <w:autoSpaceDE w:val="0"/>
        <w:autoSpaceDN w:val="0"/>
        <w:adjustRightInd w:val="0"/>
        <w:snapToGrid w:val="0"/>
        <w:spacing w:line="360" w:lineRule="auto"/>
        <w:ind w:firstLine="420" w:firstLineChars="200"/>
        <w:textAlignment w:val="baseline"/>
        <w:rPr>
          <w:rFonts w:ascii="宋体" w:hAnsi="宋体" w:cs="宋体"/>
          <w:color w:val="000000" w:themeColor="text1"/>
          <w:kern w:val="0"/>
          <w:highlight w:val="none"/>
          <w:u w:val="singl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单位名称</w:t>
      </w:r>
      <w:r>
        <w:rPr>
          <w:rFonts w:ascii="宋体" w:hAnsi="宋体" w:cs="宋体"/>
          <w:color w:val="000000" w:themeColor="text1"/>
          <w:kern w:val="0"/>
          <w:highlight w:val="none"/>
          <w14:textFill>
            <w14:solidFill>
              <w14:schemeClr w14:val="tx1"/>
            </w14:solidFill>
          </w14:textFill>
        </w:rPr>
        <w:t>：</w:t>
      </w:r>
      <w:r>
        <w:rPr>
          <w:rFonts w:hint="eastAsia" w:ascii="宋体" w:hAnsi="宋体" w:cs="宋体"/>
          <w:color w:val="000000" w:themeColor="text1"/>
          <w:kern w:val="0"/>
          <w:highlight w:val="none"/>
          <w:u w:val="single"/>
          <w14:textFill>
            <w14:solidFill>
              <w14:schemeClr w14:val="tx1"/>
            </w14:solidFill>
          </w14:textFill>
        </w:rPr>
        <w:t xml:space="preserve"> 佛山市顺德区疾病预防与控制中心 </w:t>
      </w:r>
    </w:p>
    <w:p>
      <w:pPr>
        <w:tabs>
          <w:tab w:val="left" w:pos="567"/>
        </w:tabs>
        <w:autoSpaceDE w:val="0"/>
        <w:autoSpaceDN w:val="0"/>
        <w:adjustRightInd w:val="0"/>
        <w:snapToGrid w:val="0"/>
        <w:spacing w:line="360" w:lineRule="auto"/>
        <w:ind w:firstLine="420" w:firstLineChars="200"/>
        <w:textAlignment w:val="baseline"/>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统一</w:t>
      </w:r>
      <w:r>
        <w:rPr>
          <w:rFonts w:ascii="宋体" w:hAnsi="宋体" w:cs="宋体"/>
          <w:color w:val="000000" w:themeColor="text1"/>
          <w:kern w:val="0"/>
          <w:highlight w:val="none"/>
          <w14:textFill>
            <w14:solidFill>
              <w14:schemeClr w14:val="tx1"/>
            </w14:solidFill>
          </w14:textFill>
        </w:rPr>
        <w:t>信用代码：</w:t>
      </w:r>
      <w:r>
        <w:rPr>
          <w:rFonts w:hint="eastAsia" w:ascii="宋体" w:hAnsi="宋体" w:cs="宋体"/>
          <w:color w:val="000000" w:themeColor="text1"/>
          <w:kern w:val="0"/>
          <w:highlight w:val="none"/>
          <w:u w:val="single"/>
          <w14:textFill>
            <w14:solidFill>
              <w14:schemeClr w14:val="tx1"/>
            </w14:solidFill>
          </w14:textFill>
        </w:rPr>
        <w:t xml:space="preserve">124406067331275003 </w:t>
      </w:r>
    </w:p>
    <w:p>
      <w:pPr>
        <w:tabs>
          <w:tab w:val="left" w:pos="567"/>
        </w:tabs>
        <w:autoSpaceDE w:val="0"/>
        <w:autoSpaceDN w:val="0"/>
        <w:adjustRightInd w:val="0"/>
        <w:snapToGrid w:val="0"/>
        <w:spacing w:line="360" w:lineRule="auto"/>
        <w:ind w:firstLine="420" w:firstLineChars="200"/>
        <w:textAlignment w:val="baseline"/>
        <w:rPr>
          <w:rFonts w:ascii="宋体" w:hAnsi="宋体" w:cs="宋体"/>
          <w:color w:val="000000" w:themeColor="text1"/>
          <w:kern w:val="0"/>
          <w:highlight w:val="none"/>
          <w:u w:val="singl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地址</w:t>
      </w:r>
      <w:r>
        <w:rPr>
          <w:rFonts w:ascii="宋体" w:hAnsi="宋体" w:cs="宋体"/>
          <w:color w:val="000000" w:themeColor="text1"/>
          <w:kern w:val="0"/>
          <w:highlight w:val="none"/>
          <w14:textFill>
            <w14:solidFill>
              <w14:schemeClr w14:val="tx1"/>
            </w14:solidFill>
          </w14:textFill>
        </w:rPr>
        <w:t>：</w:t>
      </w:r>
      <w:r>
        <w:rPr>
          <w:rFonts w:hint="eastAsia" w:ascii="宋体" w:hAnsi="宋体" w:cs="宋体"/>
          <w:color w:val="000000" w:themeColor="text1"/>
          <w:kern w:val="0"/>
          <w:highlight w:val="none"/>
          <w:u w:val="single"/>
          <w14:textFill>
            <w14:solidFill>
              <w14:schemeClr w14:val="tx1"/>
            </w14:solidFill>
          </w14:textFill>
        </w:rPr>
        <w:t xml:space="preserve"> 佛山市顺德区大良街道新基三路5号</w:t>
      </w:r>
      <w:r>
        <w:rPr>
          <w:rFonts w:ascii="宋体" w:hAnsi="宋体" w:cs="宋体"/>
          <w:color w:val="000000" w:themeColor="text1"/>
          <w:kern w:val="0"/>
          <w:highlight w:val="none"/>
          <w:u w:val="single"/>
          <w14:textFill>
            <w14:solidFill>
              <w14:schemeClr w14:val="tx1"/>
            </w14:solidFill>
          </w14:textFill>
        </w:rPr>
        <w:t xml:space="preserve"> </w:t>
      </w:r>
    </w:p>
    <w:p>
      <w:pPr>
        <w:tabs>
          <w:tab w:val="left" w:pos="567"/>
        </w:tabs>
        <w:autoSpaceDE w:val="0"/>
        <w:autoSpaceDN w:val="0"/>
        <w:adjustRightInd w:val="0"/>
        <w:snapToGrid w:val="0"/>
        <w:spacing w:line="360" w:lineRule="auto"/>
        <w:ind w:firstLine="420" w:firstLineChars="200"/>
        <w:textAlignment w:val="baseline"/>
        <w:rPr>
          <w:rFonts w:ascii="宋体" w:hAnsi="宋体" w:cs="宋体"/>
          <w:color w:val="000000" w:themeColor="text1"/>
          <w:kern w:val="0"/>
          <w:highlight w:val="none"/>
          <w:u w:val="singl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开户银行</w:t>
      </w:r>
      <w:r>
        <w:rPr>
          <w:rFonts w:ascii="宋体" w:hAnsi="宋体" w:cs="宋体"/>
          <w:color w:val="000000" w:themeColor="text1"/>
          <w:kern w:val="0"/>
          <w:highlight w:val="none"/>
          <w14:textFill>
            <w14:solidFill>
              <w14:schemeClr w14:val="tx1"/>
            </w14:solidFill>
          </w14:textFill>
        </w:rPr>
        <w:t>：</w:t>
      </w:r>
      <w:r>
        <w:rPr>
          <w:rFonts w:hint="eastAsia" w:ascii="宋体" w:hAnsi="宋体" w:cs="宋体"/>
          <w:color w:val="000000" w:themeColor="text1"/>
          <w:kern w:val="0"/>
          <w:highlight w:val="none"/>
          <w:u w:val="single"/>
          <w14:textFill>
            <w14:solidFill>
              <w14:schemeClr w14:val="tx1"/>
            </w14:solidFill>
          </w14:textFill>
        </w:rPr>
        <w:t xml:space="preserve">广东顺德农村商业银行股份有限公司大良支行  </w:t>
      </w:r>
    </w:p>
    <w:p>
      <w:pPr>
        <w:tabs>
          <w:tab w:val="left" w:pos="567"/>
        </w:tabs>
        <w:autoSpaceDE w:val="0"/>
        <w:autoSpaceDN w:val="0"/>
        <w:adjustRightInd w:val="0"/>
        <w:snapToGrid w:val="0"/>
        <w:spacing w:line="360" w:lineRule="auto"/>
        <w:ind w:firstLine="420" w:firstLineChars="200"/>
        <w:textAlignment w:val="baseline"/>
        <w:rPr>
          <w:rFonts w:ascii="宋体" w:hAnsi="宋体" w:cs="宋体"/>
          <w:color w:val="000000" w:themeColor="text1"/>
          <w:kern w:val="0"/>
          <w:highlight w:val="none"/>
          <w:u w:val="singl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账号</w:t>
      </w:r>
      <w:r>
        <w:rPr>
          <w:rFonts w:ascii="宋体" w:hAnsi="宋体" w:cs="宋体"/>
          <w:color w:val="000000" w:themeColor="text1"/>
          <w:kern w:val="0"/>
          <w:highlight w:val="none"/>
          <w14:textFill>
            <w14:solidFill>
              <w14:schemeClr w14:val="tx1"/>
            </w14:solidFill>
          </w14:textFill>
        </w:rPr>
        <w:t>：</w:t>
      </w:r>
      <w:r>
        <w:rPr>
          <w:rFonts w:hint="eastAsia" w:ascii="宋体" w:hAnsi="宋体" w:cs="宋体"/>
          <w:color w:val="000000" w:themeColor="text1"/>
          <w:kern w:val="0"/>
          <w:highlight w:val="none"/>
          <w:u w:val="single"/>
          <w14:textFill>
            <w14:solidFill>
              <w14:schemeClr w14:val="tx1"/>
            </w14:solidFill>
          </w14:textFill>
        </w:rPr>
        <w:t xml:space="preserve">0141-880000-1690 </w:t>
      </w:r>
    </w:p>
    <w:p>
      <w:pPr>
        <w:tabs>
          <w:tab w:val="left" w:pos="567"/>
        </w:tabs>
        <w:autoSpaceDE w:val="0"/>
        <w:autoSpaceDN w:val="0"/>
        <w:adjustRightInd w:val="0"/>
        <w:snapToGrid w:val="0"/>
        <w:spacing w:line="360" w:lineRule="auto"/>
        <w:ind w:firstLine="420" w:firstLineChars="200"/>
        <w:textAlignment w:val="baseline"/>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电话：</w:t>
      </w:r>
      <w:r>
        <w:rPr>
          <w:rFonts w:ascii="宋体" w:hAnsi="宋体" w:cs="宋体"/>
          <w:color w:val="000000" w:themeColor="text1"/>
          <w:kern w:val="0"/>
          <w:highlight w:val="none"/>
          <w:u w:val="single"/>
          <w14:textFill>
            <w14:solidFill>
              <w14:schemeClr w14:val="tx1"/>
            </w14:solidFill>
          </w14:textFill>
        </w:rPr>
        <w:t xml:space="preserve"> </w:t>
      </w:r>
      <w:r>
        <w:rPr>
          <w:rFonts w:hint="eastAsia" w:ascii="宋体" w:hAnsi="宋体" w:cs="宋体"/>
          <w:color w:val="000000" w:themeColor="text1"/>
          <w:kern w:val="0"/>
          <w:highlight w:val="none"/>
          <w:u w:val="single"/>
          <w14:textFill>
            <w14:solidFill>
              <w14:schemeClr w14:val="tx1"/>
            </w14:solidFill>
          </w14:textFill>
        </w:rPr>
        <w:t>0757-22268050</w:t>
      </w:r>
      <w:r>
        <w:rPr>
          <w:rFonts w:ascii="宋体" w:hAnsi="宋体" w:cs="宋体"/>
          <w:color w:val="000000" w:themeColor="text1"/>
          <w:kern w:val="0"/>
          <w:highlight w:val="none"/>
          <w:u w:val="single"/>
          <w14:textFill>
            <w14:solidFill>
              <w14:schemeClr w14:val="tx1"/>
            </w14:solidFill>
          </w14:textFill>
        </w:rPr>
        <w:t xml:space="preserve">  </w:t>
      </w:r>
    </w:p>
    <w:p>
      <w:pPr>
        <w:tabs>
          <w:tab w:val="left" w:pos="567"/>
        </w:tabs>
        <w:autoSpaceDE w:val="0"/>
        <w:autoSpaceDN w:val="0"/>
        <w:adjustRightInd w:val="0"/>
        <w:snapToGrid w:val="0"/>
        <w:spacing w:line="360" w:lineRule="auto"/>
        <w:ind w:firstLine="420" w:firstLineChars="200"/>
        <w:textAlignment w:val="baseline"/>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乙方指定银行帐号为：</w:t>
      </w:r>
    </w:p>
    <w:p>
      <w:pPr>
        <w:tabs>
          <w:tab w:val="left" w:pos="567"/>
        </w:tabs>
        <w:autoSpaceDE w:val="0"/>
        <w:autoSpaceDN w:val="0"/>
        <w:adjustRightInd w:val="0"/>
        <w:snapToGrid w:val="0"/>
        <w:spacing w:line="360" w:lineRule="auto"/>
        <w:ind w:firstLine="420" w:firstLineChars="200"/>
        <w:textAlignment w:val="baseline"/>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开户名：</w:t>
      </w:r>
    </w:p>
    <w:p>
      <w:pPr>
        <w:tabs>
          <w:tab w:val="left" w:pos="567"/>
        </w:tabs>
        <w:autoSpaceDE w:val="0"/>
        <w:autoSpaceDN w:val="0"/>
        <w:adjustRightInd w:val="0"/>
        <w:snapToGrid w:val="0"/>
        <w:spacing w:line="360" w:lineRule="auto"/>
        <w:ind w:firstLine="420" w:firstLineChars="200"/>
        <w:textAlignment w:val="baseline"/>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开户行：_</w:t>
      </w:r>
      <w:r>
        <w:rPr>
          <w:rFonts w:hint="eastAsia" w:ascii="宋体" w:hAnsi="宋体" w:cs="宋体"/>
          <w:color w:val="000000" w:themeColor="text1"/>
          <w:kern w:val="0"/>
          <w:highlight w:val="none"/>
          <w:u w:val="single"/>
          <w14:textFill>
            <w14:solidFill>
              <w14:schemeClr w14:val="tx1"/>
            </w14:solidFill>
          </w14:textFill>
        </w:rPr>
        <w:t xml:space="preserve"> </w:t>
      </w:r>
      <w:r>
        <w:rPr>
          <w:rFonts w:ascii="宋体" w:hAnsi="宋体" w:cs="宋体"/>
          <w:color w:val="000000" w:themeColor="text1"/>
          <w:kern w:val="0"/>
          <w:highlight w:val="none"/>
          <w14:textFill>
            <w14:solidFill>
              <w14:schemeClr w14:val="tx1"/>
            </w14:solidFill>
          </w14:textFill>
        </w:rPr>
        <w:t xml:space="preserve"> </w:t>
      </w:r>
    </w:p>
    <w:p>
      <w:pPr>
        <w:tabs>
          <w:tab w:val="left" w:pos="567"/>
        </w:tabs>
        <w:autoSpaceDE w:val="0"/>
        <w:autoSpaceDN w:val="0"/>
        <w:adjustRightInd w:val="0"/>
        <w:snapToGrid w:val="0"/>
        <w:spacing w:line="360" w:lineRule="auto"/>
        <w:ind w:firstLine="420" w:firstLineChars="200"/>
        <w:textAlignment w:val="baseline"/>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账号：</w:t>
      </w:r>
      <w:r>
        <w:rPr>
          <w:rFonts w:hint="eastAsia" w:ascii="宋体" w:hAnsi="宋体" w:cs="宋体"/>
          <w:color w:val="000000" w:themeColor="text1"/>
          <w:kern w:val="0"/>
          <w:highlight w:val="none"/>
          <w:u w:val="single"/>
          <w14:textFill>
            <w14:solidFill>
              <w14:schemeClr w14:val="tx1"/>
            </w14:solidFill>
          </w14:textFill>
        </w:rPr>
        <w:t xml:space="preserve">  </w:t>
      </w:r>
    </w:p>
    <w:p>
      <w:pPr>
        <w:tabs>
          <w:tab w:val="left" w:pos="567"/>
        </w:tabs>
        <w:autoSpaceDE w:val="0"/>
        <w:autoSpaceDN w:val="0"/>
        <w:adjustRightInd w:val="0"/>
        <w:snapToGrid w:val="0"/>
        <w:spacing w:line="360" w:lineRule="auto"/>
        <w:ind w:firstLine="420" w:firstLineChars="200"/>
        <w:textAlignment w:val="baseline"/>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税号：</w:t>
      </w:r>
    </w:p>
    <w:p>
      <w:pPr>
        <w:tabs>
          <w:tab w:val="left" w:pos="567"/>
        </w:tabs>
        <w:autoSpaceDE w:val="0"/>
        <w:autoSpaceDN w:val="0"/>
        <w:adjustRightInd w:val="0"/>
        <w:snapToGrid w:val="0"/>
        <w:spacing w:line="360" w:lineRule="auto"/>
        <w:ind w:firstLine="420" w:firstLineChars="200"/>
        <w:textAlignment w:val="baseline"/>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地址：_</w:t>
      </w:r>
      <w:r>
        <w:rPr>
          <w:rFonts w:hint="eastAsia" w:ascii="宋体" w:hAnsi="宋体" w:cs="宋体"/>
          <w:color w:val="000000" w:themeColor="text1"/>
          <w:kern w:val="0"/>
          <w:highlight w:val="none"/>
          <w:u w:val="single"/>
          <w14:textFill>
            <w14:solidFill>
              <w14:schemeClr w14:val="tx1"/>
            </w14:solidFill>
          </w14:textFill>
        </w:rPr>
        <w:t>_</w:t>
      </w:r>
      <w:r>
        <w:rPr>
          <w:rFonts w:hint="eastAsia" w:ascii="宋体" w:hAnsi="宋体" w:cs="宋体"/>
          <w:color w:val="000000" w:themeColor="text1"/>
          <w:kern w:val="0"/>
          <w:highlight w:val="none"/>
          <w14:textFill>
            <w14:solidFill>
              <w14:schemeClr w14:val="tx1"/>
            </w14:solidFill>
          </w14:textFill>
        </w:rPr>
        <w:t xml:space="preserve"> </w:t>
      </w:r>
    </w:p>
    <w:p>
      <w:pPr>
        <w:adjustRightInd w:val="0"/>
        <w:snapToGrid w:val="0"/>
        <w:spacing w:line="360" w:lineRule="auto"/>
        <w:ind w:firstLine="420" w:firstLineChars="200"/>
        <w:rPr>
          <w:rFonts w:ascii="宋体" w:hAnsi="宋体" w:cs="宋体"/>
          <w:color w:val="000000"/>
          <w:szCs w:val="21"/>
          <w:highlight w:val="none"/>
          <w:lang w:bidi="ar"/>
        </w:rPr>
      </w:pPr>
      <w:r>
        <w:rPr>
          <w:rFonts w:hint="eastAsia" w:ascii="宋体" w:hAnsi="宋体" w:cs="宋体"/>
          <w:color w:val="000000"/>
          <w:szCs w:val="21"/>
          <w:highlight w:val="none"/>
          <w:lang w:bidi="ar"/>
        </w:rPr>
        <w:t xml:space="preserve">（二）由甲方按下列程序付款： </w:t>
      </w:r>
    </w:p>
    <w:p>
      <w:pPr>
        <w:tabs>
          <w:tab w:val="left" w:pos="425"/>
        </w:tabs>
        <w:adjustRightInd w:val="0"/>
        <w:snapToGrid w:val="0"/>
        <w:spacing w:line="360" w:lineRule="auto"/>
        <w:ind w:left="425"/>
        <w:rPr>
          <w:rFonts w:ascii="宋体" w:hAnsi="宋体" w:cs="宋体"/>
          <w:color w:val="FF0000"/>
          <w:szCs w:val="21"/>
          <w:highlight w:val="none"/>
          <w:lang w:bidi="ar"/>
        </w:rPr>
      </w:pPr>
      <w:r>
        <w:rPr>
          <w:rFonts w:hint="eastAsia" w:ascii="宋体" w:hAnsi="宋体" w:cs="宋体"/>
          <w:color w:val="FF0000"/>
          <w:szCs w:val="21"/>
          <w:highlight w:val="none"/>
          <w:lang w:bidi="ar"/>
        </w:rPr>
        <w:t>1</w:t>
      </w:r>
      <w:r>
        <w:rPr>
          <w:rFonts w:ascii="宋体" w:hAnsi="宋体" w:cs="宋体"/>
          <w:color w:val="FF0000"/>
          <w:szCs w:val="21"/>
          <w:highlight w:val="none"/>
          <w:lang w:bidi="ar"/>
        </w:rPr>
        <w:t>.</w:t>
      </w:r>
      <w:r>
        <w:rPr>
          <w:rFonts w:hint="eastAsia" w:ascii="宋体" w:hAnsi="宋体" w:cs="宋体"/>
          <w:color w:val="FF0000"/>
          <w:szCs w:val="21"/>
          <w:highlight w:val="none"/>
          <w:lang w:bidi="ar"/>
        </w:rPr>
        <w:t>预付款：签订合同后</w:t>
      </w:r>
      <w:r>
        <w:rPr>
          <w:rFonts w:ascii="宋体" w:hAnsi="宋体" w:cs="宋体"/>
          <w:color w:val="FF0000"/>
          <w:szCs w:val="21"/>
          <w:highlight w:val="none"/>
          <w:lang w:bidi="ar"/>
        </w:rPr>
        <w:t>60</w:t>
      </w:r>
      <w:r>
        <w:rPr>
          <w:rFonts w:hint="eastAsia" w:ascii="宋体" w:hAnsi="宋体" w:cs="宋体"/>
          <w:color w:val="FF0000"/>
          <w:szCs w:val="21"/>
          <w:highlight w:val="none"/>
          <w:lang w:bidi="ar"/>
        </w:rPr>
        <w:t>个工作日内，支付合同总价的</w:t>
      </w:r>
      <w:r>
        <w:rPr>
          <w:rFonts w:ascii="宋体" w:hAnsi="宋体" w:cs="宋体"/>
          <w:color w:val="FF0000"/>
          <w:szCs w:val="21"/>
          <w:highlight w:val="none"/>
          <w:lang w:bidi="ar"/>
        </w:rPr>
        <w:t>80</w:t>
      </w:r>
      <w:r>
        <w:rPr>
          <w:rFonts w:hint="eastAsia" w:ascii="宋体" w:hAnsi="宋体" w:cs="宋体"/>
          <w:color w:val="FF0000"/>
          <w:szCs w:val="21"/>
          <w:highlight w:val="none"/>
          <w:lang w:bidi="ar"/>
        </w:rPr>
        <w:t>%。</w:t>
      </w:r>
    </w:p>
    <w:p>
      <w:pPr>
        <w:tabs>
          <w:tab w:val="left" w:pos="425"/>
        </w:tabs>
        <w:adjustRightInd w:val="0"/>
        <w:snapToGrid w:val="0"/>
        <w:spacing w:line="360" w:lineRule="auto"/>
        <w:ind w:left="425"/>
        <w:rPr>
          <w:rFonts w:ascii="宋体" w:hAnsi="宋体" w:cs="宋体"/>
          <w:color w:val="FF0000"/>
          <w:szCs w:val="21"/>
          <w:highlight w:val="none"/>
          <w:lang w:bidi="ar"/>
        </w:rPr>
      </w:pPr>
      <w:r>
        <w:rPr>
          <w:rFonts w:hint="eastAsia" w:ascii="宋体" w:hAnsi="宋体" w:cs="宋体"/>
          <w:color w:val="FF0000"/>
          <w:szCs w:val="21"/>
          <w:highlight w:val="none"/>
          <w:lang w:bidi="ar"/>
        </w:rPr>
        <w:t>2</w:t>
      </w:r>
      <w:r>
        <w:rPr>
          <w:rFonts w:ascii="宋体" w:hAnsi="宋体" w:cs="宋体"/>
          <w:color w:val="FF0000"/>
          <w:szCs w:val="21"/>
          <w:highlight w:val="none"/>
          <w:lang w:bidi="ar"/>
        </w:rPr>
        <w:t>.</w:t>
      </w:r>
      <w:r>
        <w:rPr>
          <w:rFonts w:hint="eastAsia" w:ascii="宋体" w:hAnsi="宋体" w:cs="宋体"/>
          <w:color w:val="FF0000"/>
          <w:szCs w:val="21"/>
          <w:highlight w:val="none"/>
          <w:lang w:bidi="ar"/>
        </w:rPr>
        <w:t xml:space="preserve">正常使用 </w:t>
      </w:r>
      <w:r>
        <w:rPr>
          <w:rFonts w:ascii="宋体" w:hAnsi="宋体" w:cs="宋体"/>
          <w:color w:val="FF0000"/>
          <w:szCs w:val="21"/>
          <w:highlight w:val="none"/>
          <w:lang w:bidi="ar"/>
        </w:rPr>
        <w:t>2</w:t>
      </w:r>
      <w:r>
        <w:rPr>
          <w:rFonts w:hint="eastAsia" w:ascii="宋体" w:hAnsi="宋体" w:cs="宋体"/>
          <w:color w:val="FF0000"/>
          <w:szCs w:val="21"/>
          <w:highlight w:val="none"/>
          <w:lang w:bidi="ar"/>
        </w:rPr>
        <w:t xml:space="preserve">个月后 </w:t>
      </w:r>
      <w:r>
        <w:rPr>
          <w:rFonts w:ascii="宋体" w:hAnsi="宋体" w:cs="宋体"/>
          <w:color w:val="FF0000"/>
          <w:szCs w:val="21"/>
          <w:highlight w:val="none"/>
          <w:lang w:bidi="ar"/>
        </w:rPr>
        <w:t>7</w:t>
      </w:r>
      <w:r>
        <w:rPr>
          <w:rFonts w:hint="eastAsia" w:ascii="宋体" w:hAnsi="宋体" w:cs="宋体"/>
          <w:color w:val="FF0000"/>
          <w:szCs w:val="21"/>
          <w:highlight w:val="none"/>
          <w:lang w:bidi="ar"/>
        </w:rPr>
        <w:t>个工作日内进行验收，验收合格后可支付至合同总价的</w:t>
      </w:r>
      <w:r>
        <w:rPr>
          <w:rFonts w:ascii="宋体" w:hAnsi="宋体" w:cs="宋体"/>
          <w:color w:val="FF0000"/>
          <w:szCs w:val="21"/>
          <w:highlight w:val="none"/>
          <w:lang w:bidi="ar"/>
        </w:rPr>
        <w:t>100</w:t>
      </w:r>
      <w:r>
        <w:rPr>
          <w:rFonts w:hint="eastAsia" w:ascii="宋体" w:hAnsi="宋体" w:cs="宋体"/>
          <w:color w:val="FF0000"/>
          <w:szCs w:val="21"/>
          <w:highlight w:val="none"/>
          <w:lang w:bidi="ar"/>
        </w:rPr>
        <w:t>%。</w:t>
      </w:r>
    </w:p>
    <w:p>
      <w:pPr>
        <w:tabs>
          <w:tab w:val="left" w:pos="425"/>
        </w:tabs>
        <w:adjustRightInd w:val="0"/>
        <w:snapToGrid w:val="0"/>
        <w:spacing w:line="360" w:lineRule="auto"/>
        <w:ind w:left="420"/>
        <w:rPr>
          <w:rFonts w:ascii="宋体" w:hAnsi="宋体" w:cs="宋体"/>
          <w:color w:val="000000"/>
          <w:szCs w:val="21"/>
          <w:highlight w:val="none"/>
          <w:lang w:bidi="ar"/>
        </w:rPr>
      </w:pPr>
      <w:r>
        <w:rPr>
          <w:rFonts w:hint="eastAsia" w:ascii="宋体" w:hAnsi="宋体" w:cs="宋体"/>
          <w:color w:val="000000"/>
          <w:szCs w:val="21"/>
          <w:highlight w:val="none"/>
          <w:lang w:bidi="ar"/>
        </w:rPr>
        <w:t>3</w:t>
      </w:r>
      <w:r>
        <w:rPr>
          <w:rFonts w:ascii="宋体" w:hAnsi="宋体" w:cs="宋体"/>
          <w:color w:val="000000"/>
          <w:szCs w:val="21"/>
          <w:highlight w:val="none"/>
          <w:lang w:bidi="ar"/>
        </w:rPr>
        <w:t>.</w:t>
      </w:r>
      <w:r>
        <w:rPr>
          <w:rFonts w:hint="eastAsia" w:ascii="宋体" w:hAnsi="宋体" w:cs="宋体"/>
          <w:color w:val="000000"/>
          <w:szCs w:val="21"/>
          <w:highlight w:val="none"/>
          <w:lang w:bidi="ar"/>
        </w:rPr>
        <w:t>乙方凭以下有效文件与甲方结算：</w:t>
      </w:r>
    </w:p>
    <w:p>
      <w:pPr>
        <w:adjustRightInd w:val="0"/>
        <w:snapToGrid w:val="0"/>
        <w:spacing w:line="360" w:lineRule="auto"/>
        <w:ind w:firstLine="420" w:firstLineChars="200"/>
        <w:rPr>
          <w:rFonts w:ascii="宋体" w:hAnsi="宋体" w:cs="宋体"/>
          <w:color w:val="000000"/>
          <w:szCs w:val="21"/>
          <w:highlight w:val="none"/>
          <w:lang w:bidi="ar"/>
        </w:rPr>
      </w:pPr>
      <w:r>
        <w:rPr>
          <w:rFonts w:hint="eastAsia" w:ascii="宋体" w:hAnsi="宋体" w:cs="宋体"/>
          <w:color w:val="000000"/>
          <w:szCs w:val="21"/>
          <w:highlight w:val="none"/>
          <w:lang w:bidi="ar"/>
        </w:rPr>
        <w:t>（1）合同；</w:t>
      </w:r>
    </w:p>
    <w:p>
      <w:pPr>
        <w:adjustRightInd w:val="0"/>
        <w:snapToGrid w:val="0"/>
        <w:spacing w:line="360" w:lineRule="auto"/>
        <w:ind w:firstLine="420" w:firstLineChars="200"/>
        <w:rPr>
          <w:rFonts w:ascii="宋体" w:hAnsi="宋体" w:cs="宋体"/>
          <w:color w:val="000000"/>
          <w:szCs w:val="21"/>
          <w:highlight w:val="none"/>
          <w:lang w:bidi="ar"/>
        </w:rPr>
      </w:pPr>
      <w:r>
        <w:rPr>
          <w:rFonts w:hint="eastAsia" w:ascii="宋体" w:hAnsi="宋体" w:cs="宋体"/>
          <w:color w:val="000000"/>
          <w:szCs w:val="21"/>
          <w:highlight w:val="none"/>
          <w:lang w:bidi="ar"/>
        </w:rPr>
        <w:t>（2）成交人开具的正式发票；</w:t>
      </w:r>
    </w:p>
    <w:p>
      <w:pPr>
        <w:adjustRightInd w:val="0"/>
        <w:snapToGrid w:val="0"/>
        <w:spacing w:line="360" w:lineRule="auto"/>
        <w:ind w:firstLine="420" w:firstLineChars="200"/>
        <w:rPr>
          <w:rFonts w:ascii="宋体" w:hAnsi="宋体" w:cs="宋体"/>
          <w:b/>
          <w:bCs/>
          <w:szCs w:val="21"/>
          <w:highlight w:val="none"/>
        </w:rPr>
      </w:pPr>
      <w:r>
        <w:rPr>
          <w:rFonts w:hint="eastAsia" w:ascii="宋体" w:hAnsi="宋体" w:cs="宋体"/>
          <w:color w:val="000000"/>
          <w:szCs w:val="21"/>
          <w:highlight w:val="none"/>
          <w:lang w:bidi="ar"/>
        </w:rPr>
        <w:t>（3）成交通知书。</w:t>
      </w:r>
      <w:r>
        <w:rPr>
          <w:rFonts w:hint="eastAsia" w:ascii="宋体" w:hAnsi="宋体" w:cs="宋体"/>
          <w:b/>
          <w:color w:val="000000"/>
          <w:szCs w:val="21"/>
          <w:highlight w:val="none"/>
          <w:lang w:bidi="ar"/>
        </w:rPr>
        <w:tab/>
      </w:r>
    </w:p>
    <w:p>
      <w:pPr>
        <w:pStyle w:val="15"/>
        <w:tabs>
          <w:tab w:val="left" w:pos="540"/>
        </w:tabs>
        <w:adjustRightInd w:val="0"/>
        <w:snapToGrid w:val="0"/>
        <w:spacing w:line="360" w:lineRule="auto"/>
        <w:ind w:firstLine="422" w:firstLineChars="200"/>
        <w:rPr>
          <w:rFonts w:hAnsi="宋体"/>
          <w:b/>
          <w:bCs/>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十、违约责任与赔偿损失</w:t>
      </w:r>
    </w:p>
    <w:p>
      <w:pPr>
        <w:tabs>
          <w:tab w:val="left" w:pos="567"/>
        </w:tabs>
        <w:autoSpaceDE w:val="0"/>
        <w:autoSpaceDN w:val="0"/>
        <w:adjustRightInd w:val="0"/>
        <w:snapToGrid w:val="0"/>
        <w:spacing w:line="360" w:lineRule="auto"/>
        <w:ind w:firstLine="420" w:firstLineChars="200"/>
        <w:textAlignment w:val="baseline"/>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（一）乙方交付的货物、工程/提供的服务不符合竞价文件、响应文件或本合同规定的，甲方有权拒收，并且乙方须向甲方退回预付款及支付本合同总价5%的违约金。</w:t>
      </w:r>
    </w:p>
    <w:p>
      <w:pPr>
        <w:tabs>
          <w:tab w:val="left" w:pos="567"/>
        </w:tabs>
        <w:autoSpaceDE w:val="0"/>
        <w:autoSpaceDN w:val="0"/>
        <w:adjustRightInd w:val="0"/>
        <w:snapToGrid w:val="0"/>
        <w:spacing w:line="360" w:lineRule="auto"/>
        <w:ind w:firstLine="420" w:firstLineChars="200"/>
        <w:textAlignment w:val="baseline"/>
        <w:rPr>
          <w:rFonts w:ascii="宋体" w:hAnsi="宋体" w:cs="宋体"/>
          <w:kern w:val="0"/>
          <w:highlight w:val="none"/>
        </w:rPr>
      </w:pPr>
      <w:r>
        <w:rPr>
          <w:rFonts w:hint="eastAsia" w:ascii="宋体" w:hAnsi="宋体" w:cs="宋体"/>
          <w:color w:val="000000" w:themeColor="text1"/>
          <w:kern w:val="0"/>
          <w:highlight w:val="none"/>
          <w14:textFill>
            <w14:solidFill>
              <w14:schemeClr w14:val="tx1"/>
            </w14:solidFill>
          </w14:textFill>
        </w:rPr>
        <w:t>（二）乙方未能按本合同规定的交货时间交付货物的/提供服务，从逾期之日起每日按本合同总价</w:t>
      </w:r>
      <w:r>
        <w:rPr>
          <w:rFonts w:hint="eastAsia" w:ascii="宋体" w:hAnsi="宋体" w:cs="宋体"/>
          <w:color w:val="000000" w:themeColor="text1"/>
          <w:kern w:val="0"/>
          <w:highlight w:val="none"/>
          <w:u w:val="single"/>
          <w14:textFill>
            <w14:solidFill>
              <w14:schemeClr w14:val="tx1"/>
            </w14:solidFill>
          </w14:textFill>
        </w:rPr>
        <w:t>3‰</w:t>
      </w:r>
      <w:r>
        <w:rPr>
          <w:rFonts w:hint="eastAsia" w:ascii="宋体" w:hAnsi="宋体" w:cs="宋体"/>
          <w:color w:val="000000" w:themeColor="text1"/>
          <w:kern w:val="0"/>
          <w:highlight w:val="none"/>
          <w14:textFill>
            <w14:solidFill>
              <w14:schemeClr w14:val="tx1"/>
            </w14:solidFill>
          </w14:textFill>
        </w:rPr>
        <w:t>的数额向甲方支付违约金；逾期15天以上（含15天）的，甲方有权终止合同，要求乙方退回预付款及支</w:t>
      </w:r>
      <w:r>
        <w:rPr>
          <w:rFonts w:hint="eastAsia" w:ascii="宋体" w:hAnsi="宋体" w:cs="宋体"/>
          <w:kern w:val="0"/>
          <w:highlight w:val="none"/>
        </w:rPr>
        <w:t>付违约金，并且给甲方造成的经济损失由乙方承担赔偿责任。</w:t>
      </w:r>
    </w:p>
    <w:p>
      <w:pPr>
        <w:tabs>
          <w:tab w:val="left" w:pos="567"/>
        </w:tabs>
        <w:autoSpaceDE w:val="0"/>
        <w:autoSpaceDN w:val="0"/>
        <w:adjustRightInd w:val="0"/>
        <w:snapToGrid w:val="0"/>
        <w:spacing w:line="360" w:lineRule="auto"/>
        <w:ind w:firstLine="420" w:firstLineChars="200"/>
        <w:textAlignment w:val="baseline"/>
        <w:rPr>
          <w:rFonts w:ascii="宋体" w:hAnsi="宋体" w:cs="宋体"/>
          <w:kern w:val="0"/>
          <w:highlight w:val="none"/>
        </w:rPr>
      </w:pPr>
      <w:r>
        <w:rPr>
          <w:rFonts w:hint="eastAsia" w:ascii="宋体" w:hAnsi="宋体" w:cs="宋体"/>
          <w:kern w:val="0"/>
          <w:highlight w:val="none"/>
        </w:rPr>
        <w:t>（三）甲方无正当理由拒收货物/接受服务，到期拒付货物/服务款项的，甲方向乙方偿付本合同总价的5%的违约金。甲方逾期付款，则每日按本合同总价的</w:t>
      </w:r>
      <w:r>
        <w:rPr>
          <w:rFonts w:hint="eastAsia" w:ascii="宋体" w:hAnsi="宋体" w:cs="宋体"/>
          <w:kern w:val="0"/>
          <w:highlight w:val="none"/>
          <w:u w:val="single"/>
        </w:rPr>
        <w:t>3‰</w:t>
      </w:r>
      <w:r>
        <w:rPr>
          <w:rFonts w:hint="eastAsia" w:ascii="宋体" w:hAnsi="宋体" w:cs="宋体"/>
          <w:kern w:val="0"/>
          <w:highlight w:val="none"/>
        </w:rPr>
        <w:t>向乙方偿付违约金。</w:t>
      </w:r>
    </w:p>
    <w:p>
      <w:pPr>
        <w:tabs>
          <w:tab w:val="left" w:pos="567"/>
        </w:tabs>
        <w:autoSpaceDE w:val="0"/>
        <w:autoSpaceDN w:val="0"/>
        <w:adjustRightInd w:val="0"/>
        <w:snapToGrid w:val="0"/>
        <w:spacing w:line="360" w:lineRule="auto"/>
        <w:ind w:firstLine="420" w:firstLineChars="200"/>
        <w:textAlignment w:val="baseline"/>
        <w:rPr>
          <w:rFonts w:ascii="宋体" w:hAnsi="宋体" w:cs="宋体"/>
          <w:kern w:val="0"/>
          <w:highlight w:val="none"/>
        </w:rPr>
      </w:pPr>
      <w:r>
        <w:rPr>
          <w:rFonts w:hint="eastAsia" w:ascii="宋体" w:hAnsi="宋体" w:cs="宋体"/>
          <w:kern w:val="0"/>
          <w:highlight w:val="none"/>
        </w:rPr>
        <w:t>（四）其它违约责任按《中华人民共和国民法典》处理。</w:t>
      </w:r>
    </w:p>
    <w:p>
      <w:pPr>
        <w:adjustRightInd w:val="0"/>
        <w:snapToGrid w:val="0"/>
        <w:spacing w:line="360" w:lineRule="auto"/>
        <w:ind w:left="420" w:leftChars="200"/>
        <w:rPr>
          <w:rFonts w:ascii="宋体" w:hAnsi="宋体"/>
          <w:b/>
          <w:bCs/>
          <w:highlight w:val="none"/>
        </w:rPr>
      </w:pPr>
      <w:bookmarkStart w:id="7" w:name="_Toc310943781"/>
      <w:bookmarkStart w:id="8" w:name="_Toc308452708"/>
      <w:bookmarkStart w:id="9" w:name="_Toc310520948"/>
      <w:bookmarkStart w:id="10" w:name="_Toc344953154"/>
      <w:bookmarkStart w:id="11" w:name="_Toc310518876"/>
      <w:bookmarkStart w:id="12" w:name="_Toc307934677"/>
      <w:bookmarkStart w:id="13" w:name="_Toc308452522"/>
      <w:r>
        <w:rPr>
          <w:rFonts w:hint="eastAsia" w:ascii="宋体" w:hAnsi="宋体"/>
          <w:b/>
          <w:bCs/>
          <w:highlight w:val="none"/>
        </w:rPr>
        <w:t>十一、</w:t>
      </w:r>
      <w:r>
        <w:rPr>
          <w:rFonts w:ascii="宋体" w:hAnsi="宋体"/>
          <w:b/>
          <w:bCs/>
          <w:highlight w:val="none"/>
        </w:rPr>
        <w:t>合同生效、变更与终止</w:t>
      </w:r>
      <w:bookmarkEnd w:id="7"/>
      <w:bookmarkEnd w:id="8"/>
      <w:bookmarkEnd w:id="9"/>
      <w:bookmarkEnd w:id="10"/>
      <w:bookmarkEnd w:id="11"/>
      <w:bookmarkEnd w:id="12"/>
      <w:bookmarkEnd w:id="13"/>
    </w:p>
    <w:p>
      <w:pPr>
        <w:spacing w:line="360" w:lineRule="auto"/>
        <w:ind w:firstLine="420" w:firstLineChars="200"/>
        <w:jc w:val="left"/>
        <w:rPr>
          <w:szCs w:val="24"/>
          <w:highlight w:val="none"/>
        </w:rPr>
      </w:pPr>
      <w:r>
        <w:rPr>
          <w:rFonts w:hint="eastAsia"/>
          <w:szCs w:val="24"/>
          <w:highlight w:val="none"/>
        </w:rPr>
        <w:t>（一）</w:t>
      </w:r>
      <w:r>
        <w:rPr>
          <w:szCs w:val="24"/>
          <w:highlight w:val="none"/>
        </w:rPr>
        <w:t>由于甲方的原因使本项目的工作受到阻碍或延误，以致延长了完成时间，则乙方应当将此情况与可能产生的影响及时通知甲方，经甲方书面确认后，完成时间可以相应延长。</w:t>
      </w:r>
    </w:p>
    <w:p>
      <w:pPr>
        <w:spacing w:line="360" w:lineRule="auto"/>
        <w:ind w:firstLine="420" w:firstLineChars="200"/>
        <w:jc w:val="left"/>
        <w:rPr>
          <w:szCs w:val="24"/>
          <w:highlight w:val="none"/>
        </w:rPr>
      </w:pPr>
      <w:r>
        <w:rPr>
          <w:rFonts w:hint="eastAsia"/>
          <w:szCs w:val="24"/>
          <w:highlight w:val="none"/>
        </w:rPr>
        <w:t>（二）</w:t>
      </w:r>
      <w:r>
        <w:rPr>
          <w:szCs w:val="24"/>
          <w:highlight w:val="none"/>
        </w:rPr>
        <w:t>在项目实施过程中，如出现内容的变更，由当事各方协商解决。</w:t>
      </w:r>
    </w:p>
    <w:p>
      <w:pPr>
        <w:spacing w:line="360" w:lineRule="auto"/>
        <w:ind w:firstLine="420" w:firstLineChars="200"/>
        <w:jc w:val="left"/>
        <w:rPr>
          <w:szCs w:val="24"/>
          <w:highlight w:val="none"/>
        </w:rPr>
      </w:pPr>
      <w:r>
        <w:rPr>
          <w:rFonts w:hint="eastAsia"/>
          <w:szCs w:val="24"/>
          <w:highlight w:val="none"/>
        </w:rPr>
        <w:t>（三）</w:t>
      </w:r>
      <w:r>
        <w:rPr>
          <w:szCs w:val="24"/>
          <w:highlight w:val="none"/>
        </w:rPr>
        <w:t>本合同有效期自生效之日起，至乙方履行完毕全部合同义务止。</w:t>
      </w:r>
    </w:p>
    <w:p>
      <w:pPr>
        <w:spacing w:line="360" w:lineRule="auto"/>
        <w:ind w:firstLine="420" w:firstLineChars="200"/>
        <w:jc w:val="left"/>
        <w:rPr>
          <w:szCs w:val="24"/>
          <w:highlight w:val="none"/>
        </w:rPr>
      </w:pPr>
      <w:r>
        <w:rPr>
          <w:rFonts w:hint="eastAsia"/>
          <w:szCs w:val="24"/>
          <w:highlight w:val="none"/>
        </w:rPr>
        <w:t>（四）</w:t>
      </w:r>
      <w:r>
        <w:rPr>
          <w:szCs w:val="24"/>
          <w:highlight w:val="none"/>
        </w:rPr>
        <w:t>当事人一方要求变更或解除合同时，应当在20个工作日前书面通知对方，因解除合同使其他方遭受损失的，除依法可以免除的责任外，应由责任方负责赔偿。</w:t>
      </w:r>
    </w:p>
    <w:p>
      <w:pPr>
        <w:spacing w:line="360" w:lineRule="auto"/>
        <w:ind w:firstLine="420" w:firstLineChars="200"/>
        <w:jc w:val="left"/>
        <w:rPr>
          <w:szCs w:val="24"/>
          <w:highlight w:val="none"/>
        </w:rPr>
      </w:pPr>
      <w:r>
        <w:rPr>
          <w:rFonts w:hint="eastAsia"/>
          <w:szCs w:val="24"/>
          <w:highlight w:val="none"/>
        </w:rPr>
        <w:t>（五）</w:t>
      </w:r>
      <w:r>
        <w:rPr>
          <w:szCs w:val="24"/>
          <w:highlight w:val="none"/>
        </w:rPr>
        <w:t>变更或解除合同的通知或协议必须采取书面形式，协议未达成之前，原合同仍然有效。</w:t>
      </w:r>
    </w:p>
    <w:p>
      <w:pPr>
        <w:spacing w:line="360" w:lineRule="auto"/>
        <w:ind w:firstLine="420" w:firstLineChars="200"/>
        <w:jc w:val="left"/>
        <w:rPr>
          <w:szCs w:val="24"/>
          <w:highlight w:val="none"/>
        </w:rPr>
      </w:pPr>
      <w:r>
        <w:rPr>
          <w:rFonts w:hint="eastAsia"/>
          <w:szCs w:val="24"/>
          <w:highlight w:val="none"/>
        </w:rPr>
        <w:t>（六）</w:t>
      </w:r>
      <w:r>
        <w:rPr>
          <w:szCs w:val="24"/>
          <w:highlight w:val="none"/>
        </w:rPr>
        <w:t>本合同的终止并不影响各方应有的权利和应当承担的责任。</w:t>
      </w:r>
    </w:p>
    <w:p>
      <w:pPr>
        <w:adjustRightInd w:val="0"/>
        <w:snapToGrid w:val="0"/>
        <w:spacing w:line="360" w:lineRule="auto"/>
        <w:ind w:left="420" w:leftChars="200"/>
        <w:rPr>
          <w:rFonts w:ascii="宋体" w:hAnsi="宋体"/>
          <w:b/>
          <w:bCs/>
          <w:highlight w:val="none"/>
        </w:rPr>
      </w:pPr>
      <w:bookmarkStart w:id="14" w:name="_Toc310520949"/>
      <w:bookmarkStart w:id="15" w:name="_Toc310518877"/>
      <w:bookmarkStart w:id="16" w:name="_Toc308452709"/>
      <w:bookmarkStart w:id="17" w:name="_Toc310943782"/>
      <w:bookmarkStart w:id="18" w:name="_Toc344953155"/>
      <w:bookmarkStart w:id="19" w:name="_Toc308452523"/>
      <w:bookmarkStart w:id="20" w:name="_Toc307934678"/>
      <w:r>
        <w:rPr>
          <w:rFonts w:hint="eastAsia" w:ascii="宋体" w:hAnsi="宋体"/>
          <w:b/>
          <w:bCs/>
          <w:highlight w:val="none"/>
        </w:rPr>
        <w:t>十二、</w:t>
      </w:r>
      <w:r>
        <w:rPr>
          <w:rFonts w:ascii="宋体" w:hAnsi="宋体"/>
          <w:b/>
          <w:bCs/>
          <w:highlight w:val="none"/>
        </w:rPr>
        <w:t>不可抗力</w:t>
      </w:r>
      <w:bookmarkEnd w:id="14"/>
      <w:bookmarkEnd w:id="15"/>
      <w:bookmarkEnd w:id="16"/>
      <w:bookmarkEnd w:id="17"/>
      <w:bookmarkEnd w:id="18"/>
      <w:bookmarkEnd w:id="19"/>
      <w:bookmarkEnd w:id="20"/>
    </w:p>
    <w:p>
      <w:pPr>
        <w:spacing w:line="360" w:lineRule="auto"/>
        <w:ind w:firstLine="420" w:firstLineChars="200"/>
        <w:jc w:val="left"/>
        <w:rPr>
          <w:szCs w:val="24"/>
          <w:highlight w:val="none"/>
        </w:rPr>
      </w:pPr>
      <w:r>
        <w:rPr>
          <w:szCs w:val="24"/>
          <w:highlight w:val="none"/>
        </w:rPr>
        <w:t>由于地震、台风、水灾、战争、以及其它不能预见并且对其发生和后果不能防止或避免的不可抗力事故，致使直接影响本合同的履行或者不能按约定的条件履行时，遇有上述不可抗力事故的一方，应在不可抗力事故发生后立即将事故情况电传通知对方，并应在15天内提供事故详情及合同不能履行，或者部分不能履行，或者需要延期履行的理由的有效证明文件。此项证明文件应由事故发生地区的公证机构出具。按照事故对履行合同的影响程度，由合同各方协商决定是否解除合同，或者部分免除履行合同的责任，或者延期履行合同。</w:t>
      </w:r>
    </w:p>
    <w:p>
      <w:pPr>
        <w:adjustRightInd w:val="0"/>
        <w:snapToGrid w:val="0"/>
        <w:spacing w:line="360" w:lineRule="auto"/>
        <w:ind w:left="420" w:leftChars="200"/>
        <w:rPr>
          <w:rFonts w:ascii="宋体" w:hAnsi="宋体"/>
          <w:b/>
          <w:bCs/>
          <w:highlight w:val="none"/>
        </w:rPr>
      </w:pPr>
      <w:bookmarkStart w:id="21" w:name="_Toc344953156"/>
      <w:r>
        <w:rPr>
          <w:rFonts w:hint="eastAsia" w:ascii="宋体" w:hAnsi="宋体"/>
          <w:b/>
          <w:bCs/>
          <w:highlight w:val="none"/>
        </w:rPr>
        <w:t>十三、</w:t>
      </w:r>
      <w:r>
        <w:rPr>
          <w:rFonts w:ascii="宋体" w:hAnsi="宋体"/>
          <w:b/>
          <w:bCs/>
          <w:highlight w:val="none"/>
        </w:rPr>
        <w:t>争议解决</w:t>
      </w:r>
      <w:bookmarkEnd w:id="21"/>
    </w:p>
    <w:p>
      <w:pPr>
        <w:spacing w:line="360" w:lineRule="auto"/>
        <w:ind w:firstLine="420" w:firstLineChars="200"/>
        <w:jc w:val="left"/>
        <w:rPr>
          <w:szCs w:val="24"/>
          <w:highlight w:val="none"/>
        </w:rPr>
      </w:pPr>
      <w:r>
        <w:rPr>
          <w:szCs w:val="24"/>
          <w:highlight w:val="none"/>
        </w:rPr>
        <w:t>凡因履行本合同而引起的一切争议或与本合同有关的争议，应由当事各方通过友好协商解决。协商不成时，当事各方同意提交</w:t>
      </w:r>
      <w:r>
        <w:rPr>
          <w:szCs w:val="24"/>
          <w:highlight w:val="none"/>
          <w:u w:val="single"/>
        </w:rPr>
        <w:t>甲方当地的人民法院</w:t>
      </w:r>
      <w:r>
        <w:rPr>
          <w:szCs w:val="24"/>
          <w:highlight w:val="none"/>
        </w:rPr>
        <w:t>进行诉讼。</w:t>
      </w:r>
    </w:p>
    <w:p>
      <w:pPr>
        <w:adjustRightInd w:val="0"/>
        <w:snapToGrid w:val="0"/>
        <w:spacing w:line="360" w:lineRule="auto"/>
        <w:ind w:left="420" w:leftChars="200"/>
        <w:rPr>
          <w:rFonts w:ascii="宋体" w:hAnsi="宋体"/>
          <w:b/>
          <w:bCs/>
          <w:highlight w:val="none"/>
        </w:rPr>
      </w:pPr>
      <w:bookmarkStart w:id="22" w:name="_Toc78604617"/>
      <w:r>
        <w:rPr>
          <w:rFonts w:hint="eastAsia" w:ascii="宋体" w:hAnsi="宋体"/>
          <w:b/>
          <w:bCs/>
          <w:highlight w:val="none"/>
        </w:rPr>
        <w:t>十四、</w:t>
      </w:r>
      <w:r>
        <w:rPr>
          <w:rFonts w:ascii="宋体" w:hAnsi="宋体"/>
          <w:b/>
          <w:bCs/>
          <w:highlight w:val="none"/>
        </w:rPr>
        <w:t>税费</w:t>
      </w:r>
      <w:bookmarkEnd w:id="22"/>
    </w:p>
    <w:p>
      <w:pPr>
        <w:spacing w:line="360" w:lineRule="auto"/>
        <w:ind w:firstLine="420" w:firstLineChars="200"/>
        <w:jc w:val="left"/>
        <w:rPr>
          <w:szCs w:val="24"/>
          <w:highlight w:val="none"/>
        </w:rPr>
      </w:pPr>
      <w:r>
        <w:rPr>
          <w:szCs w:val="24"/>
          <w:highlight w:val="none"/>
        </w:rPr>
        <w:t>中国政府根据现行税法所征收的一切税费均由各缴税责任方独立承担。在中国境外发生的与本合同相关的一切税费及不可预见费均由乙方负担。</w:t>
      </w:r>
    </w:p>
    <w:p>
      <w:pPr>
        <w:adjustRightInd w:val="0"/>
        <w:snapToGrid w:val="0"/>
        <w:spacing w:line="360" w:lineRule="auto"/>
        <w:ind w:left="420" w:leftChars="200"/>
        <w:rPr>
          <w:rFonts w:ascii="宋体" w:hAnsi="宋体"/>
          <w:b/>
          <w:bCs/>
          <w:highlight w:val="none"/>
        </w:rPr>
      </w:pPr>
      <w:bookmarkStart w:id="23" w:name="_Toc78604619"/>
      <w:r>
        <w:rPr>
          <w:rFonts w:hint="eastAsia" w:ascii="宋体" w:hAnsi="宋体"/>
          <w:b/>
          <w:bCs/>
          <w:highlight w:val="none"/>
        </w:rPr>
        <w:t>十五、</w:t>
      </w:r>
      <w:r>
        <w:rPr>
          <w:rFonts w:ascii="宋体" w:hAnsi="宋体"/>
          <w:b/>
          <w:bCs/>
          <w:highlight w:val="none"/>
        </w:rPr>
        <w:t>其它</w:t>
      </w:r>
      <w:bookmarkEnd w:id="23"/>
    </w:p>
    <w:p>
      <w:pPr>
        <w:spacing w:line="360" w:lineRule="auto"/>
        <w:ind w:firstLine="420" w:firstLineChars="200"/>
        <w:jc w:val="left"/>
        <w:rPr>
          <w:szCs w:val="24"/>
          <w:highlight w:val="none"/>
        </w:rPr>
      </w:pPr>
      <w:r>
        <w:rPr>
          <w:rFonts w:hint="eastAsia"/>
          <w:szCs w:val="24"/>
          <w:highlight w:val="none"/>
        </w:rPr>
        <w:t>（一）</w:t>
      </w:r>
      <w:r>
        <w:rPr>
          <w:szCs w:val="24"/>
          <w:highlight w:val="none"/>
        </w:rPr>
        <w:t>本项</w:t>
      </w:r>
      <w:r>
        <w:rPr>
          <w:rFonts w:ascii="宋体" w:hAnsi="宋体"/>
          <w:szCs w:val="24"/>
          <w:highlight w:val="none"/>
        </w:rPr>
        <w:t>目合同由下列文件组成，均为本合同不可分割的部分，下列文件的优先解释顺序如下：</w:t>
      </w:r>
      <w:r>
        <w:rPr>
          <w:rFonts w:hint="eastAsia" w:ascii="宋体" w:hAnsi="宋体"/>
          <w:b/>
          <w:szCs w:val="24"/>
          <w:highlight w:val="none"/>
        </w:rPr>
        <w:t>1）</w:t>
      </w:r>
      <w:r>
        <w:rPr>
          <w:rFonts w:ascii="宋体" w:hAnsi="宋体"/>
          <w:szCs w:val="24"/>
          <w:highlight w:val="none"/>
        </w:rPr>
        <w:t>本合同执行期间甲、乙双方签署确认的文件（包括会议纪要、补充协议、往来信函及修正文件）；</w:t>
      </w:r>
      <w:r>
        <w:rPr>
          <w:rFonts w:hint="eastAsia" w:ascii="宋体" w:hAnsi="宋体"/>
          <w:b/>
          <w:szCs w:val="24"/>
          <w:highlight w:val="none"/>
        </w:rPr>
        <w:t>2）</w:t>
      </w:r>
      <w:r>
        <w:rPr>
          <w:rFonts w:ascii="宋体" w:hAnsi="宋体"/>
          <w:szCs w:val="24"/>
          <w:highlight w:val="none"/>
        </w:rPr>
        <w:t>本采购合同</w:t>
      </w:r>
      <w:r>
        <w:rPr>
          <w:rFonts w:hint="eastAsia" w:ascii="宋体" w:hAnsi="宋体"/>
          <w:szCs w:val="24"/>
          <w:highlight w:val="none"/>
        </w:rPr>
        <w:t>；</w:t>
      </w:r>
      <w:r>
        <w:rPr>
          <w:rFonts w:hint="eastAsia" w:ascii="宋体" w:hAnsi="宋体"/>
          <w:b/>
          <w:szCs w:val="24"/>
          <w:highlight w:val="none"/>
        </w:rPr>
        <w:t>3）</w:t>
      </w:r>
      <w:r>
        <w:rPr>
          <w:rFonts w:ascii="宋体" w:hAnsi="宋体"/>
          <w:szCs w:val="24"/>
          <w:highlight w:val="none"/>
        </w:rPr>
        <w:t>乙方针对本项目的各项制度和规定（包括在本合同签订后的各类新出台的制度和规定）；</w:t>
      </w:r>
      <w:r>
        <w:rPr>
          <w:rFonts w:hint="eastAsia" w:ascii="宋体" w:hAnsi="宋体"/>
          <w:b/>
          <w:szCs w:val="24"/>
          <w:highlight w:val="none"/>
        </w:rPr>
        <w:t>4）</w:t>
      </w:r>
      <w:r>
        <w:rPr>
          <w:rFonts w:ascii="宋体" w:hAnsi="宋体"/>
          <w:szCs w:val="24"/>
          <w:highlight w:val="none"/>
        </w:rPr>
        <w:t>成交通知书；</w:t>
      </w:r>
      <w:r>
        <w:rPr>
          <w:rFonts w:hint="eastAsia" w:ascii="宋体" w:hAnsi="宋体"/>
          <w:b/>
          <w:szCs w:val="24"/>
          <w:highlight w:val="none"/>
        </w:rPr>
        <w:t>5）</w:t>
      </w:r>
      <w:r>
        <w:rPr>
          <w:rFonts w:ascii="宋体" w:hAnsi="宋体"/>
          <w:szCs w:val="24"/>
          <w:highlight w:val="none"/>
        </w:rPr>
        <w:t>磋商文件及答疑补遗文件（含磋商文件澄清或修正内容、答疑会议纪要等）；</w:t>
      </w:r>
      <w:r>
        <w:rPr>
          <w:rFonts w:hint="eastAsia" w:ascii="宋体" w:hAnsi="宋体"/>
          <w:b/>
          <w:szCs w:val="24"/>
          <w:highlight w:val="none"/>
        </w:rPr>
        <w:t>6）</w:t>
      </w:r>
      <w:r>
        <w:rPr>
          <w:rFonts w:ascii="宋体" w:hAnsi="宋体"/>
          <w:szCs w:val="24"/>
          <w:highlight w:val="none"/>
        </w:rPr>
        <w:t>响应文件及其相关承诺附件（含响应文件澄清）；</w:t>
      </w:r>
      <w:r>
        <w:rPr>
          <w:rFonts w:hint="eastAsia" w:ascii="宋体" w:hAnsi="宋体"/>
          <w:b/>
          <w:szCs w:val="24"/>
          <w:highlight w:val="none"/>
        </w:rPr>
        <w:t>7）</w:t>
      </w:r>
      <w:r>
        <w:rPr>
          <w:rFonts w:ascii="宋体" w:hAnsi="宋体"/>
          <w:szCs w:val="24"/>
          <w:highlight w:val="none"/>
        </w:rPr>
        <w:t>标准、规范及有关技术文件；</w:t>
      </w:r>
      <w:r>
        <w:rPr>
          <w:rFonts w:hint="eastAsia" w:ascii="宋体" w:hAnsi="宋体"/>
          <w:b/>
          <w:szCs w:val="24"/>
          <w:highlight w:val="none"/>
        </w:rPr>
        <w:t>8）</w:t>
      </w:r>
      <w:r>
        <w:rPr>
          <w:rFonts w:ascii="宋体" w:hAnsi="宋体"/>
          <w:szCs w:val="24"/>
          <w:highlight w:val="none"/>
        </w:rPr>
        <w:t>组成合同的其他文</w:t>
      </w:r>
      <w:r>
        <w:rPr>
          <w:szCs w:val="24"/>
          <w:highlight w:val="none"/>
        </w:rPr>
        <w:t>件。</w:t>
      </w:r>
    </w:p>
    <w:p>
      <w:pPr>
        <w:spacing w:line="360" w:lineRule="auto"/>
        <w:ind w:firstLine="420" w:firstLineChars="200"/>
        <w:jc w:val="left"/>
        <w:rPr>
          <w:szCs w:val="24"/>
          <w:highlight w:val="none"/>
        </w:rPr>
      </w:pPr>
      <w:r>
        <w:rPr>
          <w:szCs w:val="24"/>
          <w:highlight w:val="none"/>
        </w:rPr>
        <w:t>注：如乙方在《响应文件》及其相关承诺附件中作出有比</w:t>
      </w:r>
      <w:r>
        <w:rPr>
          <w:rFonts w:hint="eastAsia"/>
          <w:szCs w:val="24"/>
          <w:highlight w:val="none"/>
        </w:rPr>
        <w:t>竞价</w:t>
      </w:r>
      <w:r>
        <w:rPr>
          <w:szCs w:val="24"/>
          <w:highlight w:val="none"/>
        </w:rPr>
        <w:t>文件及答疑补遗文件和本合同更有利于甲方的响应（该是否有利于甲方的解释权双方同意最终归甲方所有），则乙方响应文件及其相关承诺附件中更有利于甲方的相关条款内容的解释顺序优于</w:t>
      </w:r>
      <w:r>
        <w:rPr>
          <w:rFonts w:hint="eastAsia"/>
          <w:szCs w:val="24"/>
          <w:highlight w:val="none"/>
        </w:rPr>
        <w:t>谈判</w:t>
      </w:r>
      <w:r>
        <w:rPr>
          <w:szCs w:val="24"/>
          <w:highlight w:val="none"/>
        </w:rPr>
        <w:t>文件及答疑补遗文件和本合同，乙方须按这些响应承诺履行。</w:t>
      </w:r>
    </w:p>
    <w:p>
      <w:pPr>
        <w:spacing w:line="360" w:lineRule="auto"/>
        <w:ind w:firstLine="420" w:firstLineChars="200"/>
        <w:jc w:val="left"/>
        <w:rPr>
          <w:szCs w:val="24"/>
          <w:highlight w:val="none"/>
        </w:rPr>
      </w:pPr>
      <w:r>
        <w:rPr>
          <w:rFonts w:hint="eastAsia"/>
          <w:szCs w:val="24"/>
          <w:highlight w:val="none"/>
        </w:rPr>
        <w:t>（二）</w:t>
      </w:r>
      <w:r>
        <w:rPr>
          <w:szCs w:val="24"/>
          <w:highlight w:val="none"/>
        </w:rPr>
        <w:t>所有经双方签署确认的文件（包括会议纪要、补充协议、变更协议等）、磋商文件、响应文件和响应承诺文件、合同附件及《成交通知书》均为本合同不可分割的有效组成部分，与本合同具有同等的法律效力和履约义务，其缔约生效日期为有效签署或盖章确认之日期。</w:t>
      </w:r>
    </w:p>
    <w:p>
      <w:pPr>
        <w:spacing w:line="360" w:lineRule="auto"/>
        <w:ind w:firstLine="420" w:firstLineChars="200"/>
        <w:jc w:val="left"/>
        <w:rPr>
          <w:szCs w:val="24"/>
          <w:highlight w:val="none"/>
        </w:rPr>
      </w:pPr>
      <w:r>
        <w:rPr>
          <w:rFonts w:hint="eastAsia"/>
          <w:szCs w:val="24"/>
          <w:highlight w:val="none"/>
        </w:rPr>
        <w:t>（三）</w:t>
      </w:r>
      <w:r>
        <w:rPr>
          <w:szCs w:val="24"/>
          <w:highlight w:val="none"/>
        </w:rPr>
        <w:t>乙方在合同服务期内，自费办理派驻到项目所在地人员人身和自备财产的有关保险，保险时间应随服务时间的延长而顺延，并在出险后自行办理索赔。如果乙方不办理上述保险，则应对有关风险及后果自负其责。</w:t>
      </w:r>
    </w:p>
    <w:p>
      <w:pPr>
        <w:spacing w:line="360" w:lineRule="auto"/>
        <w:ind w:firstLine="420" w:firstLineChars="200"/>
        <w:jc w:val="left"/>
        <w:rPr>
          <w:szCs w:val="24"/>
          <w:highlight w:val="none"/>
        </w:rPr>
      </w:pPr>
      <w:r>
        <w:rPr>
          <w:rFonts w:hint="eastAsia"/>
          <w:szCs w:val="24"/>
          <w:highlight w:val="none"/>
        </w:rPr>
        <w:t>（四）</w:t>
      </w:r>
      <w:r>
        <w:rPr>
          <w:szCs w:val="24"/>
          <w:highlight w:val="none"/>
        </w:rPr>
        <w:t>乙方向甲方提出赔偿要求不能成立时，乙方应当补偿由于该索赔所导致甲方的各种费用支出。</w:t>
      </w:r>
    </w:p>
    <w:p>
      <w:pPr>
        <w:spacing w:line="360" w:lineRule="auto"/>
        <w:ind w:firstLine="420" w:firstLineChars="200"/>
        <w:jc w:val="left"/>
        <w:rPr>
          <w:szCs w:val="24"/>
          <w:highlight w:val="none"/>
        </w:rPr>
      </w:pPr>
      <w:r>
        <w:rPr>
          <w:rFonts w:hint="eastAsia"/>
          <w:szCs w:val="24"/>
          <w:highlight w:val="none"/>
        </w:rPr>
        <w:t>（五）</w:t>
      </w:r>
      <w:r>
        <w:rPr>
          <w:szCs w:val="24"/>
          <w:highlight w:val="none"/>
        </w:rPr>
        <w:t>未经对方的书面同意，无论甲方或乙方均不得转让本合同约定的权利和义务。</w:t>
      </w:r>
    </w:p>
    <w:p>
      <w:pPr>
        <w:spacing w:line="360" w:lineRule="auto"/>
        <w:ind w:firstLine="420" w:firstLineChars="200"/>
        <w:jc w:val="left"/>
        <w:rPr>
          <w:szCs w:val="24"/>
          <w:highlight w:val="none"/>
        </w:rPr>
      </w:pPr>
      <w:r>
        <w:rPr>
          <w:rFonts w:hint="eastAsia"/>
          <w:szCs w:val="24"/>
          <w:highlight w:val="none"/>
        </w:rPr>
        <w:t>（六）</w:t>
      </w:r>
      <w:r>
        <w:rPr>
          <w:szCs w:val="24"/>
          <w:highlight w:val="none"/>
        </w:rPr>
        <w:t>各方都应保护对签署和履行本合同而取得的所有任何有关对方的非公开资料，任何一方均有义务限制其员工、代理人等仅在为适当履行本合同义务所必须且承诺严守保密义务时方可获得和使用上述资料。因一方未尽到此项义务而使另一方受到损失的，应赔偿另一方因此受到的损失。本合同终止后，双方仍负有上述保密义务。</w:t>
      </w:r>
    </w:p>
    <w:p>
      <w:pPr>
        <w:spacing w:line="360" w:lineRule="auto"/>
        <w:ind w:firstLine="420" w:firstLineChars="200"/>
        <w:jc w:val="left"/>
        <w:rPr>
          <w:szCs w:val="24"/>
          <w:highlight w:val="none"/>
        </w:rPr>
      </w:pPr>
      <w:r>
        <w:rPr>
          <w:rFonts w:hint="eastAsia"/>
          <w:szCs w:val="24"/>
          <w:highlight w:val="none"/>
        </w:rPr>
        <w:t>（七）</w:t>
      </w:r>
      <w:r>
        <w:rPr>
          <w:szCs w:val="24"/>
          <w:highlight w:val="none"/>
        </w:rPr>
        <w:t>各方应保证向对方提供的资料和数据不侵犯第三方的知识产权或其他权利，因一方提供的资料虚假、错误、或侵犯第三方权利而造成误工、赔偿等损失（包括律师费）的，应当给予充分有效的赔偿。</w:t>
      </w:r>
    </w:p>
    <w:p>
      <w:pPr>
        <w:spacing w:line="360" w:lineRule="auto"/>
        <w:ind w:firstLine="420" w:firstLineChars="200"/>
        <w:jc w:val="left"/>
        <w:rPr>
          <w:szCs w:val="24"/>
          <w:highlight w:val="none"/>
        </w:rPr>
      </w:pPr>
      <w:r>
        <w:rPr>
          <w:rFonts w:hint="eastAsia"/>
          <w:szCs w:val="24"/>
          <w:highlight w:val="none"/>
        </w:rPr>
        <w:t>（八）</w:t>
      </w:r>
      <w:r>
        <w:rPr>
          <w:szCs w:val="24"/>
          <w:highlight w:val="none"/>
        </w:rPr>
        <w:t>本合同未尽事宜，合同各方另行商定，必要时签定补充合同协议。补充协议经合同各方签字盖章后作为本合同补充文件。</w:t>
      </w:r>
    </w:p>
    <w:p>
      <w:pPr>
        <w:spacing w:line="360" w:lineRule="auto"/>
        <w:ind w:firstLine="420" w:firstLineChars="200"/>
        <w:jc w:val="left"/>
        <w:rPr>
          <w:szCs w:val="24"/>
          <w:highlight w:val="none"/>
        </w:rPr>
      </w:pPr>
      <w:r>
        <w:rPr>
          <w:rFonts w:hint="eastAsia"/>
          <w:szCs w:val="24"/>
          <w:highlight w:val="none"/>
        </w:rPr>
        <w:t>（九）</w:t>
      </w:r>
      <w:r>
        <w:rPr>
          <w:szCs w:val="24"/>
          <w:highlight w:val="none"/>
        </w:rPr>
        <w:t>甲、乙双方法定代表人或授权代表在合同协议书签字，并分别加盖各单位的公章，并经见证单位见证后合同生效。</w:t>
      </w:r>
    </w:p>
    <w:p>
      <w:pPr>
        <w:spacing w:line="360" w:lineRule="auto"/>
        <w:ind w:firstLine="420" w:firstLineChars="200"/>
        <w:jc w:val="left"/>
        <w:rPr>
          <w:szCs w:val="24"/>
          <w:highlight w:val="none"/>
        </w:rPr>
      </w:pPr>
      <w:r>
        <w:rPr>
          <w:rFonts w:hint="eastAsia"/>
          <w:szCs w:val="24"/>
          <w:highlight w:val="none"/>
        </w:rPr>
        <w:t>（十）</w:t>
      </w:r>
      <w:r>
        <w:rPr>
          <w:szCs w:val="24"/>
          <w:highlight w:val="none"/>
        </w:rPr>
        <w:t>本合同壹式</w:t>
      </w:r>
      <w:r>
        <w:rPr>
          <w:szCs w:val="24"/>
          <w:highlight w:val="none"/>
          <w:u w:val="single"/>
        </w:rPr>
        <w:t xml:space="preserve">   </w:t>
      </w:r>
      <w:r>
        <w:rPr>
          <w:szCs w:val="24"/>
          <w:highlight w:val="none"/>
        </w:rPr>
        <w:t>份，甲方执</w:t>
      </w:r>
      <w:r>
        <w:rPr>
          <w:szCs w:val="24"/>
          <w:highlight w:val="none"/>
          <w:u w:val="single"/>
        </w:rPr>
        <w:t xml:space="preserve">   </w:t>
      </w:r>
      <w:r>
        <w:rPr>
          <w:szCs w:val="24"/>
          <w:highlight w:val="none"/>
        </w:rPr>
        <w:t>份，乙方执</w:t>
      </w:r>
      <w:r>
        <w:rPr>
          <w:szCs w:val="24"/>
          <w:highlight w:val="none"/>
          <w:u w:val="single"/>
        </w:rPr>
        <w:t xml:space="preserve">   </w:t>
      </w:r>
      <w:r>
        <w:rPr>
          <w:szCs w:val="24"/>
          <w:highlight w:val="none"/>
        </w:rPr>
        <w:t>份。</w:t>
      </w:r>
    </w:p>
    <w:p>
      <w:pPr>
        <w:spacing w:line="360" w:lineRule="auto"/>
        <w:rPr>
          <w:szCs w:val="24"/>
          <w:highlight w:val="none"/>
        </w:rPr>
      </w:pPr>
      <w:r>
        <w:rPr>
          <w:rFonts w:hint="eastAsia"/>
          <w:b/>
          <w:szCs w:val="24"/>
          <w:highlight w:val="none"/>
        </w:rPr>
        <w:t>（完）</w:t>
      </w:r>
    </w:p>
    <w:tbl>
      <w:tblPr>
        <w:tblStyle w:val="23"/>
        <w:tblW w:w="8717" w:type="dxa"/>
        <w:tblInd w:w="0" w:type="dxa"/>
        <w:tblLayout w:type="fixed"/>
        <w:tblCellMar>
          <w:top w:w="0" w:type="dxa"/>
          <w:left w:w="108" w:type="dxa"/>
          <w:bottom w:w="0" w:type="dxa"/>
          <w:right w:w="108" w:type="dxa"/>
        </w:tblCellMar>
      </w:tblPr>
      <w:tblGrid>
        <w:gridCol w:w="4279"/>
        <w:gridCol w:w="4438"/>
      </w:tblGrid>
      <w:tr>
        <w:tblPrEx>
          <w:tblCellMar>
            <w:top w:w="0" w:type="dxa"/>
            <w:left w:w="108" w:type="dxa"/>
            <w:bottom w:w="0" w:type="dxa"/>
            <w:right w:w="108" w:type="dxa"/>
          </w:tblCellMar>
        </w:tblPrEx>
        <w:trPr>
          <w:trHeight w:val="2785" w:hRule="atLeast"/>
        </w:trPr>
        <w:tc>
          <w:tcPr>
            <w:tcW w:w="4279" w:type="dxa"/>
          </w:tcPr>
          <w:p>
            <w:pPr>
              <w:spacing w:line="360" w:lineRule="auto"/>
              <w:rPr>
                <w:rFonts w:ascii="宋体" w:hAnsi="宋体"/>
                <w:highlight w:val="none"/>
              </w:rPr>
            </w:pPr>
            <w:r>
              <w:rPr>
                <w:rFonts w:hint="eastAsia" w:ascii="宋体" w:hAnsi="宋体"/>
                <w:b/>
                <w:highlight w:val="none"/>
              </w:rPr>
              <w:t>甲方（盖章）：</w:t>
            </w:r>
          </w:p>
          <w:p>
            <w:pPr>
              <w:spacing w:line="360" w:lineRule="auto"/>
              <w:rPr>
                <w:rFonts w:ascii="宋体" w:hAnsi="宋体"/>
                <w:highlight w:val="none"/>
              </w:rPr>
            </w:pPr>
            <w:r>
              <w:rPr>
                <w:rFonts w:hint="eastAsia" w:ascii="宋体" w:hAnsi="宋体"/>
                <w:highlight w:val="none"/>
              </w:rPr>
              <w:t>代表：</w:t>
            </w:r>
            <w:r>
              <w:rPr>
                <w:rFonts w:hint="eastAsia" w:ascii="宋体" w:hAnsi="宋体"/>
                <w:highlight w:val="none"/>
                <w:u w:val="single"/>
              </w:rPr>
              <w:t xml:space="preserve">                             </w:t>
            </w:r>
          </w:p>
          <w:p>
            <w:pPr>
              <w:spacing w:line="360" w:lineRule="auto"/>
              <w:rPr>
                <w:rFonts w:ascii="宋体" w:hAnsi="宋体"/>
                <w:highlight w:val="none"/>
              </w:rPr>
            </w:pPr>
            <w:r>
              <w:rPr>
                <w:rFonts w:hint="eastAsia" w:ascii="宋体" w:hAnsi="宋体"/>
                <w:highlight w:val="none"/>
              </w:rPr>
              <w:t>地址：</w:t>
            </w:r>
          </w:p>
          <w:p>
            <w:pPr>
              <w:spacing w:line="360" w:lineRule="auto"/>
              <w:rPr>
                <w:rFonts w:ascii="宋体" w:hAnsi="宋体"/>
                <w:highlight w:val="none"/>
              </w:rPr>
            </w:pPr>
            <w:r>
              <w:rPr>
                <w:rFonts w:hint="eastAsia" w:ascii="宋体" w:hAnsi="宋体"/>
                <w:highlight w:val="none"/>
              </w:rPr>
              <w:t>电话：</w:t>
            </w:r>
          </w:p>
          <w:p>
            <w:pPr>
              <w:spacing w:line="360" w:lineRule="auto"/>
              <w:rPr>
                <w:rFonts w:ascii="宋体" w:hAnsi="宋体"/>
                <w:highlight w:val="none"/>
              </w:rPr>
            </w:pPr>
            <w:r>
              <w:rPr>
                <w:rFonts w:hint="eastAsia" w:ascii="宋体" w:hAnsi="宋体"/>
                <w:highlight w:val="none"/>
              </w:rPr>
              <w:t>传真：</w:t>
            </w:r>
          </w:p>
          <w:p>
            <w:pPr>
              <w:spacing w:line="360" w:lineRule="auto"/>
              <w:rPr>
                <w:rFonts w:ascii="宋体" w:hAnsi="宋体"/>
                <w:highlight w:val="none"/>
              </w:rPr>
            </w:pPr>
            <w:r>
              <w:rPr>
                <w:rFonts w:hint="eastAsia" w:ascii="宋体" w:hAnsi="宋体"/>
                <w:highlight w:val="none"/>
              </w:rPr>
              <w:t>日期：        年     月    日</w:t>
            </w:r>
          </w:p>
        </w:tc>
        <w:tc>
          <w:tcPr>
            <w:tcW w:w="4438" w:type="dxa"/>
          </w:tcPr>
          <w:p>
            <w:pPr>
              <w:spacing w:line="360" w:lineRule="auto"/>
              <w:rPr>
                <w:rFonts w:ascii="宋体" w:hAnsi="宋体"/>
                <w:highlight w:val="none"/>
              </w:rPr>
            </w:pPr>
            <w:r>
              <w:rPr>
                <w:rFonts w:hint="eastAsia" w:ascii="宋体" w:hAnsi="宋体"/>
                <w:b/>
                <w:highlight w:val="none"/>
              </w:rPr>
              <w:t>乙方（盖章）：</w:t>
            </w:r>
          </w:p>
          <w:p>
            <w:pPr>
              <w:spacing w:line="360" w:lineRule="auto"/>
              <w:rPr>
                <w:rFonts w:ascii="宋体" w:hAnsi="宋体"/>
                <w:highlight w:val="none"/>
              </w:rPr>
            </w:pPr>
            <w:r>
              <w:rPr>
                <w:rFonts w:hint="eastAsia" w:ascii="宋体" w:hAnsi="宋体"/>
                <w:highlight w:val="none"/>
              </w:rPr>
              <w:t>代表：</w:t>
            </w:r>
            <w:r>
              <w:rPr>
                <w:rFonts w:hint="eastAsia" w:ascii="宋体" w:hAnsi="宋体"/>
                <w:highlight w:val="none"/>
                <w:u w:val="single"/>
              </w:rPr>
              <w:t xml:space="preserve">                             </w:t>
            </w:r>
          </w:p>
          <w:p>
            <w:pPr>
              <w:spacing w:line="360" w:lineRule="auto"/>
              <w:rPr>
                <w:rFonts w:ascii="宋体" w:hAnsi="宋体"/>
                <w:highlight w:val="none"/>
              </w:rPr>
            </w:pPr>
            <w:r>
              <w:rPr>
                <w:rFonts w:hint="eastAsia" w:ascii="宋体" w:hAnsi="宋体"/>
                <w:highlight w:val="none"/>
              </w:rPr>
              <w:t>地址：</w:t>
            </w:r>
          </w:p>
          <w:p>
            <w:pPr>
              <w:spacing w:line="360" w:lineRule="auto"/>
              <w:rPr>
                <w:rFonts w:ascii="宋体" w:hAnsi="宋体"/>
                <w:highlight w:val="none"/>
              </w:rPr>
            </w:pPr>
            <w:r>
              <w:rPr>
                <w:rFonts w:hint="eastAsia" w:ascii="宋体" w:hAnsi="宋体"/>
                <w:highlight w:val="none"/>
              </w:rPr>
              <w:t>电话：</w:t>
            </w:r>
          </w:p>
          <w:p>
            <w:pPr>
              <w:spacing w:line="360" w:lineRule="auto"/>
              <w:rPr>
                <w:rFonts w:ascii="宋体" w:hAnsi="宋体"/>
                <w:highlight w:val="none"/>
              </w:rPr>
            </w:pPr>
            <w:r>
              <w:rPr>
                <w:rFonts w:hint="eastAsia" w:ascii="宋体" w:hAnsi="宋体"/>
                <w:highlight w:val="none"/>
              </w:rPr>
              <w:t>传真：</w:t>
            </w:r>
          </w:p>
          <w:p>
            <w:pPr>
              <w:widowControl/>
              <w:spacing w:line="360" w:lineRule="auto"/>
              <w:jc w:val="left"/>
              <w:rPr>
                <w:rFonts w:ascii="宋体" w:hAnsi="宋体"/>
                <w:highlight w:val="none"/>
              </w:rPr>
            </w:pPr>
            <w:r>
              <w:rPr>
                <w:rFonts w:hint="eastAsia" w:ascii="宋体" w:hAnsi="宋体"/>
                <w:highlight w:val="none"/>
              </w:rPr>
              <w:t>日期：        年     月    日</w:t>
            </w:r>
          </w:p>
          <w:p>
            <w:pPr>
              <w:pStyle w:val="2"/>
              <w:rPr>
                <w:highlight w:val="none"/>
              </w:rPr>
            </w:pPr>
          </w:p>
          <w:p>
            <w:pPr>
              <w:pStyle w:val="3"/>
              <w:rPr>
                <w:highlight w:val="none"/>
              </w:rPr>
            </w:pPr>
          </w:p>
          <w:p>
            <w:pPr>
              <w:rPr>
                <w:highlight w:val="none"/>
              </w:rPr>
            </w:pPr>
          </w:p>
          <w:p>
            <w:pPr>
              <w:pStyle w:val="2"/>
              <w:rPr>
                <w:highlight w:val="none"/>
              </w:rPr>
            </w:pPr>
          </w:p>
          <w:p>
            <w:pPr>
              <w:pStyle w:val="3"/>
              <w:rPr>
                <w:highlight w:val="none"/>
              </w:rPr>
            </w:pPr>
          </w:p>
          <w:p>
            <w:pPr>
              <w:rPr>
                <w:highlight w:val="none"/>
              </w:rPr>
            </w:pPr>
          </w:p>
          <w:p>
            <w:pPr>
              <w:pStyle w:val="2"/>
              <w:rPr>
                <w:highlight w:val="none"/>
              </w:rPr>
            </w:pPr>
          </w:p>
          <w:p>
            <w:pPr>
              <w:pStyle w:val="3"/>
              <w:rPr>
                <w:highlight w:val="none"/>
              </w:rPr>
            </w:pPr>
          </w:p>
          <w:p>
            <w:pPr>
              <w:rPr>
                <w:highlight w:val="none"/>
              </w:rPr>
            </w:pPr>
          </w:p>
          <w:p>
            <w:pPr>
              <w:pStyle w:val="2"/>
              <w:rPr>
                <w:highlight w:val="none"/>
              </w:rPr>
            </w:pPr>
          </w:p>
          <w:p>
            <w:pPr>
              <w:pStyle w:val="3"/>
              <w:rPr>
                <w:highlight w:val="none"/>
              </w:rPr>
            </w:pPr>
          </w:p>
          <w:p>
            <w:pPr>
              <w:rPr>
                <w:highlight w:val="none"/>
              </w:rPr>
            </w:pPr>
          </w:p>
          <w:p>
            <w:pPr>
              <w:pStyle w:val="2"/>
              <w:rPr>
                <w:highlight w:val="none"/>
              </w:rPr>
            </w:pPr>
          </w:p>
          <w:p>
            <w:pPr>
              <w:pStyle w:val="3"/>
              <w:rPr>
                <w:highlight w:val="none"/>
              </w:rPr>
            </w:pPr>
          </w:p>
          <w:p>
            <w:pPr>
              <w:rPr>
                <w:highlight w:val="none"/>
              </w:rPr>
            </w:pPr>
          </w:p>
          <w:p>
            <w:pPr>
              <w:pStyle w:val="2"/>
              <w:rPr>
                <w:highlight w:val="none"/>
              </w:rPr>
            </w:pPr>
          </w:p>
        </w:tc>
      </w:tr>
    </w:tbl>
    <w:p>
      <w:pPr>
        <w:pStyle w:val="28"/>
        <w:rPr>
          <w:rFonts w:ascii="宋体" w:hAnsi="宋体" w:eastAsia="宋体" w:cs="仿宋"/>
          <w:sz w:val="21"/>
          <w:szCs w:val="21"/>
          <w:highlight w:val="none"/>
        </w:rPr>
      </w:pPr>
    </w:p>
    <w:p>
      <w:pPr>
        <w:pStyle w:val="28"/>
        <w:rPr>
          <w:rFonts w:ascii="宋体" w:hAnsi="宋体" w:eastAsia="宋体" w:cs="仿宋"/>
          <w:sz w:val="21"/>
          <w:szCs w:val="21"/>
          <w:highlight w:val="none"/>
        </w:rPr>
      </w:pPr>
    </w:p>
    <w:p>
      <w:pPr>
        <w:rPr>
          <w:rFonts w:ascii="楷体_GB2312" w:hAnsi="MS Song, , Beijing" w:eastAsia="楷体_GB2312"/>
          <w:sz w:val="28"/>
          <w:szCs w:val="28"/>
          <w:highlight w:val="none"/>
        </w:rPr>
      </w:pPr>
      <w:r>
        <w:rPr>
          <w:rFonts w:hint="eastAsia" w:ascii="楷体_GB2312" w:hAnsi="MS Song, , Beijing" w:eastAsia="楷体_GB2312"/>
          <w:sz w:val="28"/>
          <w:szCs w:val="28"/>
          <w:highlight w:val="none"/>
        </w:rPr>
        <w:t>附件一：公益号码显示服务知情书</w:t>
      </w:r>
    </w:p>
    <w:tbl>
      <w:tblPr>
        <w:tblStyle w:val="23"/>
        <w:tblpPr w:leftFromText="180" w:rightFromText="180" w:vertAnchor="page" w:horzAnchor="page" w:tblpX="1861" w:tblpY="2428"/>
        <w:tblOverlap w:val="never"/>
        <w:tblW w:w="8296" w:type="dxa"/>
        <w:tblInd w:w="0" w:type="dxa"/>
        <w:tblLayout w:type="fixed"/>
        <w:tblCellMar>
          <w:top w:w="0" w:type="dxa"/>
          <w:left w:w="108" w:type="dxa"/>
          <w:bottom w:w="0" w:type="dxa"/>
          <w:right w:w="108" w:type="dxa"/>
        </w:tblCellMar>
      </w:tblPr>
      <w:tblGrid>
        <w:gridCol w:w="8296"/>
      </w:tblGrid>
      <w:tr>
        <w:tblPrEx>
          <w:tblCellMar>
            <w:top w:w="0" w:type="dxa"/>
            <w:left w:w="108" w:type="dxa"/>
            <w:bottom w:w="0" w:type="dxa"/>
            <w:right w:w="108" w:type="dxa"/>
          </w:tblCellMar>
        </w:tblPrEx>
        <w:trPr>
          <w:cantSplit/>
        </w:trPr>
        <w:tc>
          <w:tcPr>
            <w:tcW w:w="8296" w:type="dxa"/>
            <w:tcBorders>
              <w:top w:val="single" w:color="auto" w:sz="4" w:space="0"/>
              <w:left w:val="single" w:color="auto" w:sz="4" w:space="0"/>
              <w:bottom w:val="single" w:color="FFFFFF" w:sz="4" w:space="0"/>
              <w:right w:val="single" w:color="auto" w:sz="4" w:space="0"/>
            </w:tcBorders>
            <w:shd w:val="clear" w:color="auto" w:fill="auto"/>
            <w:vAlign w:val="center"/>
          </w:tcPr>
          <w:p>
            <w:pPr>
              <w:widowControl/>
              <w:jc w:val="center"/>
              <w:rPr>
                <w:rFonts w:ascii="宋体" w:hAnsi="宋体" w:cs="宋体"/>
                <w:b/>
                <w:bCs/>
                <w:color w:val="000000"/>
                <w:kern w:val="0"/>
                <w:sz w:val="32"/>
                <w:szCs w:val="32"/>
                <w:highlight w:val="none"/>
              </w:rPr>
            </w:pPr>
            <w:r>
              <w:rPr>
                <w:rFonts w:hint="eastAsia" w:ascii="宋体" w:hAnsi="宋体" w:cs="宋体"/>
                <w:b/>
                <w:bCs/>
                <w:color w:val="000000"/>
                <w:kern w:val="0"/>
                <w:sz w:val="32"/>
                <w:szCs w:val="32"/>
                <w:highlight w:val="none"/>
              </w:rPr>
              <w:t>公益号码显示服务知情书</w:t>
            </w:r>
          </w:p>
        </w:tc>
      </w:tr>
      <w:tr>
        <w:tblPrEx>
          <w:tblCellMar>
            <w:top w:w="0" w:type="dxa"/>
            <w:left w:w="108" w:type="dxa"/>
            <w:bottom w:w="0" w:type="dxa"/>
            <w:right w:w="108" w:type="dxa"/>
          </w:tblCellMar>
        </w:tblPrEx>
        <w:trPr>
          <w:cantSplit/>
        </w:trPr>
        <w:tc>
          <w:tcPr>
            <w:tcW w:w="8296" w:type="dxa"/>
            <w:tcBorders>
              <w:top w:val="nil"/>
              <w:left w:val="single" w:color="auto" w:sz="4" w:space="0"/>
              <w:bottom w:val="single" w:color="FFFFFF" w:sz="4" w:space="0"/>
              <w:right w:val="single" w:color="auto" w:sz="4" w:space="0"/>
            </w:tcBorders>
            <w:shd w:val="clear" w:color="auto" w:fill="auto"/>
            <w:vAlign w:val="center"/>
          </w:tcPr>
          <w:p>
            <w:pPr>
              <w:widowControl/>
              <w:rPr>
                <w:rFonts w:ascii="宋体" w:hAnsi="宋体" w:cs="宋体"/>
                <w:color w:val="000000"/>
                <w:kern w:val="0"/>
                <w:szCs w:val="21"/>
                <w:highlight w:val="none"/>
              </w:rPr>
            </w:pPr>
            <w:r>
              <w:rPr>
                <w:rFonts w:hint="eastAsia" w:ascii="宋体" w:hAnsi="宋体" w:cs="宋体"/>
                <w:color w:val="000000"/>
                <w:kern w:val="0"/>
                <w:szCs w:val="21"/>
                <w:highlight w:val="none"/>
              </w:rPr>
              <w:t>（乙方）：</w:t>
            </w:r>
          </w:p>
        </w:tc>
      </w:tr>
      <w:tr>
        <w:tblPrEx>
          <w:tblCellMar>
            <w:top w:w="0" w:type="dxa"/>
            <w:left w:w="108" w:type="dxa"/>
            <w:bottom w:w="0" w:type="dxa"/>
            <w:right w:w="108" w:type="dxa"/>
          </w:tblCellMar>
        </w:tblPrEx>
        <w:trPr>
          <w:cantSplit/>
        </w:trPr>
        <w:tc>
          <w:tcPr>
            <w:tcW w:w="8296" w:type="dxa"/>
            <w:tcBorders>
              <w:top w:val="nil"/>
              <w:left w:val="single" w:color="auto" w:sz="4" w:space="0"/>
              <w:bottom w:val="single" w:color="FFFFFF" w:sz="4" w:space="0"/>
              <w:right w:val="single" w:color="auto" w:sz="4" w:space="0"/>
            </w:tcBorders>
            <w:shd w:val="clear" w:color="auto" w:fill="auto"/>
            <w:vAlign w:val="center"/>
          </w:tcPr>
          <w:p>
            <w:pPr>
              <w:widowControl/>
              <w:rPr>
                <w:rFonts w:ascii="宋体" w:hAnsi="宋体" w:cs="宋体"/>
                <w:b/>
                <w:bCs/>
                <w:color w:val="000000"/>
                <w:kern w:val="0"/>
                <w:szCs w:val="21"/>
                <w:highlight w:val="none"/>
              </w:rPr>
            </w:pPr>
            <w:r>
              <w:rPr>
                <w:rFonts w:hint="eastAsia" w:ascii="楷体_GB2312" w:hAnsi="MS Song, , Beijing" w:eastAsia="楷体_GB2312"/>
                <w:sz w:val="28"/>
                <w:szCs w:val="28"/>
                <w:highlight w:val="none"/>
              </w:rPr>
              <w:t>□</w:t>
            </w:r>
            <w:r>
              <w:rPr>
                <w:rFonts w:hint="eastAsia" w:ascii="宋体" w:hAnsi="宋体" w:cs="宋体"/>
                <w:b/>
                <w:bCs/>
                <w:color w:val="000000"/>
                <w:kern w:val="0"/>
                <w:szCs w:val="21"/>
                <w:highlight w:val="none"/>
              </w:rPr>
              <w:t>因我司业务运营需要，现向贵司申请短信外显：</w:t>
            </w:r>
          </w:p>
          <w:p>
            <w:pPr>
              <w:widowControl/>
              <w:rPr>
                <w:rFonts w:ascii="宋体" w:hAnsi="宋体" w:cs="宋体"/>
                <w:b/>
                <w:bCs/>
                <w:color w:val="000000"/>
                <w:kern w:val="0"/>
                <w:szCs w:val="21"/>
                <w:highlight w:val="none"/>
              </w:rPr>
            </w:pPr>
            <w:r>
              <w:rPr>
                <w:rFonts w:hint="eastAsia" w:ascii="宋体" w:hAnsi="宋体" w:cs="宋体"/>
                <w:color w:val="000000"/>
                <w:kern w:val="0"/>
                <w:szCs w:val="21"/>
                <w:highlight w:val="none"/>
              </w:rPr>
              <w:t>我院司同意智慧信息短信显示号码由贵公司分配给我院使用，我院承诺申请短信外显服务用于合法的目的，在使用服务过程中遵守相关法律法规的规定，如果因为推送产生投诉、法律纠纷，由我院承担相关法律责任和费用。</w:t>
            </w:r>
          </w:p>
        </w:tc>
      </w:tr>
      <w:tr>
        <w:tblPrEx>
          <w:tblCellMar>
            <w:top w:w="0" w:type="dxa"/>
            <w:left w:w="108" w:type="dxa"/>
            <w:bottom w:w="0" w:type="dxa"/>
            <w:right w:w="108" w:type="dxa"/>
          </w:tblCellMar>
        </w:tblPrEx>
        <w:trPr>
          <w:cantSplit/>
        </w:trPr>
        <w:tc>
          <w:tcPr>
            <w:tcW w:w="8296" w:type="dxa"/>
            <w:tcBorders>
              <w:top w:val="nil"/>
              <w:left w:val="single" w:color="auto" w:sz="4" w:space="0"/>
              <w:bottom w:val="single" w:color="FFFFFF" w:sz="4" w:space="0"/>
              <w:right w:val="single" w:color="auto" w:sz="4" w:space="0"/>
            </w:tcBorders>
            <w:shd w:val="clear" w:color="auto" w:fill="auto"/>
            <w:vAlign w:val="center"/>
          </w:tcPr>
          <w:p>
            <w:pPr>
              <w:widowControl/>
              <w:ind w:left="9065" w:hanging="9065" w:hangingChars="4300"/>
              <w:rPr>
                <w:rFonts w:ascii="宋体" w:hAnsi="宋体" w:cs="宋体"/>
                <w:color w:val="000000"/>
                <w:kern w:val="0"/>
                <w:szCs w:val="21"/>
                <w:highlight w:val="none"/>
              </w:rPr>
            </w:pPr>
            <w:r>
              <w:rPr>
                <w:rFonts w:hint="eastAsia" w:ascii="宋体" w:hAnsi="宋体" w:cs="宋体"/>
                <w:b/>
                <w:bCs/>
                <w:color w:val="000000"/>
                <w:kern w:val="0"/>
                <w:szCs w:val="21"/>
                <w:highlight w:val="none"/>
              </w:rPr>
              <w:t>短信模板</w:t>
            </w:r>
            <w:r>
              <w:rPr>
                <w:rFonts w:hint="eastAsia" w:ascii="宋体" w:hAnsi="宋体" w:cs="宋体"/>
                <w:color w:val="000000"/>
                <w:kern w:val="0"/>
                <w:szCs w:val="21"/>
                <w:highlight w:val="none"/>
              </w:rPr>
              <w:t>：</w:t>
            </w:r>
          </w:p>
          <w:tbl>
            <w:tblPr>
              <w:tblStyle w:val="23"/>
              <w:tblW w:w="759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5" w:hRule="exact"/>
              </w:trPr>
              <w:tc>
                <w:tcPr>
                  <w:tcW w:w="7592" w:type="dxa"/>
                </w:tcPr>
                <w:p>
                  <w:pPr>
                    <w:widowControl/>
                    <w:rPr>
                      <w:rFonts w:ascii="宋体" w:hAnsi="宋体" w:cs="宋体"/>
                      <w:color w:val="000000"/>
                      <w:kern w:val="0"/>
                      <w:szCs w:val="21"/>
                      <w:highlight w:val="none"/>
                    </w:rPr>
                  </w:pPr>
                  <w:r>
                    <w:rPr>
                      <w:rFonts w:hint="eastAsia" w:ascii="宋体" w:hAnsi="宋体" w:cs="宋体"/>
                      <w:color w:val="000000"/>
                      <w:kern w:val="0"/>
                      <w:szCs w:val="21"/>
                      <w:highlight w:val="none"/>
                    </w:rPr>
                    <w:t xml:space="preserve"> </w:t>
                  </w:r>
                  <w:r>
                    <w:rPr>
                      <w:rFonts w:ascii="宋体" w:hAnsi="宋体" w:cs="宋体"/>
                      <w:color w:val="000000"/>
                      <w:kern w:val="0"/>
                      <w:szCs w:val="21"/>
                      <w:highlight w:val="none"/>
                    </w:rPr>
                    <w:t xml:space="preserve"> </w:t>
                  </w:r>
                  <w:r>
                    <w:rPr>
                      <w:rFonts w:hint="eastAsia" w:ascii="宋体" w:hAnsi="宋体" w:cs="宋体"/>
                      <w:color w:val="000000"/>
                      <w:kern w:val="0"/>
                      <w:szCs w:val="21"/>
                      <w:highlight w:val="none"/>
                    </w:rPr>
                    <w:t>尊敬</w:t>
                  </w:r>
                  <w:r>
                    <w:rPr>
                      <w:rFonts w:ascii="宋体" w:hAnsi="宋体" w:cs="宋体"/>
                      <w:color w:val="000000"/>
                      <w:kern w:val="0"/>
                      <w:szCs w:val="21"/>
                      <w:highlight w:val="none"/>
                    </w:rPr>
                    <w:t>的</w:t>
                  </w:r>
                  <w:r>
                    <w:rPr>
                      <w:rFonts w:hint="eastAsia" w:ascii="宋体" w:hAnsi="宋体" w:cs="宋体"/>
                      <w:color w:val="000000"/>
                      <w:kern w:val="0"/>
                      <w:szCs w:val="21"/>
                      <w:highlight w:val="none"/>
                    </w:rPr>
                    <w:t>XX，</w:t>
                  </w:r>
                  <w:r>
                    <w:rPr>
                      <w:rFonts w:ascii="宋体" w:hAnsi="宋体" w:cs="宋体"/>
                      <w:color w:val="000000"/>
                      <w:kern w:val="0"/>
                      <w:szCs w:val="21"/>
                      <w:highlight w:val="none"/>
                    </w:rPr>
                    <w:t>您好，您的小孩</w:t>
                  </w:r>
                  <w:r>
                    <w:rPr>
                      <w:rFonts w:hint="eastAsia" w:ascii="宋体" w:hAnsi="宋体" w:cs="宋体"/>
                      <w:color w:val="000000"/>
                      <w:kern w:val="0"/>
                      <w:szCs w:val="21"/>
                      <w:highlight w:val="none"/>
                    </w:rPr>
                    <w:t>XX已到</w:t>
                  </w:r>
                  <w:r>
                    <w:rPr>
                      <w:rFonts w:ascii="宋体" w:hAnsi="宋体" w:cs="宋体"/>
                      <w:color w:val="000000"/>
                      <w:kern w:val="0"/>
                      <w:szCs w:val="21"/>
                      <w:highlight w:val="none"/>
                    </w:rPr>
                    <w:t>接种</w:t>
                  </w:r>
                  <w:r>
                    <w:rPr>
                      <w:rFonts w:hint="eastAsia" w:ascii="宋体" w:hAnsi="宋体" w:cs="宋体"/>
                      <w:color w:val="000000"/>
                      <w:kern w:val="0"/>
                      <w:szCs w:val="21"/>
                      <w:highlight w:val="none"/>
                    </w:rPr>
                    <w:t>XXX疫苗</w:t>
                  </w:r>
                  <w:r>
                    <w:rPr>
                      <w:rFonts w:ascii="宋体" w:hAnsi="宋体" w:cs="宋体"/>
                      <w:color w:val="000000"/>
                      <w:kern w:val="0"/>
                      <w:szCs w:val="21"/>
                      <w:highlight w:val="none"/>
                    </w:rPr>
                    <w:t>的时间，请您尽快到</w:t>
                  </w:r>
                  <w:r>
                    <w:rPr>
                      <w:rFonts w:hint="eastAsia" w:ascii="宋体" w:hAnsi="宋体" w:cs="宋体"/>
                      <w:color w:val="000000"/>
                      <w:kern w:val="0"/>
                      <w:szCs w:val="21"/>
                      <w:highlight w:val="none"/>
                    </w:rPr>
                    <w:t>XXXX医院</w:t>
                  </w:r>
                  <w:r>
                    <w:rPr>
                      <w:rFonts w:ascii="宋体" w:hAnsi="宋体" w:cs="宋体"/>
                      <w:color w:val="000000"/>
                      <w:kern w:val="0"/>
                      <w:szCs w:val="21"/>
                      <w:highlight w:val="none"/>
                    </w:rPr>
                    <w:t xml:space="preserve">进行接种。 </w:t>
                  </w:r>
                </w:p>
              </w:tc>
            </w:tr>
          </w:tbl>
          <w:p>
            <w:pPr>
              <w:widowControl/>
              <w:ind w:left="9030" w:hanging="9030" w:hangingChars="4300"/>
              <w:rPr>
                <w:rFonts w:ascii="宋体" w:hAnsi="宋体" w:cs="宋体"/>
                <w:color w:val="000000"/>
                <w:kern w:val="0"/>
                <w:szCs w:val="21"/>
                <w:highlight w:val="none"/>
              </w:rPr>
            </w:pPr>
            <w:r>
              <w:rPr>
                <w:rFonts w:ascii="宋体" w:hAnsi="宋体" w:cs="宋体"/>
                <w:color w:val="000000"/>
                <w:kern w:val="0"/>
                <w:szCs w:val="21"/>
                <w:highlight w:val="none"/>
              </w:rPr>
              <w:t xml:space="preserve">                                                                                                                                                          </w:t>
            </w:r>
            <w:r>
              <w:rPr>
                <w:rFonts w:hint="eastAsia" w:ascii="宋体" w:hAnsi="宋体" w:cs="宋体"/>
                <w:color w:val="000000"/>
                <w:kern w:val="0"/>
                <w:szCs w:val="21"/>
                <w:highlight w:val="none"/>
              </w:rPr>
              <w:t>______</w:t>
            </w:r>
          </w:p>
          <w:p>
            <w:pPr>
              <w:widowControl/>
              <w:rPr>
                <w:rFonts w:ascii="宋体" w:hAnsi="宋体" w:cs="宋体"/>
                <w:color w:val="000000"/>
                <w:kern w:val="0"/>
                <w:szCs w:val="21"/>
                <w:highlight w:val="none"/>
              </w:rPr>
            </w:pPr>
            <w:r>
              <w:rPr>
                <w:rFonts w:hint="eastAsia" w:ascii="宋体" w:hAnsi="宋体" w:cs="宋体"/>
                <w:color w:val="000000"/>
                <w:kern w:val="0"/>
                <w:szCs w:val="21"/>
                <w:highlight w:val="none"/>
              </w:rPr>
              <w:t>我公司已知晓：因外呼号码显示服务受运营商网络管理的限制，会存在下述影响：</w:t>
            </w:r>
          </w:p>
        </w:tc>
      </w:tr>
      <w:tr>
        <w:tblPrEx>
          <w:tblCellMar>
            <w:top w:w="0" w:type="dxa"/>
            <w:left w:w="108" w:type="dxa"/>
            <w:bottom w:w="0" w:type="dxa"/>
            <w:right w:w="108" w:type="dxa"/>
          </w:tblCellMar>
        </w:tblPrEx>
        <w:trPr>
          <w:cantSplit/>
        </w:trPr>
        <w:tc>
          <w:tcPr>
            <w:tcW w:w="8296" w:type="dxa"/>
            <w:tcBorders>
              <w:top w:val="nil"/>
              <w:left w:val="single" w:color="auto" w:sz="4" w:space="0"/>
              <w:bottom w:val="single" w:color="FFFFFF" w:sz="4" w:space="0"/>
              <w:right w:val="single" w:color="auto" w:sz="4" w:space="0"/>
            </w:tcBorders>
            <w:shd w:val="clear" w:color="auto" w:fill="auto"/>
            <w:vAlign w:val="center"/>
          </w:tcPr>
          <w:p>
            <w:pPr>
              <w:widowControl/>
              <w:rPr>
                <w:b/>
                <w:bCs/>
                <w:color w:val="000000"/>
                <w:kern w:val="0"/>
                <w:sz w:val="14"/>
                <w:szCs w:val="14"/>
                <w:highlight w:val="none"/>
              </w:rPr>
            </w:pPr>
            <w:r>
              <w:rPr>
                <w:rFonts w:hint="eastAsia" w:ascii="宋体" w:hAnsi="宋体"/>
                <w:b/>
                <w:bCs/>
                <w:color w:val="000000"/>
                <w:kern w:val="0"/>
                <w:szCs w:val="21"/>
                <w:highlight w:val="none"/>
              </w:rPr>
              <w:t>短信知情</w:t>
            </w:r>
          </w:p>
        </w:tc>
      </w:tr>
      <w:tr>
        <w:tblPrEx>
          <w:tblCellMar>
            <w:top w:w="0" w:type="dxa"/>
            <w:left w:w="108" w:type="dxa"/>
            <w:bottom w:w="0" w:type="dxa"/>
            <w:right w:w="108" w:type="dxa"/>
          </w:tblCellMar>
        </w:tblPrEx>
        <w:trPr>
          <w:cantSplit/>
        </w:trPr>
        <w:tc>
          <w:tcPr>
            <w:tcW w:w="8296" w:type="dxa"/>
            <w:tcBorders>
              <w:top w:val="nil"/>
              <w:left w:val="single" w:color="auto" w:sz="4" w:space="0"/>
              <w:bottom w:val="single" w:color="FFFFFF" w:sz="4" w:space="0"/>
              <w:right w:val="single" w:color="auto" w:sz="4" w:space="0"/>
            </w:tcBorders>
            <w:shd w:val="clear" w:color="auto" w:fill="auto"/>
            <w:vAlign w:val="center"/>
          </w:tcPr>
          <w:p>
            <w:pPr>
              <w:widowControl/>
              <w:rPr>
                <w:rFonts w:ascii="宋体" w:hAnsi="宋体" w:cs="宋体"/>
                <w:color w:val="000000"/>
                <w:kern w:val="0"/>
                <w:szCs w:val="21"/>
                <w:highlight w:val="none"/>
              </w:rPr>
            </w:pPr>
            <w:r>
              <w:rPr>
                <w:rFonts w:hint="eastAsia" w:ascii="宋体" w:hAnsi="宋体" w:cs="宋体"/>
                <w:color w:val="000000"/>
                <w:kern w:val="0"/>
                <w:szCs w:val="21"/>
                <w:highlight w:val="none"/>
              </w:rPr>
              <w:t>1）因短信号码在推送过程中发生客户投诉，贵院可能采取关停该服务、调整发送短信显示号码等措施。</w:t>
            </w:r>
          </w:p>
        </w:tc>
      </w:tr>
      <w:tr>
        <w:tblPrEx>
          <w:tblCellMar>
            <w:top w:w="0" w:type="dxa"/>
            <w:left w:w="108" w:type="dxa"/>
            <w:bottom w:w="0" w:type="dxa"/>
            <w:right w:w="108" w:type="dxa"/>
          </w:tblCellMar>
        </w:tblPrEx>
        <w:trPr>
          <w:cantSplit/>
        </w:trPr>
        <w:tc>
          <w:tcPr>
            <w:tcW w:w="8296" w:type="dxa"/>
            <w:tcBorders>
              <w:top w:val="nil"/>
              <w:left w:val="single" w:color="auto" w:sz="4" w:space="0"/>
              <w:bottom w:val="single" w:color="FFFFFF" w:sz="4" w:space="0"/>
              <w:right w:val="single" w:color="auto" w:sz="4" w:space="0"/>
            </w:tcBorders>
            <w:shd w:val="clear" w:color="auto" w:fill="auto"/>
            <w:vAlign w:val="center"/>
          </w:tcPr>
          <w:p>
            <w:pPr>
              <w:widowControl/>
              <w:rPr>
                <w:rFonts w:ascii="宋体" w:hAnsi="宋体" w:cs="宋体"/>
                <w:b/>
                <w:bCs/>
                <w:color w:val="000000"/>
                <w:kern w:val="0"/>
                <w:szCs w:val="21"/>
                <w:highlight w:val="none"/>
              </w:rPr>
            </w:pPr>
            <w:r>
              <w:rPr>
                <w:rFonts w:hint="eastAsia" w:ascii="宋体" w:hAnsi="宋体" w:cs="宋体"/>
                <w:b/>
                <w:bCs/>
                <w:color w:val="000000"/>
                <w:kern w:val="0"/>
                <w:szCs w:val="21"/>
                <w:highlight w:val="none"/>
              </w:rPr>
              <w:t>问题须知</w:t>
            </w:r>
          </w:p>
          <w:p>
            <w:pPr>
              <w:widowControl/>
              <w:rPr>
                <w:rFonts w:ascii="宋体" w:hAnsi="宋体" w:cs="宋体"/>
                <w:color w:val="000000"/>
                <w:kern w:val="0"/>
                <w:szCs w:val="21"/>
                <w:highlight w:val="none"/>
              </w:rPr>
            </w:pPr>
            <w:r>
              <w:rPr>
                <w:rFonts w:hint="eastAsia" w:ascii="宋体" w:hAnsi="宋体" w:cs="宋体"/>
                <w:color w:val="000000"/>
                <w:kern w:val="0"/>
                <w:szCs w:val="21"/>
                <w:highlight w:val="none"/>
              </w:rPr>
              <w:t>1）当贵司</w:t>
            </w:r>
            <w:r>
              <w:rPr>
                <w:rFonts w:ascii="宋体" w:hAnsi="宋体" w:cs="宋体"/>
                <w:color w:val="000000"/>
                <w:kern w:val="0"/>
                <w:szCs w:val="21"/>
                <w:highlight w:val="none"/>
              </w:rPr>
              <w:t>进行平台配置、维护、升级</w:t>
            </w:r>
            <w:r>
              <w:rPr>
                <w:rFonts w:hint="eastAsia" w:ascii="宋体" w:hAnsi="宋体" w:cs="宋体"/>
                <w:color w:val="000000"/>
                <w:kern w:val="0"/>
                <w:szCs w:val="21"/>
                <w:highlight w:val="none"/>
              </w:rPr>
              <w:t>或遇国家重大通信保障期间</w:t>
            </w:r>
            <w:r>
              <w:rPr>
                <w:rFonts w:ascii="宋体" w:hAnsi="宋体" w:cs="宋体"/>
                <w:color w:val="000000"/>
                <w:kern w:val="0"/>
                <w:szCs w:val="21"/>
                <w:highlight w:val="none"/>
              </w:rPr>
              <w:t>，</w:t>
            </w:r>
            <w:r>
              <w:rPr>
                <w:rFonts w:hint="eastAsia" w:ascii="宋体" w:hAnsi="宋体" w:cs="宋体"/>
                <w:color w:val="000000"/>
                <w:kern w:val="0"/>
                <w:szCs w:val="21"/>
                <w:highlight w:val="none"/>
              </w:rPr>
              <w:t>应提前告知，贵司可对业务营销进行调整或临时暂停服务，并不对此承担违约责任。</w:t>
            </w:r>
          </w:p>
          <w:p>
            <w:pPr>
              <w:widowControl/>
              <w:rPr>
                <w:rFonts w:ascii="宋体" w:hAnsi="宋体" w:cs="宋体"/>
                <w:b/>
                <w:bCs/>
                <w:color w:val="000000"/>
                <w:kern w:val="0"/>
                <w:szCs w:val="21"/>
                <w:highlight w:val="none"/>
              </w:rPr>
            </w:pPr>
            <w:r>
              <w:rPr>
                <w:rFonts w:hint="eastAsia" w:ascii="宋体" w:hAnsi="宋体" w:cs="宋体"/>
                <w:color w:val="000000"/>
                <w:kern w:val="0"/>
                <w:szCs w:val="21"/>
                <w:highlight w:val="none"/>
              </w:rPr>
              <w:t>2）我司同意贵司因推送服务产生严重触达率而导致的严重服务投诉、法律等问题，贵司有权暂停服务或采取调整短信显示号码等相关处理措施。</w:t>
            </w:r>
          </w:p>
        </w:tc>
      </w:tr>
      <w:tr>
        <w:tblPrEx>
          <w:tblCellMar>
            <w:top w:w="0" w:type="dxa"/>
            <w:left w:w="108" w:type="dxa"/>
            <w:bottom w:w="0" w:type="dxa"/>
            <w:right w:w="108" w:type="dxa"/>
          </w:tblCellMar>
        </w:tblPrEx>
        <w:trPr>
          <w:cantSplit/>
        </w:trPr>
        <w:tc>
          <w:tcPr>
            <w:tcW w:w="8296" w:type="dxa"/>
            <w:tcBorders>
              <w:top w:val="nil"/>
              <w:left w:val="single" w:color="auto" w:sz="4" w:space="0"/>
              <w:bottom w:val="single" w:color="FFFFFF" w:sz="4" w:space="0"/>
              <w:right w:val="single" w:color="auto" w:sz="4" w:space="0"/>
            </w:tcBorders>
            <w:shd w:val="clear" w:color="auto" w:fill="auto"/>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　</w:t>
            </w:r>
          </w:p>
        </w:tc>
      </w:tr>
      <w:tr>
        <w:tblPrEx>
          <w:tblCellMar>
            <w:top w:w="0" w:type="dxa"/>
            <w:left w:w="108" w:type="dxa"/>
            <w:bottom w:w="0" w:type="dxa"/>
            <w:right w:w="108" w:type="dxa"/>
          </w:tblCellMar>
        </w:tblPrEx>
        <w:trPr>
          <w:cantSplit/>
        </w:trPr>
        <w:tc>
          <w:tcPr>
            <w:tcW w:w="8296" w:type="dxa"/>
            <w:tcBorders>
              <w:top w:val="nil"/>
              <w:left w:val="single" w:color="auto" w:sz="4" w:space="0"/>
              <w:bottom w:val="single" w:color="FFFFFF" w:sz="4" w:space="0"/>
              <w:right w:val="single" w:color="auto" w:sz="4"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 xml:space="preserve">    </w:t>
            </w:r>
            <w:r>
              <w:rPr>
                <w:rFonts w:ascii="宋体" w:hAnsi="宋体" w:cs="宋体"/>
                <w:color w:val="000000"/>
                <w:kern w:val="0"/>
                <w:szCs w:val="21"/>
                <w:highlight w:val="none"/>
              </w:rPr>
              <w:t xml:space="preserve">                         </w:t>
            </w:r>
            <w:r>
              <w:rPr>
                <w:rFonts w:hint="eastAsia" w:ascii="宋体" w:hAnsi="宋体" w:cs="宋体"/>
                <w:color w:val="000000"/>
                <w:kern w:val="0"/>
                <w:szCs w:val="21"/>
                <w:highlight w:val="none"/>
              </w:rPr>
              <w:t>知情方（盖章）：</w:t>
            </w:r>
            <w:r>
              <w:rPr>
                <w:rFonts w:hint="eastAsia" w:ascii="宋体" w:hAnsi="宋体" w:cs="宋体"/>
                <w:color w:val="000000"/>
                <w:kern w:val="0"/>
                <w:szCs w:val="21"/>
                <w:highlight w:val="none"/>
                <w:u w:val="single"/>
              </w:rPr>
              <w:t xml:space="preserve"> </w:t>
            </w:r>
          </w:p>
        </w:tc>
      </w:tr>
      <w:tr>
        <w:tblPrEx>
          <w:tblCellMar>
            <w:top w:w="0" w:type="dxa"/>
            <w:left w:w="108" w:type="dxa"/>
            <w:bottom w:w="0" w:type="dxa"/>
            <w:right w:w="108" w:type="dxa"/>
          </w:tblCellMar>
        </w:tblPrEx>
        <w:trPr>
          <w:cantSplit/>
        </w:trPr>
        <w:tc>
          <w:tcPr>
            <w:tcW w:w="8296" w:type="dxa"/>
            <w:tcBorders>
              <w:top w:val="nil"/>
              <w:left w:val="single" w:color="auto" w:sz="4" w:space="0"/>
              <w:bottom w:val="single" w:color="FFFFFF" w:sz="4" w:space="0"/>
              <w:right w:val="single" w:color="auto" w:sz="4" w:space="0"/>
            </w:tcBorders>
            <w:shd w:val="clear" w:color="auto" w:fill="auto"/>
            <w:vAlign w:val="center"/>
          </w:tcPr>
          <w:p>
            <w:pPr>
              <w:widowControl/>
              <w:ind w:right="630"/>
              <w:jc w:val="right"/>
              <w:rPr>
                <w:rFonts w:ascii="宋体" w:hAnsi="宋体" w:cs="宋体"/>
                <w:color w:val="000000"/>
                <w:kern w:val="0"/>
                <w:szCs w:val="21"/>
                <w:highlight w:val="none"/>
              </w:rPr>
            </w:pPr>
            <w:r>
              <w:rPr>
                <w:rFonts w:hint="eastAsia" w:ascii="宋体" w:hAnsi="宋体" w:cs="宋体"/>
                <w:color w:val="000000"/>
                <w:kern w:val="0"/>
                <w:szCs w:val="21"/>
                <w:highlight w:val="none"/>
              </w:rPr>
              <w:t xml:space="preserve">日期： </w:t>
            </w:r>
            <w:r>
              <w:rPr>
                <w:rFonts w:hint="eastAsia" w:ascii="宋体" w:hAnsi="宋体" w:cs="宋体"/>
                <w:color w:val="000000"/>
                <w:kern w:val="0"/>
                <w:szCs w:val="21"/>
                <w:highlight w:val="none"/>
                <w:u w:val="single"/>
              </w:rPr>
              <w:t xml:space="preserve">       </w:t>
            </w:r>
            <w:r>
              <w:rPr>
                <w:rFonts w:hint="eastAsia" w:ascii="宋体" w:hAnsi="宋体" w:cs="宋体"/>
                <w:color w:val="000000"/>
                <w:kern w:val="0"/>
                <w:szCs w:val="21"/>
                <w:highlight w:val="none"/>
              </w:rPr>
              <w:t>年</w:t>
            </w:r>
            <w:r>
              <w:rPr>
                <w:rFonts w:hint="eastAsia" w:ascii="宋体" w:hAnsi="宋体" w:cs="宋体"/>
                <w:color w:val="000000"/>
                <w:kern w:val="0"/>
                <w:szCs w:val="21"/>
                <w:highlight w:val="none"/>
                <w:u w:val="single"/>
              </w:rPr>
              <w:t xml:space="preserve">    </w:t>
            </w:r>
            <w:r>
              <w:rPr>
                <w:rFonts w:hint="eastAsia" w:ascii="宋体" w:hAnsi="宋体" w:cs="宋体"/>
                <w:color w:val="000000"/>
                <w:kern w:val="0"/>
                <w:szCs w:val="21"/>
                <w:highlight w:val="none"/>
              </w:rPr>
              <w:t>月</w:t>
            </w:r>
            <w:r>
              <w:rPr>
                <w:rFonts w:hint="eastAsia" w:ascii="宋体" w:hAnsi="宋体" w:cs="宋体"/>
                <w:color w:val="000000"/>
                <w:kern w:val="0"/>
                <w:szCs w:val="21"/>
                <w:highlight w:val="none"/>
                <w:u w:val="single"/>
              </w:rPr>
              <w:t xml:space="preserve">    </w:t>
            </w:r>
            <w:r>
              <w:rPr>
                <w:rFonts w:hint="eastAsia" w:ascii="宋体" w:hAnsi="宋体" w:cs="宋体"/>
                <w:color w:val="000000"/>
                <w:kern w:val="0"/>
                <w:szCs w:val="21"/>
                <w:highlight w:val="none"/>
              </w:rPr>
              <w:t>日</w:t>
            </w:r>
          </w:p>
        </w:tc>
      </w:tr>
      <w:tr>
        <w:tblPrEx>
          <w:tblCellMar>
            <w:top w:w="0" w:type="dxa"/>
            <w:left w:w="108" w:type="dxa"/>
            <w:bottom w:w="0" w:type="dxa"/>
            <w:right w:w="108" w:type="dxa"/>
          </w:tblCellMar>
        </w:tblPrEx>
        <w:trPr>
          <w:cantSplit/>
        </w:trPr>
        <w:tc>
          <w:tcPr>
            <w:tcW w:w="8296" w:type="dxa"/>
            <w:tcBorders>
              <w:top w:val="nil"/>
              <w:left w:val="single" w:color="auto" w:sz="4" w:space="0"/>
              <w:bottom w:val="nil"/>
              <w:right w:val="single" w:color="auto" w:sz="4" w:space="0"/>
            </w:tcBorders>
            <w:shd w:val="clear" w:color="auto" w:fill="auto"/>
            <w:vAlign w:val="bottom"/>
          </w:tcPr>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　</w:t>
            </w:r>
          </w:p>
        </w:tc>
      </w:tr>
      <w:tr>
        <w:tblPrEx>
          <w:tblCellMar>
            <w:top w:w="0" w:type="dxa"/>
            <w:left w:w="108" w:type="dxa"/>
            <w:bottom w:w="0" w:type="dxa"/>
            <w:right w:w="108" w:type="dxa"/>
          </w:tblCellMar>
        </w:tblPrEx>
        <w:trPr>
          <w:cantSplit/>
        </w:trPr>
        <w:tc>
          <w:tcPr>
            <w:tcW w:w="8296"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highlight w:val="none"/>
              </w:rPr>
            </w:pPr>
          </w:p>
        </w:tc>
      </w:tr>
    </w:tbl>
    <w:p>
      <w:pPr>
        <w:rPr>
          <w:highlight w:val="none"/>
        </w:rPr>
      </w:pPr>
    </w:p>
    <w:p>
      <w:pPr>
        <w:widowControl/>
        <w:jc w:val="left"/>
        <w:rPr>
          <w:highlight w:val="none"/>
        </w:rPr>
      </w:pPr>
      <w:r>
        <w:rPr>
          <w:highlight w:val="none"/>
        </w:rPr>
        <w:br w:type="page"/>
      </w:r>
    </w:p>
    <w:p>
      <w:pPr>
        <w:autoSpaceDE w:val="0"/>
        <w:autoSpaceDN w:val="0"/>
        <w:adjustRightInd w:val="0"/>
        <w:spacing w:before="156" w:beforeLines="50" w:after="156" w:afterLines="50"/>
        <w:jc w:val="left"/>
        <w:rPr>
          <w:rFonts w:ascii="宋体" w:hAnsi="宋体" w:cs="宋体"/>
          <w:sz w:val="28"/>
          <w:szCs w:val="28"/>
          <w:highlight w:val="none"/>
        </w:rPr>
      </w:pPr>
      <w:r>
        <w:rPr>
          <w:rFonts w:hint="eastAsia" w:ascii="宋体" w:hAnsi="宋体" w:cs="宋体"/>
          <w:sz w:val="28"/>
          <w:szCs w:val="28"/>
          <w:highlight w:val="none"/>
        </w:rPr>
        <w:t>附件二：短信服务采购订单</w:t>
      </w:r>
    </w:p>
    <w:p>
      <w:pPr>
        <w:autoSpaceDE w:val="0"/>
        <w:autoSpaceDN w:val="0"/>
        <w:adjustRightInd w:val="0"/>
        <w:spacing w:before="156" w:beforeLines="50" w:after="156" w:afterLines="50"/>
        <w:jc w:val="center"/>
        <w:rPr>
          <w:rFonts w:ascii="宋体" w:hAnsi="宋体" w:cs="宋体"/>
          <w:sz w:val="36"/>
          <w:szCs w:val="36"/>
          <w:highlight w:val="none"/>
        </w:rPr>
      </w:pPr>
      <w:r>
        <w:rPr>
          <w:rFonts w:hint="eastAsia" w:ascii="宋体" w:hAnsi="宋体" w:cs="宋体"/>
          <w:sz w:val="36"/>
          <w:szCs w:val="36"/>
          <w:highlight w:val="none"/>
        </w:rPr>
        <w:t>短信服务采购订单</w:t>
      </w:r>
    </w:p>
    <w:p>
      <w:pPr>
        <w:autoSpaceDE w:val="0"/>
        <w:autoSpaceDN w:val="0"/>
        <w:adjustRightInd w:val="0"/>
        <w:spacing w:before="156" w:beforeLines="50" w:after="156" w:afterLines="50"/>
        <w:jc w:val="left"/>
        <w:rPr>
          <w:rFonts w:ascii="宋体" w:hAnsi="宋体" w:cs="宋体"/>
          <w:sz w:val="24"/>
          <w:szCs w:val="24"/>
          <w:highlight w:val="none"/>
        </w:rPr>
      </w:pPr>
      <w:r>
        <w:rPr>
          <w:rFonts w:hint="eastAsia" w:ascii="宋体" w:hAnsi="宋体" w:cs="宋体"/>
          <w:sz w:val="24"/>
          <w:szCs w:val="24"/>
          <w:highlight w:val="none"/>
        </w:rPr>
        <w:t>客户名称：</w:t>
      </w:r>
      <w:r>
        <w:rPr>
          <w:rFonts w:hint="eastAsia" w:ascii="宋体" w:hAnsi="宋体" w:cs="宋体"/>
          <w:sz w:val="24"/>
          <w:szCs w:val="24"/>
          <w:highlight w:val="none"/>
          <w:u w:val="single"/>
        </w:rPr>
        <w:t xml:space="preserve"> 佛山市顺德区疾病预防与控制中心</w:t>
      </w:r>
      <w:r>
        <w:rPr>
          <w:rFonts w:hint="eastAsia" w:ascii="宋体" w:hAnsi="宋体" w:cs="宋体"/>
          <w:sz w:val="24"/>
          <w:szCs w:val="24"/>
          <w:highlight w:val="none"/>
        </w:rPr>
        <w:t xml:space="preserve">                                 </w:t>
      </w:r>
    </w:p>
    <w:p>
      <w:pPr>
        <w:rPr>
          <w:rFonts w:ascii="宋体" w:hAnsi="宋体" w:cs="宋体"/>
          <w:color w:val="C00000"/>
          <w:sz w:val="24"/>
          <w:szCs w:val="24"/>
          <w:highlight w:val="none"/>
        </w:rPr>
      </w:pPr>
      <w:r>
        <w:rPr>
          <w:rFonts w:hint="eastAsia" w:ascii="宋体" w:hAnsi="宋体" w:cs="宋体"/>
          <w:sz w:val="24"/>
          <w:szCs w:val="24"/>
          <w:highlight w:val="none"/>
        </w:rPr>
        <w:t>订单编号：001</w:t>
      </w:r>
      <w:r>
        <w:rPr>
          <w:rFonts w:hint="eastAsia" w:ascii="宋体" w:hAnsi="宋体" w:cs="宋体"/>
          <w:color w:val="C00000"/>
          <w:sz w:val="24"/>
          <w:szCs w:val="24"/>
          <w:highlight w:val="none"/>
        </w:rPr>
        <w:t xml:space="preserve">                              </w:t>
      </w:r>
      <w:r>
        <w:rPr>
          <w:rFonts w:hint="eastAsia" w:ascii="宋体" w:hAnsi="宋体" w:cs="宋体"/>
          <w:sz w:val="24"/>
          <w:szCs w:val="24"/>
          <w:highlight w:val="none"/>
        </w:rPr>
        <w:t xml:space="preserve">       订单金额：</w:t>
      </w:r>
      <w:r>
        <w:rPr>
          <w:rFonts w:hint="eastAsia" w:ascii="宋体" w:hAnsi="宋体" w:cs="宋体"/>
          <w:b/>
          <w:bCs/>
          <w:sz w:val="24"/>
          <w:szCs w:val="24"/>
          <w:highlight w:val="none"/>
        </w:rPr>
        <w:t>（成交金额）</w:t>
      </w:r>
    </w:p>
    <w:tbl>
      <w:tblPr>
        <w:tblStyle w:val="23"/>
        <w:tblW w:w="10370" w:type="dxa"/>
        <w:jc w:val="center"/>
        <w:tblLayout w:type="fixed"/>
        <w:tblCellMar>
          <w:top w:w="0" w:type="dxa"/>
          <w:left w:w="0" w:type="dxa"/>
          <w:bottom w:w="0" w:type="dxa"/>
          <w:right w:w="0" w:type="dxa"/>
        </w:tblCellMar>
      </w:tblPr>
      <w:tblGrid>
        <w:gridCol w:w="720"/>
        <w:gridCol w:w="2760"/>
        <w:gridCol w:w="4028"/>
        <w:gridCol w:w="1612"/>
        <w:gridCol w:w="1250"/>
      </w:tblGrid>
      <w:tr>
        <w:tblPrEx>
          <w:tblCellMar>
            <w:top w:w="0" w:type="dxa"/>
            <w:left w:w="0" w:type="dxa"/>
            <w:bottom w:w="0" w:type="dxa"/>
            <w:right w:w="0" w:type="dxa"/>
          </w:tblCellMar>
        </w:tblPrEx>
        <w:trPr>
          <w:trHeight w:val="375"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24"/>
                <w:szCs w:val="24"/>
                <w:highlight w:val="none"/>
              </w:rPr>
            </w:pPr>
            <w:r>
              <w:rPr>
                <w:rFonts w:hint="eastAsia" w:ascii="宋体" w:hAnsi="宋体" w:cs="宋体"/>
                <w:b/>
                <w:color w:val="000000"/>
                <w:kern w:val="0"/>
                <w:sz w:val="24"/>
                <w:szCs w:val="24"/>
                <w:highlight w:val="none"/>
                <w:lang w:bidi="ar"/>
              </w:rPr>
              <w:t>序号</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24"/>
                <w:szCs w:val="24"/>
                <w:highlight w:val="none"/>
              </w:rPr>
            </w:pPr>
            <w:r>
              <w:rPr>
                <w:rFonts w:hint="eastAsia" w:ascii="宋体" w:hAnsi="宋体" w:cs="宋体"/>
                <w:b/>
                <w:color w:val="000000"/>
                <w:kern w:val="0"/>
                <w:sz w:val="24"/>
                <w:szCs w:val="24"/>
                <w:highlight w:val="none"/>
                <w:lang w:bidi="ar"/>
              </w:rPr>
              <w:t>总院</w:t>
            </w:r>
          </w:p>
        </w:tc>
        <w:tc>
          <w:tcPr>
            <w:tcW w:w="4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24"/>
                <w:szCs w:val="24"/>
                <w:highlight w:val="none"/>
              </w:rPr>
            </w:pPr>
            <w:r>
              <w:rPr>
                <w:rFonts w:hint="eastAsia" w:ascii="宋体" w:hAnsi="宋体" w:cs="宋体"/>
                <w:b/>
                <w:color w:val="000000"/>
                <w:kern w:val="0"/>
                <w:sz w:val="24"/>
                <w:szCs w:val="24"/>
                <w:highlight w:val="none"/>
                <w:lang w:bidi="ar"/>
              </w:rPr>
              <w:t>分院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24"/>
                <w:szCs w:val="24"/>
                <w:highlight w:val="none"/>
              </w:rPr>
            </w:pPr>
            <w:r>
              <w:rPr>
                <w:rFonts w:hint="eastAsia" w:ascii="宋体" w:hAnsi="宋体" w:cs="宋体"/>
                <w:b/>
                <w:color w:val="000000"/>
                <w:kern w:val="0"/>
                <w:sz w:val="24"/>
                <w:szCs w:val="24"/>
                <w:highlight w:val="none"/>
                <w:lang w:bidi="ar"/>
              </w:rPr>
              <w:t>单位编码</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24"/>
                <w:szCs w:val="24"/>
                <w:highlight w:val="none"/>
              </w:rPr>
            </w:pPr>
            <w:r>
              <w:rPr>
                <w:rFonts w:hint="eastAsia" w:ascii="宋体" w:hAnsi="宋体" w:cs="宋体"/>
                <w:b/>
                <w:color w:val="000000"/>
                <w:kern w:val="0"/>
                <w:sz w:val="24"/>
                <w:szCs w:val="24"/>
                <w:highlight w:val="none"/>
                <w:lang w:bidi="ar"/>
              </w:rPr>
              <w:t>短信条数</w:t>
            </w:r>
          </w:p>
        </w:tc>
      </w:tr>
      <w:tr>
        <w:tblPrEx>
          <w:tblCellMar>
            <w:top w:w="0" w:type="dxa"/>
            <w:left w:w="0" w:type="dxa"/>
            <w:bottom w:w="0" w:type="dxa"/>
            <w:right w:w="0" w:type="dxa"/>
          </w:tblCellMar>
        </w:tblPrEx>
        <w:trPr>
          <w:trHeight w:val="285" w:hRule="atLeast"/>
          <w:jc w:val="center"/>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1</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北滘社区卫生服务中心</w:t>
            </w:r>
          </w:p>
        </w:tc>
        <w:tc>
          <w:tcPr>
            <w:tcW w:w="4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北滘社区碧江预防接种门诊</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4406060531</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highlight w:val="none"/>
              </w:rPr>
            </w:pPr>
            <w:r>
              <w:rPr>
                <w:rFonts w:hint="eastAsia"/>
                <w:color w:val="000000"/>
                <w:highlight w:val="none"/>
              </w:rPr>
              <w:t>30000</w:t>
            </w:r>
          </w:p>
        </w:tc>
      </w:tr>
      <w:tr>
        <w:tblPrEx>
          <w:tblCellMar>
            <w:top w:w="0" w:type="dxa"/>
            <w:left w:w="0" w:type="dxa"/>
            <w:bottom w:w="0" w:type="dxa"/>
            <w:right w:w="0" w:type="dxa"/>
          </w:tblCellMar>
        </w:tblPrEx>
        <w:trPr>
          <w:trHeight w:val="285"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4"/>
                <w:szCs w:val="24"/>
                <w:highlight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4"/>
                <w:szCs w:val="24"/>
                <w:highlight w:val="none"/>
              </w:rPr>
            </w:pPr>
          </w:p>
        </w:tc>
        <w:tc>
          <w:tcPr>
            <w:tcW w:w="4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北滘社区卫生服务中心</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4406060530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highlight w:val="none"/>
              </w:rPr>
            </w:pPr>
            <w:r>
              <w:rPr>
                <w:rFonts w:hint="eastAsia"/>
                <w:color w:val="000000"/>
                <w:highlight w:val="none"/>
              </w:rPr>
              <w:t>60000</w:t>
            </w:r>
          </w:p>
        </w:tc>
      </w:tr>
      <w:tr>
        <w:tblPrEx>
          <w:tblCellMar>
            <w:top w:w="0" w:type="dxa"/>
            <w:left w:w="0" w:type="dxa"/>
            <w:bottom w:w="0" w:type="dxa"/>
            <w:right w:w="0" w:type="dxa"/>
          </w:tblCellMar>
        </w:tblPrEx>
        <w:trPr>
          <w:trHeight w:val="285"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4"/>
                <w:szCs w:val="24"/>
                <w:highlight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4"/>
                <w:szCs w:val="24"/>
                <w:highlight w:val="none"/>
              </w:rPr>
            </w:pPr>
          </w:p>
        </w:tc>
        <w:tc>
          <w:tcPr>
            <w:tcW w:w="4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北滘社区莘村预防接种门诊</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4406060502</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highlight w:val="none"/>
              </w:rPr>
            </w:pPr>
            <w:r>
              <w:rPr>
                <w:rFonts w:hint="eastAsia"/>
                <w:color w:val="000000"/>
                <w:highlight w:val="none"/>
              </w:rPr>
              <w:t>30000</w:t>
            </w:r>
          </w:p>
        </w:tc>
      </w:tr>
      <w:tr>
        <w:tblPrEx>
          <w:tblCellMar>
            <w:top w:w="0" w:type="dxa"/>
            <w:left w:w="0" w:type="dxa"/>
            <w:bottom w:w="0" w:type="dxa"/>
            <w:right w:w="0" w:type="dxa"/>
          </w:tblCellMar>
        </w:tblPrEx>
        <w:trPr>
          <w:trHeight w:val="380" w:hRule="atLeast"/>
          <w:jc w:val="center"/>
        </w:trPr>
        <w:tc>
          <w:tcPr>
            <w:tcW w:w="72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2</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陈村社区卫生服务中心</w:t>
            </w:r>
          </w:p>
        </w:tc>
        <w:tc>
          <w:tcPr>
            <w:tcW w:w="4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陈村社区卫生服务中心</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4406060430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highlight w:val="none"/>
              </w:rPr>
            </w:pPr>
            <w:r>
              <w:rPr>
                <w:rFonts w:hint="eastAsia"/>
                <w:color w:val="000000"/>
                <w:highlight w:val="none"/>
              </w:rPr>
              <w:t>60000</w:t>
            </w:r>
          </w:p>
        </w:tc>
      </w:tr>
      <w:tr>
        <w:tblPrEx>
          <w:tblCellMar>
            <w:top w:w="0" w:type="dxa"/>
            <w:left w:w="0" w:type="dxa"/>
            <w:bottom w:w="0" w:type="dxa"/>
            <w:right w:w="0" w:type="dxa"/>
          </w:tblCellMar>
        </w:tblPrEx>
        <w:trPr>
          <w:trHeight w:val="285" w:hRule="atLeast"/>
          <w:jc w:val="center"/>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3</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大良社区卫生服务中心</w:t>
            </w:r>
          </w:p>
        </w:tc>
        <w:tc>
          <w:tcPr>
            <w:tcW w:w="4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大良社区苏岗预防接种门诊</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4406060131</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highlight w:val="none"/>
              </w:rPr>
            </w:pPr>
            <w:r>
              <w:rPr>
                <w:rFonts w:hint="eastAsia"/>
                <w:color w:val="000000"/>
                <w:highlight w:val="none"/>
              </w:rPr>
              <w:t>30000</w:t>
            </w:r>
          </w:p>
        </w:tc>
      </w:tr>
      <w:tr>
        <w:tblPrEx>
          <w:tblCellMar>
            <w:top w:w="0" w:type="dxa"/>
            <w:left w:w="0" w:type="dxa"/>
            <w:bottom w:w="0" w:type="dxa"/>
            <w:right w:w="0" w:type="dxa"/>
          </w:tblCellMar>
        </w:tblPrEx>
        <w:trPr>
          <w:trHeight w:val="285"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4"/>
                <w:szCs w:val="24"/>
                <w:highlight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4"/>
                <w:szCs w:val="24"/>
                <w:highlight w:val="none"/>
              </w:rPr>
            </w:pPr>
          </w:p>
        </w:tc>
        <w:tc>
          <w:tcPr>
            <w:tcW w:w="4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大良社区云路预防接种门诊</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4406060138</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highlight w:val="none"/>
              </w:rPr>
            </w:pPr>
            <w:r>
              <w:rPr>
                <w:rFonts w:hint="eastAsia"/>
                <w:color w:val="000000"/>
                <w:highlight w:val="none"/>
              </w:rPr>
              <w:t>30000</w:t>
            </w:r>
          </w:p>
        </w:tc>
      </w:tr>
      <w:tr>
        <w:tblPrEx>
          <w:tblCellMar>
            <w:top w:w="0" w:type="dxa"/>
            <w:left w:w="0" w:type="dxa"/>
            <w:bottom w:w="0" w:type="dxa"/>
            <w:right w:w="0" w:type="dxa"/>
          </w:tblCellMar>
        </w:tblPrEx>
        <w:trPr>
          <w:trHeight w:val="285"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4"/>
                <w:szCs w:val="24"/>
                <w:highlight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4"/>
                <w:szCs w:val="24"/>
                <w:highlight w:val="none"/>
              </w:rPr>
            </w:pPr>
          </w:p>
        </w:tc>
        <w:tc>
          <w:tcPr>
            <w:tcW w:w="4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大良社区卫生服务中心</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4406060130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highlight w:val="none"/>
              </w:rPr>
            </w:pPr>
            <w:r>
              <w:rPr>
                <w:rFonts w:hint="eastAsia"/>
                <w:color w:val="000000"/>
                <w:highlight w:val="none"/>
              </w:rPr>
              <w:t>80000</w:t>
            </w:r>
          </w:p>
        </w:tc>
      </w:tr>
      <w:tr>
        <w:tblPrEx>
          <w:tblCellMar>
            <w:top w:w="0" w:type="dxa"/>
            <w:left w:w="0" w:type="dxa"/>
            <w:bottom w:w="0" w:type="dxa"/>
            <w:right w:w="0" w:type="dxa"/>
          </w:tblCellMar>
        </w:tblPrEx>
        <w:trPr>
          <w:trHeight w:val="420" w:hRule="atLeast"/>
          <w:jc w:val="center"/>
        </w:trPr>
        <w:tc>
          <w:tcPr>
            <w:tcW w:w="72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4</w:t>
            </w:r>
          </w:p>
        </w:tc>
        <w:tc>
          <w:tcPr>
            <w:tcW w:w="276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均安社区卫生服务中心</w:t>
            </w:r>
          </w:p>
        </w:tc>
        <w:tc>
          <w:tcPr>
            <w:tcW w:w="4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均安社区卫生服务中心</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4406061030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highlight w:val="none"/>
              </w:rPr>
            </w:pPr>
            <w:r>
              <w:rPr>
                <w:rFonts w:hint="eastAsia"/>
                <w:color w:val="000000"/>
                <w:highlight w:val="none"/>
              </w:rPr>
              <w:t>30000</w:t>
            </w:r>
          </w:p>
        </w:tc>
      </w:tr>
      <w:tr>
        <w:tblPrEx>
          <w:tblCellMar>
            <w:top w:w="0" w:type="dxa"/>
            <w:left w:w="0" w:type="dxa"/>
            <w:bottom w:w="0" w:type="dxa"/>
            <w:right w:w="0" w:type="dxa"/>
          </w:tblCellMar>
        </w:tblPrEx>
        <w:trPr>
          <w:trHeight w:val="285" w:hRule="atLeast"/>
          <w:jc w:val="center"/>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5</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乐从社区卫生服务中心</w:t>
            </w:r>
          </w:p>
        </w:tc>
        <w:tc>
          <w:tcPr>
            <w:tcW w:w="402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乐从社区大罗预防接种门诊</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4406060602</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highlight w:val="none"/>
              </w:rPr>
            </w:pPr>
            <w:r>
              <w:rPr>
                <w:rFonts w:hint="eastAsia"/>
                <w:color w:val="000000"/>
                <w:highlight w:val="none"/>
              </w:rPr>
              <w:t>30000</w:t>
            </w:r>
          </w:p>
        </w:tc>
      </w:tr>
      <w:tr>
        <w:tblPrEx>
          <w:tblCellMar>
            <w:top w:w="0" w:type="dxa"/>
            <w:left w:w="0" w:type="dxa"/>
            <w:bottom w:w="0" w:type="dxa"/>
            <w:right w:w="0" w:type="dxa"/>
          </w:tblCellMar>
        </w:tblPrEx>
        <w:trPr>
          <w:trHeight w:val="285"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4"/>
                <w:szCs w:val="24"/>
                <w:highlight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4"/>
                <w:szCs w:val="24"/>
                <w:highlight w:val="none"/>
              </w:rPr>
            </w:pPr>
          </w:p>
        </w:tc>
        <w:tc>
          <w:tcPr>
            <w:tcW w:w="402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乐从社区东平预防接种门诊</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4406060633</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highlight w:val="none"/>
              </w:rPr>
            </w:pPr>
            <w:r>
              <w:rPr>
                <w:rFonts w:hint="eastAsia"/>
                <w:color w:val="000000"/>
                <w:highlight w:val="none"/>
              </w:rPr>
              <w:t>30000</w:t>
            </w:r>
          </w:p>
        </w:tc>
      </w:tr>
      <w:tr>
        <w:tblPrEx>
          <w:tblCellMar>
            <w:top w:w="0" w:type="dxa"/>
            <w:left w:w="0" w:type="dxa"/>
            <w:bottom w:w="0" w:type="dxa"/>
            <w:right w:w="0" w:type="dxa"/>
          </w:tblCellMar>
        </w:tblPrEx>
        <w:trPr>
          <w:trHeight w:val="285"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4"/>
                <w:szCs w:val="24"/>
                <w:highlight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4"/>
                <w:szCs w:val="24"/>
                <w:highlight w:val="none"/>
              </w:rPr>
            </w:pPr>
          </w:p>
        </w:tc>
        <w:tc>
          <w:tcPr>
            <w:tcW w:w="402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乐从社区卫生服务中心</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4406060630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highlight w:val="none"/>
              </w:rPr>
            </w:pPr>
            <w:r>
              <w:rPr>
                <w:rFonts w:hint="eastAsia"/>
                <w:color w:val="000000"/>
                <w:highlight w:val="none"/>
              </w:rPr>
              <w:t>80000</w:t>
            </w:r>
          </w:p>
        </w:tc>
      </w:tr>
      <w:tr>
        <w:tblPrEx>
          <w:tblCellMar>
            <w:top w:w="0" w:type="dxa"/>
            <w:left w:w="0" w:type="dxa"/>
            <w:bottom w:w="0" w:type="dxa"/>
            <w:right w:w="0" w:type="dxa"/>
          </w:tblCellMar>
        </w:tblPrEx>
        <w:trPr>
          <w:trHeight w:val="285" w:hRule="atLeast"/>
          <w:jc w:val="center"/>
        </w:trPr>
        <w:tc>
          <w:tcPr>
            <w:tcW w:w="720"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6</w:t>
            </w:r>
          </w:p>
        </w:tc>
        <w:tc>
          <w:tcPr>
            <w:tcW w:w="2760"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勒流社区卫生服务中心</w:t>
            </w:r>
          </w:p>
        </w:tc>
        <w:tc>
          <w:tcPr>
            <w:tcW w:w="4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勒流社区龙眼预防接种门诊</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4406060731</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highlight w:val="none"/>
              </w:rPr>
            </w:pPr>
            <w:r>
              <w:rPr>
                <w:rFonts w:hint="eastAsia"/>
                <w:color w:val="000000"/>
                <w:highlight w:val="none"/>
              </w:rPr>
              <w:t>30000</w:t>
            </w:r>
          </w:p>
        </w:tc>
      </w:tr>
      <w:tr>
        <w:tblPrEx>
          <w:tblCellMar>
            <w:top w:w="0" w:type="dxa"/>
            <w:left w:w="0" w:type="dxa"/>
            <w:bottom w:w="0" w:type="dxa"/>
            <w:right w:w="0" w:type="dxa"/>
          </w:tblCellMar>
        </w:tblPrEx>
        <w:trPr>
          <w:trHeight w:val="285" w:hRule="atLeast"/>
          <w:jc w:val="center"/>
        </w:trPr>
        <w:tc>
          <w:tcPr>
            <w:tcW w:w="72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4"/>
                <w:szCs w:val="24"/>
                <w:highlight w:val="none"/>
              </w:rPr>
            </w:pPr>
          </w:p>
        </w:tc>
        <w:tc>
          <w:tcPr>
            <w:tcW w:w="276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4"/>
                <w:szCs w:val="24"/>
                <w:highlight w:val="none"/>
              </w:rPr>
            </w:pPr>
          </w:p>
        </w:tc>
        <w:tc>
          <w:tcPr>
            <w:tcW w:w="4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勒流社区卫生服务中心</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4406060730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highlight w:val="none"/>
              </w:rPr>
            </w:pPr>
            <w:r>
              <w:rPr>
                <w:rFonts w:hint="eastAsia"/>
                <w:color w:val="000000"/>
                <w:highlight w:val="none"/>
              </w:rPr>
              <w:t>80000</w:t>
            </w:r>
          </w:p>
        </w:tc>
      </w:tr>
      <w:tr>
        <w:tblPrEx>
          <w:tblCellMar>
            <w:top w:w="0" w:type="dxa"/>
            <w:left w:w="0" w:type="dxa"/>
            <w:bottom w:w="0" w:type="dxa"/>
            <w:right w:w="0" w:type="dxa"/>
          </w:tblCellMar>
        </w:tblPrEx>
        <w:trPr>
          <w:trHeight w:val="285" w:hRule="atLeast"/>
          <w:jc w:val="center"/>
        </w:trPr>
        <w:tc>
          <w:tcPr>
            <w:tcW w:w="72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4"/>
                <w:szCs w:val="24"/>
                <w:highlight w:val="none"/>
              </w:rPr>
            </w:pPr>
          </w:p>
        </w:tc>
        <w:tc>
          <w:tcPr>
            <w:tcW w:w="276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4"/>
                <w:szCs w:val="24"/>
                <w:highlight w:val="none"/>
              </w:rPr>
            </w:pPr>
          </w:p>
        </w:tc>
        <w:tc>
          <w:tcPr>
            <w:tcW w:w="4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勒流社区新鹤预防接种门诊</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4406060701</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highlight w:val="none"/>
              </w:rPr>
            </w:pPr>
            <w:r>
              <w:rPr>
                <w:rFonts w:hint="eastAsia"/>
                <w:color w:val="000000"/>
                <w:highlight w:val="none"/>
              </w:rPr>
              <w:t>30000</w:t>
            </w:r>
          </w:p>
        </w:tc>
      </w:tr>
      <w:tr>
        <w:tblPrEx>
          <w:tblCellMar>
            <w:top w:w="0" w:type="dxa"/>
            <w:left w:w="0" w:type="dxa"/>
            <w:bottom w:w="0" w:type="dxa"/>
            <w:right w:w="0" w:type="dxa"/>
          </w:tblCellMar>
        </w:tblPrEx>
        <w:trPr>
          <w:trHeight w:val="285" w:hRule="atLeast"/>
          <w:jc w:val="center"/>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7</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龙江社区卫生服务中心</w:t>
            </w:r>
          </w:p>
        </w:tc>
        <w:tc>
          <w:tcPr>
            <w:tcW w:w="4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龙江社区旺岗预防接种门诊</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4406060831</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highlight w:val="none"/>
              </w:rPr>
            </w:pPr>
            <w:r>
              <w:rPr>
                <w:rFonts w:hint="eastAsia"/>
                <w:color w:val="000000"/>
                <w:highlight w:val="none"/>
              </w:rPr>
              <w:t>50000</w:t>
            </w:r>
          </w:p>
        </w:tc>
      </w:tr>
      <w:tr>
        <w:tblPrEx>
          <w:tblCellMar>
            <w:top w:w="0" w:type="dxa"/>
            <w:left w:w="0" w:type="dxa"/>
            <w:bottom w:w="0" w:type="dxa"/>
            <w:right w:w="0" w:type="dxa"/>
          </w:tblCellMar>
        </w:tblPrEx>
        <w:trPr>
          <w:trHeight w:val="285"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4"/>
                <w:szCs w:val="24"/>
                <w:highlight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4"/>
                <w:szCs w:val="24"/>
                <w:highlight w:val="none"/>
              </w:rPr>
            </w:pPr>
          </w:p>
        </w:tc>
        <w:tc>
          <w:tcPr>
            <w:tcW w:w="4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龙江社区卫生服务中心预防接种门诊</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4406060830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highlight w:val="none"/>
              </w:rPr>
            </w:pPr>
            <w:r>
              <w:rPr>
                <w:rFonts w:hint="eastAsia"/>
                <w:color w:val="000000"/>
                <w:highlight w:val="none"/>
              </w:rPr>
              <w:t>70000</w:t>
            </w:r>
          </w:p>
        </w:tc>
      </w:tr>
      <w:tr>
        <w:tblPrEx>
          <w:tblCellMar>
            <w:top w:w="0" w:type="dxa"/>
            <w:left w:w="0" w:type="dxa"/>
            <w:bottom w:w="0" w:type="dxa"/>
            <w:right w:w="0" w:type="dxa"/>
          </w:tblCellMar>
        </w:tblPrEx>
        <w:trPr>
          <w:trHeight w:val="285" w:hRule="atLeast"/>
          <w:jc w:val="center"/>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8</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伦教社区卫生服务中心</w:t>
            </w:r>
          </w:p>
        </w:tc>
        <w:tc>
          <w:tcPr>
            <w:tcW w:w="4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伦教社区三洲预防接种门诊</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4406060330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highlight w:val="none"/>
              </w:rPr>
            </w:pPr>
            <w:r>
              <w:rPr>
                <w:rFonts w:hint="eastAsia"/>
                <w:color w:val="000000"/>
                <w:highlight w:val="none"/>
              </w:rPr>
              <w:t>30000</w:t>
            </w:r>
          </w:p>
        </w:tc>
      </w:tr>
      <w:tr>
        <w:tblPrEx>
          <w:tblCellMar>
            <w:top w:w="0" w:type="dxa"/>
            <w:left w:w="0" w:type="dxa"/>
            <w:bottom w:w="0" w:type="dxa"/>
            <w:right w:w="0" w:type="dxa"/>
          </w:tblCellMar>
        </w:tblPrEx>
        <w:trPr>
          <w:trHeight w:val="285"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4"/>
                <w:szCs w:val="24"/>
                <w:highlight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4"/>
                <w:szCs w:val="24"/>
                <w:highlight w:val="none"/>
              </w:rPr>
            </w:pPr>
          </w:p>
        </w:tc>
        <w:tc>
          <w:tcPr>
            <w:tcW w:w="4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伦教社区羊额接种门诊</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4406060331</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highlight w:val="none"/>
              </w:rPr>
            </w:pPr>
            <w:r>
              <w:rPr>
                <w:rFonts w:hint="eastAsia"/>
                <w:color w:val="000000"/>
                <w:highlight w:val="none"/>
              </w:rPr>
              <w:t>60000</w:t>
            </w:r>
          </w:p>
        </w:tc>
      </w:tr>
      <w:tr>
        <w:tblPrEx>
          <w:tblCellMar>
            <w:top w:w="0" w:type="dxa"/>
            <w:left w:w="0" w:type="dxa"/>
            <w:bottom w:w="0" w:type="dxa"/>
            <w:right w:w="0" w:type="dxa"/>
          </w:tblCellMar>
        </w:tblPrEx>
        <w:trPr>
          <w:trHeight w:val="285" w:hRule="atLeast"/>
          <w:jc w:val="center"/>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9</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容桂社区卫生服务中心</w:t>
            </w:r>
          </w:p>
        </w:tc>
        <w:tc>
          <w:tcPr>
            <w:tcW w:w="4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容桂社区高黎预防接种门诊</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4406060235</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highlight w:val="none"/>
              </w:rPr>
            </w:pPr>
            <w:r>
              <w:rPr>
                <w:rFonts w:hint="eastAsia"/>
                <w:color w:val="000000"/>
                <w:highlight w:val="none"/>
              </w:rPr>
              <w:t>30000</w:t>
            </w:r>
          </w:p>
        </w:tc>
      </w:tr>
      <w:tr>
        <w:tblPrEx>
          <w:tblCellMar>
            <w:top w:w="0" w:type="dxa"/>
            <w:left w:w="0" w:type="dxa"/>
            <w:bottom w:w="0" w:type="dxa"/>
            <w:right w:w="0" w:type="dxa"/>
          </w:tblCellMar>
        </w:tblPrEx>
        <w:trPr>
          <w:trHeight w:val="285"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4"/>
                <w:szCs w:val="24"/>
                <w:highlight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4"/>
                <w:szCs w:val="24"/>
                <w:highlight w:val="none"/>
              </w:rPr>
            </w:pPr>
          </w:p>
        </w:tc>
        <w:tc>
          <w:tcPr>
            <w:tcW w:w="4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容桂社区红旗接种门诊</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4406060232</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highlight w:val="none"/>
              </w:rPr>
            </w:pPr>
            <w:r>
              <w:rPr>
                <w:rFonts w:hint="eastAsia"/>
                <w:color w:val="000000"/>
                <w:highlight w:val="none"/>
              </w:rPr>
              <w:t>30000</w:t>
            </w:r>
          </w:p>
        </w:tc>
      </w:tr>
      <w:tr>
        <w:tblPrEx>
          <w:tblCellMar>
            <w:top w:w="0" w:type="dxa"/>
            <w:left w:w="0" w:type="dxa"/>
            <w:bottom w:w="0" w:type="dxa"/>
            <w:right w:w="0" w:type="dxa"/>
          </w:tblCellMar>
        </w:tblPrEx>
        <w:trPr>
          <w:trHeight w:val="285"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4"/>
                <w:szCs w:val="24"/>
                <w:highlight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4"/>
                <w:szCs w:val="24"/>
                <w:highlight w:val="none"/>
              </w:rPr>
            </w:pPr>
          </w:p>
        </w:tc>
        <w:tc>
          <w:tcPr>
            <w:tcW w:w="4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容桂社区花溪预防接种门诊</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4406060231</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highlight w:val="none"/>
              </w:rPr>
            </w:pPr>
            <w:r>
              <w:rPr>
                <w:rFonts w:hint="eastAsia"/>
                <w:color w:val="000000"/>
                <w:highlight w:val="none"/>
              </w:rPr>
              <w:t>30000</w:t>
            </w:r>
          </w:p>
        </w:tc>
      </w:tr>
      <w:tr>
        <w:tblPrEx>
          <w:tblCellMar>
            <w:top w:w="0" w:type="dxa"/>
            <w:left w:w="0" w:type="dxa"/>
            <w:bottom w:w="0" w:type="dxa"/>
            <w:right w:w="0" w:type="dxa"/>
          </w:tblCellMar>
        </w:tblPrEx>
        <w:trPr>
          <w:trHeight w:val="285"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4"/>
                <w:szCs w:val="24"/>
                <w:highlight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4"/>
                <w:szCs w:val="24"/>
                <w:highlight w:val="none"/>
              </w:rPr>
            </w:pPr>
          </w:p>
        </w:tc>
        <w:tc>
          <w:tcPr>
            <w:tcW w:w="4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容桂社区暨医预防接种门诊</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4406060233</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highlight w:val="none"/>
              </w:rPr>
            </w:pPr>
            <w:r>
              <w:rPr>
                <w:rFonts w:hint="eastAsia"/>
                <w:color w:val="000000"/>
                <w:highlight w:val="none"/>
              </w:rPr>
              <w:t>55714</w:t>
            </w:r>
          </w:p>
        </w:tc>
      </w:tr>
      <w:tr>
        <w:tblPrEx>
          <w:tblCellMar>
            <w:top w:w="0" w:type="dxa"/>
            <w:left w:w="0" w:type="dxa"/>
            <w:bottom w:w="0" w:type="dxa"/>
            <w:right w:w="0" w:type="dxa"/>
          </w:tblCellMar>
        </w:tblPrEx>
        <w:trPr>
          <w:trHeight w:val="285"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10</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朝阳社区卫生服务中心</w:t>
            </w:r>
          </w:p>
        </w:tc>
        <w:tc>
          <w:tcPr>
            <w:tcW w:w="4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新容奇医院朝阳社区预防接种门诊</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4406060230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highlight w:val="none"/>
              </w:rPr>
            </w:pPr>
            <w:r>
              <w:rPr>
                <w:rFonts w:hint="eastAsia"/>
                <w:color w:val="000000"/>
                <w:highlight w:val="none"/>
              </w:rPr>
              <w:t>50000</w:t>
            </w:r>
          </w:p>
        </w:tc>
      </w:tr>
      <w:tr>
        <w:tblPrEx>
          <w:tblCellMar>
            <w:top w:w="0" w:type="dxa"/>
            <w:left w:w="0" w:type="dxa"/>
            <w:bottom w:w="0" w:type="dxa"/>
            <w:right w:w="0" w:type="dxa"/>
          </w:tblCellMar>
        </w:tblPrEx>
        <w:trPr>
          <w:trHeight w:val="285" w:hRule="atLeast"/>
          <w:jc w:val="center"/>
        </w:trPr>
        <w:tc>
          <w:tcPr>
            <w:tcW w:w="72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11</w:t>
            </w:r>
          </w:p>
        </w:tc>
        <w:tc>
          <w:tcPr>
            <w:tcW w:w="276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杏坛社区卫生服务中心</w:t>
            </w:r>
          </w:p>
        </w:tc>
        <w:tc>
          <w:tcPr>
            <w:tcW w:w="4028"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杏坛社区卫生服务中心</w:t>
            </w:r>
          </w:p>
        </w:tc>
        <w:tc>
          <w:tcPr>
            <w:tcW w:w="1612"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4406060930</w:t>
            </w:r>
          </w:p>
        </w:tc>
        <w:tc>
          <w:tcPr>
            <w:tcW w:w="125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highlight w:val="none"/>
              </w:rPr>
            </w:pPr>
            <w:r>
              <w:rPr>
                <w:rFonts w:hint="eastAsia"/>
                <w:color w:val="000000"/>
                <w:highlight w:val="none"/>
              </w:rPr>
              <w:t>50000</w:t>
            </w:r>
          </w:p>
        </w:tc>
      </w:tr>
      <w:tr>
        <w:tblPrEx>
          <w:tblCellMar>
            <w:top w:w="0" w:type="dxa"/>
            <w:left w:w="0" w:type="dxa"/>
            <w:bottom w:w="0" w:type="dxa"/>
            <w:right w:w="0" w:type="dxa"/>
          </w:tblCellMar>
        </w:tblPrEx>
        <w:trPr>
          <w:trHeight w:val="285" w:hRule="atLeast"/>
          <w:jc w:val="center"/>
        </w:trPr>
        <w:tc>
          <w:tcPr>
            <w:tcW w:w="912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合计</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color w:val="000000"/>
                <w:kern w:val="0"/>
                <w:sz w:val="24"/>
                <w:szCs w:val="24"/>
                <w:highlight w:val="none"/>
              </w:rPr>
            </w:pPr>
            <w:r>
              <w:rPr>
                <w:rFonts w:hint="eastAsia"/>
                <w:color w:val="000000"/>
                <w:highlight w:val="none"/>
              </w:rPr>
              <w:t>1085714</w:t>
            </w:r>
          </w:p>
        </w:tc>
      </w:tr>
    </w:tbl>
    <w:p>
      <w:pPr>
        <w:rPr>
          <w:rFonts w:ascii="宋体" w:hAnsi="宋体" w:cs="宋体"/>
          <w:sz w:val="24"/>
          <w:szCs w:val="24"/>
          <w:highlight w:val="none"/>
        </w:rPr>
      </w:pPr>
      <w:r>
        <w:rPr>
          <w:rFonts w:hint="eastAsia" w:ascii="宋体" w:hAnsi="宋体" w:cs="宋体"/>
          <w:sz w:val="24"/>
          <w:szCs w:val="24"/>
          <w:highlight w:val="none"/>
        </w:rPr>
        <w:t>备注：以上短信数量分配，定期由甲方统一协调再分配，直至全部使用完毕。</w:t>
      </w:r>
    </w:p>
    <w:p>
      <w:pPr>
        <w:pStyle w:val="4"/>
        <w:numPr>
          <w:ilvl w:val="0"/>
          <w:numId w:val="0"/>
        </w:numPr>
        <w:spacing w:line="240" w:lineRule="auto"/>
        <w:ind w:left="432" w:hanging="432"/>
        <w:rPr>
          <w:rFonts w:ascii="宋体" w:hAnsi="宋体" w:cs="宋体"/>
          <w:b w:val="0"/>
          <w:bCs/>
          <w:kern w:val="2"/>
          <w:sz w:val="21"/>
          <w:szCs w:val="21"/>
          <w:highlight w:val="none"/>
        </w:rPr>
      </w:pPr>
      <w:r>
        <w:rPr>
          <w:rFonts w:hint="eastAsia" w:ascii="宋体" w:hAnsi="宋体" w:cs="宋体"/>
          <w:b w:val="0"/>
          <w:kern w:val="2"/>
          <w:sz w:val="21"/>
          <w:szCs w:val="21"/>
          <w:highlight w:val="none"/>
        </w:rPr>
        <w:t xml:space="preserve">客户确认（单位盖章）：                 </w:t>
      </w:r>
      <w:r>
        <w:rPr>
          <w:rFonts w:ascii="宋体" w:hAnsi="宋体" w:cs="宋体"/>
          <w:b w:val="0"/>
          <w:kern w:val="2"/>
          <w:sz w:val="21"/>
          <w:szCs w:val="21"/>
          <w:highlight w:val="none"/>
        </w:rPr>
        <w:t xml:space="preserve">       </w:t>
      </w:r>
      <w:r>
        <w:rPr>
          <w:rFonts w:hint="eastAsia" w:ascii="宋体" w:hAnsi="宋体" w:cs="宋体"/>
          <w:b w:val="0"/>
          <w:kern w:val="2"/>
          <w:sz w:val="21"/>
          <w:szCs w:val="21"/>
          <w:highlight w:val="none"/>
        </w:rPr>
        <w:t xml:space="preserve">  服务方确认（单位盖章）：</w:t>
      </w:r>
    </w:p>
    <w:p>
      <w:pPr>
        <w:pStyle w:val="4"/>
        <w:numPr>
          <w:ilvl w:val="0"/>
          <w:numId w:val="0"/>
        </w:numPr>
        <w:spacing w:line="240" w:lineRule="auto"/>
        <w:ind w:left="432" w:hanging="432"/>
        <w:rPr>
          <w:rFonts w:ascii="宋体" w:hAnsi="宋体" w:cs="宋体"/>
          <w:b w:val="0"/>
          <w:bCs/>
          <w:kern w:val="2"/>
          <w:sz w:val="21"/>
          <w:szCs w:val="21"/>
          <w:highlight w:val="none"/>
        </w:rPr>
      </w:pPr>
      <w:r>
        <w:rPr>
          <w:rFonts w:hint="eastAsia" w:ascii="宋体" w:hAnsi="宋体" w:cs="宋体"/>
          <w:b w:val="0"/>
          <w:color w:val="000000" w:themeColor="text1"/>
          <w:kern w:val="2"/>
          <w:sz w:val="21"/>
          <w:szCs w:val="21"/>
          <w:highlight w:val="none"/>
          <w14:textFill>
            <w14:solidFill>
              <w14:schemeClr w14:val="tx1"/>
            </w14:solidFill>
          </w14:textFill>
        </w:rPr>
        <w:t xml:space="preserve">佛山市顺德区疾病预防与控制中心  </w:t>
      </w:r>
      <w:r>
        <w:rPr>
          <w:rFonts w:hint="eastAsia" w:ascii="宋体" w:hAnsi="宋体" w:cs="宋体"/>
          <w:b w:val="0"/>
          <w:kern w:val="2"/>
          <w:sz w:val="21"/>
          <w:szCs w:val="21"/>
          <w:highlight w:val="none"/>
        </w:rPr>
        <w:t xml:space="preserve">        </w:t>
      </w:r>
      <w:r>
        <w:rPr>
          <w:rFonts w:ascii="宋体" w:hAnsi="宋体" w:cs="宋体"/>
          <w:b w:val="0"/>
          <w:kern w:val="2"/>
          <w:sz w:val="21"/>
          <w:szCs w:val="21"/>
          <w:highlight w:val="none"/>
        </w:rPr>
        <w:t xml:space="preserve">       </w:t>
      </w:r>
      <w:r>
        <w:rPr>
          <w:rFonts w:hint="eastAsia" w:ascii="宋体" w:hAnsi="宋体" w:cs="宋体"/>
          <w:b w:val="0"/>
          <w:kern w:val="2"/>
          <w:sz w:val="21"/>
          <w:szCs w:val="21"/>
          <w:highlight w:val="none"/>
        </w:rPr>
        <w:t xml:space="preserve"> （乙方）</w:t>
      </w:r>
    </w:p>
    <w:p>
      <w:pPr>
        <w:pStyle w:val="28"/>
        <w:rPr>
          <w:rFonts w:ascii="宋体" w:hAnsi="宋体" w:eastAsia="宋体" w:cs="仿宋"/>
          <w:sz w:val="21"/>
          <w:szCs w:val="21"/>
          <w:highlight w:val="none"/>
        </w:rPr>
      </w:pPr>
      <w:r>
        <w:rPr>
          <w:rFonts w:hint="eastAsia" w:ascii="宋体" w:hAnsi="宋体" w:cs="宋体"/>
          <w:szCs w:val="21"/>
          <w:highlight w:val="none"/>
        </w:rPr>
        <w:t xml:space="preserve">日期：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ì.">
    <w:altName w:val="宋体"/>
    <w:panose1 w:val="00000000000000000000"/>
    <w:charset w:val="86"/>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MS Song, , Beijing">
    <w:altName w:val="Times New Roman"/>
    <w:panose1 w:val="00000000000000000000"/>
    <w:charset w:val="00"/>
    <w:family w:val="moder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866"/>
      </w:tabs>
      <w:ind w:firstLine="480"/>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17"/>
                    </w:pP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9240"/>
        <w:tab w:val="clear" w:pos="8306"/>
      </w:tabs>
      <w:ind w:firstLine="180" w:firstLineChars="100"/>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174F51"/>
    <w:multiLevelType w:val="singleLevel"/>
    <w:tmpl w:val="85174F51"/>
    <w:lvl w:ilvl="0" w:tentative="0">
      <w:start w:val="1"/>
      <w:numFmt w:val="chineseCounting"/>
      <w:suff w:val="nothing"/>
      <w:lvlText w:val="%1、"/>
      <w:lvlJc w:val="left"/>
      <w:pPr>
        <w:ind w:left="0" w:firstLine="420"/>
      </w:pPr>
      <w:rPr>
        <w:rFonts w:hint="eastAsia"/>
        <w:lang w:val="en-US"/>
      </w:rPr>
    </w:lvl>
  </w:abstractNum>
  <w:abstractNum w:abstractNumId="1">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b w:val="0"/>
        <w:bCs w:val="0"/>
        <w:dstrike w:val="0"/>
      </w:rPr>
    </w:lvl>
    <w:lvl w:ilvl="2" w:tentative="0">
      <w:start w:val="1"/>
      <w:numFmt w:val="decimal"/>
      <w:lvlText w:val="%1.%2.%3"/>
      <w:lvlJc w:val="left"/>
      <w:pPr>
        <w:tabs>
          <w:tab w:val="left" w:pos="1703"/>
        </w:tabs>
        <w:ind w:left="1703" w:hanging="851"/>
      </w:pPr>
      <w:rPr>
        <w:rFonts w:hint="default" w:ascii="宋体" w:hAnsi="宋体" w:eastAsia="宋体"/>
        <w:b w:val="0"/>
        <w:bCs w:val="0"/>
        <w:color w:val="auto"/>
        <w:sz w:val="21"/>
        <w:szCs w:val="21"/>
      </w:rPr>
    </w:lvl>
    <w:lvl w:ilvl="3" w:tentative="0">
      <w:start w:val="1"/>
      <w:numFmt w:val="decimal"/>
      <w:pStyle w:val="39"/>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1BD155E9"/>
    <w:multiLevelType w:val="multilevel"/>
    <w:tmpl w:val="1BD155E9"/>
    <w:lvl w:ilvl="0" w:tentative="0">
      <w:start w:val="6"/>
      <w:numFmt w:val="decimal"/>
      <w:lvlText w:val="%1、"/>
      <w:lvlJc w:val="left"/>
      <w:pPr>
        <w:ind w:left="782" w:hanging="36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3">
    <w:nsid w:val="20E39AF0"/>
    <w:multiLevelType w:val="multilevel"/>
    <w:tmpl w:val="20E39AF0"/>
    <w:lvl w:ilvl="0" w:tentative="0">
      <w:start w:val="1"/>
      <w:numFmt w:val="decimal"/>
      <w:lvlText w:val="%1."/>
      <w:lvlJc w:val="left"/>
      <w:rPr>
        <w:rFonts w:hint="default" w:ascii="宋体" w:hAnsi="宋体" w:eastAsia="宋体" w:cs="宋体"/>
        <w:color w:val="000000"/>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295E2D51"/>
    <w:multiLevelType w:val="multilevel"/>
    <w:tmpl w:val="295E2D51"/>
    <w:lvl w:ilvl="0" w:tentative="0">
      <w:start w:val="1"/>
      <w:numFmt w:val="decimal"/>
      <w:lvlText w:val="%1."/>
      <w:lvlJc w:val="left"/>
      <w:pPr>
        <w:ind w:left="0" w:firstLine="0"/>
      </w:pPr>
      <w:rPr>
        <w:rFonts w:hint="default" w:ascii="Times New Roman" w:hAnsi="Times New Roman" w:cs="Times New Roman"/>
      </w:rPr>
    </w:lvl>
    <w:lvl w:ilvl="1" w:tentative="0">
      <w:start w:val="1"/>
      <w:numFmt w:val="chineseCountingThousand"/>
      <w:suff w:val="nothing"/>
      <w:lvlText w:val="(%2)"/>
      <w:lvlJc w:val="left"/>
      <w:pPr>
        <w:ind w:left="624" w:hanging="624"/>
      </w:pPr>
      <w:rPr>
        <w:rFonts w:hint="eastAsia" w:cs="Times New Roman"/>
        <w:sz w:val="21"/>
        <w:szCs w:val="21"/>
      </w:rPr>
    </w:lvl>
    <w:lvl w:ilvl="2" w:tentative="0">
      <w:start w:val="1"/>
      <w:numFmt w:val="decimal"/>
      <w:lvlText w:val="%1.%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5">
    <w:nsid w:val="2F0E7B2B"/>
    <w:multiLevelType w:val="multilevel"/>
    <w:tmpl w:val="2F0E7B2B"/>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6">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
      <w:lvlJc w:val="left"/>
      <w:pPr>
        <w:ind w:left="1271" w:hanging="42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40DA3D65"/>
    <w:multiLevelType w:val="multilevel"/>
    <w:tmpl w:val="40DA3D65"/>
    <w:lvl w:ilvl="0" w:tentative="0">
      <w:start w:val="1"/>
      <w:numFmt w:val="decimal"/>
      <w:lvlText w:val="%1."/>
      <w:lvlJc w:val="left"/>
      <w:rPr>
        <w:rFonts w:hint="default" w:ascii="宋体" w:hAnsi="宋体" w:eastAsia="宋体" w:cs="宋体"/>
        <w:color w:val="000000"/>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53DE3B51"/>
    <w:multiLevelType w:val="multilevel"/>
    <w:tmpl w:val="53DE3B51"/>
    <w:lvl w:ilvl="0" w:tentative="0">
      <w:start w:val="1"/>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613E4D6B"/>
    <w:multiLevelType w:val="multilevel"/>
    <w:tmpl w:val="613E4D6B"/>
    <w:lvl w:ilvl="0" w:tentative="0">
      <w:start w:val="1"/>
      <w:numFmt w:val="chineseCountingThousand"/>
      <w:suff w:val="nothing"/>
      <w:lvlText w:val="%1、"/>
      <w:lvlJc w:val="left"/>
      <w:pPr>
        <w:ind w:left="840" w:hanging="420"/>
      </w:pPr>
      <w:rPr>
        <w:rFonts w:hint="eastAsia"/>
      </w:rPr>
    </w:lvl>
    <w:lvl w:ilvl="1" w:tentative="0">
      <w:start w:val="1"/>
      <w:numFmt w:val="decimal"/>
      <w:lvlText w:val="（%2）"/>
      <w:lvlJc w:val="left"/>
      <w:pPr>
        <w:ind w:left="1785" w:hanging="945"/>
      </w:pPr>
      <w:rPr>
        <w:rFonts w:hint="default" w:cs="宋体"/>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681F4B97"/>
    <w:multiLevelType w:val="multilevel"/>
    <w:tmpl w:val="681F4B97"/>
    <w:lvl w:ilvl="0" w:tentative="0">
      <w:start w:val="1"/>
      <w:numFmt w:val="chineseCountingThousand"/>
      <w:suff w:val="nothing"/>
      <w:lvlText w:val="%1、"/>
      <w:lvlJc w:val="left"/>
      <w:pPr>
        <w:ind w:left="624" w:hanging="624"/>
      </w:pPr>
      <w:rPr>
        <w:rFonts w:hint="eastAsia" w:cs="Times New Roman"/>
        <w:b/>
        <w:bCs/>
      </w:rPr>
    </w:lvl>
    <w:lvl w:ilvl="1" w:tentative="0">
      <w:start w:val="1"/>
      <w:numFmt w:val="decimal"/>
      <w:lvlText w:val="%1.%2."/>
      <w:lvlJc w:val="left"/>
      <w:pPr>
        <w:ind w:left="567" w:hanging="567"/>
      </w:pPr>
      <w:rPr>
        <w:rFonts w:hint="default" w:ascii="Times New Roman" w:hAnsi="Times New Roman" w:cs="Times New Roman"/>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1">
    <w:nsid w:val="79BE7B52"/>
    <w:multiLevelType w:val="multilevel"/>
    <w:tmpl w:val="79BE7B52"/>
    <w:lvl w:ilvl="0" w:tentative="0">
      <w:start w:val="1"/>
      <w:numFmt w:val="decimal"/>
      <w:pStyle w:val="4"/>
      <w:lvlText w:val="%1."/>
      <w:lvlJc w:val="left"/>
      <w:pPr>
        <w:ind w:left="432" w:hanging="432"/>
      </w:pPr>
      <w:rPr>
        <w:rFonts w:hint="default"/>
      </w:rPr>
    </w:lvl>
    <w:lvl w:ilvl="1" w:tentative="0">
      <w:start w:val="1"/>
      <w:numFmt w:val="decimal"/>
      <w:pStyle w:val="5"/>
      <w:lvlText w:val="%1.%2."/>
      <w:lvlJc w:val="left"/>
      <w:pPr>
        <w:ind w:left="575" w:hanging="575"/>
      </w:pPr>
      <w:rPr>
        <w:rFonts w:hint="default"/>
      </w:rPr>
    </w:lvl>
    <w:lvl w:ilvl="2" w:tentative="0">
      <w:start w:val="1"/>
      <w:numFmt w:val="decimal"/>
      <w:pStyle w:val="6"/>
      <w:lvlText w:val="%1.%2.%3."/>
      <w:lvlJc w:val="left"/>
      <w:pPr>
        <w:ind w:left="720" w:hanging="720"/>
      </w:pPr>
      <w:rPr>
        <w:rFonts w:hint="default"/>
      </w:rPr>
    </w:lvl>
    <w:lvl w:ilvl="3" w:tentative="0">
      <w:start w:val="1"/>
      <w:numFmt w:val="decimal"/>
      <w:pStyle w:val="7"/>
      <w:lvlText w:val="%1.%2.%3.%4."/>
      <w:lvlJc w:val="left"/>
      <w:pPr>
        <w:ind w:left="864" w:hanging="864"/>
      </w:pPr>
      <w:rPr>
        <w:rFonts w:hint="default"/>
      </w:rPr>
    </w:lvl>
    <w:lvl w:ilvl="4" w:tentative="0">
      <w:start w:val="1"/>
      <w:numFmt w:val="decimal"/>
      <w:pStyle w:val="8"/>
      <w:lvlText w:val="%1.%2.%3.%4.%5."/>
      <w:lvlJc w:val="left"/>
      <w:pPr>
        <w:ind w:left="1008" w:hanging="1008"/>
      </w:pPr>
      <w:rPr>
        <w:rFonts w:hint="default"/>
      </w:rPr>
    </w:lvl>
    <w:lvl w:ilvl="5" w:tentative="0">
      <w:start w:val="1"/>
      <w:numFmt w:val="decimal"/>
      <w:pStyle w:val="9"/>
      <w:lvlText w:val="%1.%2.%3.%4.%5.%6."/>
      <w:lvlJc w:val="left"/>
      <w:pPr>
        <w:ind w:left="1151" w:hanging="1151"/>
      </w:pPr>
      <w:rPr>
        <w:rFonts w:hint="default"/>
      </w:rPr>
    </w:lvl>
    <w:lvl w:ilvl="6" w:tentative="0">
      <w:start w:val="1"/>
      <w:numFmt w:val="decimal"/>
      <w:pStyle w:val="10"/>
      <w:lvlText w:val="%1.%2.%3.%4.%5.%6.%7."/>
      <w:lvlJc w:val="left"/>
      <w:pPr>
        <w:ind w:left="1296" w:hanging="1296"/>
      </w:pPr>
      <w:rPr>
        <w:rFonts w:hint="default"/>
      </w:rPr>
    </w:lvl>
    <w:lvl w:ilvl="7" w:tentative="0">
      <w:start w:val="1"/>
      <w:numFmt w:val="decimal"/>
      <w:pStyle w:val="11"/>
      <w:lvlText w:val="%1.%2.%3.%4.%5.%6.%7.%8."/>
      <w:lvlJc w:val="left"/>
      <w:pPr>
        <w:ind w:left="1440" w:hanging="1440"/>
      </w:pPr>
      <w:rPr>
        <w:rFonts w:hint="default"/>
      </w:rPr>
    </w:lvl>
    <w:lvl w:ilvl="8" w:tentative="0">
      <w:start w:val="1"/>
      <w:numFmt w:val="decimal"/>
      <w:pStyle w:val="12"/>
      <w:lvlText w:val="%1.%2.%3.%4.%5.%6.%7.%8.%9."/>
      <w:lvlJc w:val="left"/>
      <w:pPr>
        <w:ind w:left="1583" w:hanging="1583"/>
      </w:pPr>
      <w:rPr>
        <w:rFonts w:hint="default"/>
      </w:rPr>
    </w:lvl>
  </w:abstractNum>
  <w:num w:numId="1">
    <w:abstractNumId w:val="11"/>
  </w:num>
  <w:num w:numId="2">
    <w:abstractNumId w:val="1"/>
  </w:num>
  <w:num w:numId="3">
    <w:abstractNumId w:val="9"/>
  </w:num>
  <w:num w:numId="4">
    <w:abstractNumId w:val="2"/>
  </w:num>
  <w:num w:numId="5">
    <w:abstractNumId w:val="6"/>
  </w:num>
  <w:num w:numId="6">
    <w:abstractNumId w:val="0"/>
  </w:num>
  <w:num w:numId="7">
    <w:abstractNumId w:val="7"/>
  </w:num>
  <w:num w:numId="8">
    <w:abstractNumId w:val="8"/>
  </w:num>
  <w:num w:numId="9">
    <w:abstractNumId w:val="5"/>
  </w:num>
  <w:num w:numId="10">
    <w:abstractNumId w:val="10"/>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Y4ODYyNGU2NTAzZTI3ZjcwMjhkNWM2NTgxNTcyMGQifQ=="/>
  </w:docVars>
  <w:rsids>
    <w:rsidRoot w:val="15E41223"/>
    <w:rsid w:val="00020AD8"/>
    <w:rsid w:val="00031C54"/>
    <w:rsid w:val="00035605"/>
    <w:rsid w:val="00052AB5"/>
    <w:rsid w:val="00060E7C"/>
    <w:rsid w:val="00062119"/>
    <w:rsid w:val="0007087C"/>
    <w:rsid w:val="00096D5E"/>
    <w:rsid w:val="000B35FC"/>
    <w:rsid w:val="000C0B2F"/>
    <w:rsid w:val="000D27CC"/>
    <w:rsid w:val="000D3063"/>
    <w:rsid w:val="000E1ED7"/>
    <w:rsid w:val="00104114"/>
    <w:rsid w:val="001066DB"/>
    <w:rsid w:val="0012716E"/>
    <w:rsid w:val="00130C4B"/>
    <w:rsid w:val="0015327F"/>
    <w:rsid w:val="001724CD"/>
    <w:rsid w:val="00173ABF"/>
    <w:rsid w:val="00174E51"/>
    <w:rsid w:val="0017611C"/>
    <w:rsid w:val="00195250"/>
    <w:rsid w:val="001B109F"/>
    <w:rsid w:val="001D6EEC"/>
    <w:rsid w:val="001F4FE1"/>
    <w:rsid w:val="001F7852"/>
    <w:rsid w:val="001F7EA8"/>
    <w:rsid w:val="00202AFA"/>
    <w:rsid w:val="00203396"/>
    <w:rsid w:val="002118A5"/>
    <w:rsid w:val="0022615D"/>
    <w:rsid w:val="00232B2C"/>
    <w:rsid w:val="002570D9"/>
    <w:rsid w:val="00267F51"/>
    <w:rsid w:val="00275D35"/>
    <w:rsid w:val="002837C5"/>
    <w:rsid w:val="00294536"/>
    <w:rsid w:val="0029533A"/>
    <w:rsid w:val="002A6AB9"/>
    <w:rsid w:val="002B2460"/>
    <w:rsid w:val="002C6F49"/>
    <w:rsid w:val="002C7C04"/>
    <w:rsid w:val="002D075D"/>
    <w:rsid w:val="002D21C5"/>
    <w:rsid w:val="002D4523"/>
    <w:rsid w:val="002F28E0"/>
    <w:rsid w:val="002F2D39"/>
    <w:rsid w:val="002F324A"/>
    <w:rsid w:val="00302FA8"/>
    <w:rsid w:val="00303B8B"/>
    <w:rsid w:val="00305297"/>
    <w:rsid w:val="00312732"/>
    <w:rsid w:val="00317690"/>
    <w:rsid w:val="0032496A"/>
    <w:rsid w:val="003329ED"/>
    <w:rsid w:val="003332FC"/>
    <w:rsid w:val="003420FF"/>
    <w:rsid w:val="0034282A"/>
    <w:rsid w:val="0034402D"/>
    <w:rsid w:val="00347A1D"/>
    <w:rsid w:val="00353D3B"/>
    <w:rsid w:val="00376A00"/>
    <w:rsid w:val="003A1E38"/>
    <w:rsid w:val="003A416B"/>
    <w:rsid w:val="003A4AFC"/>
    <w:rsid w:val="003A5147"/>
    <w:rsid w:val="003B2FCE"/>
    <w:rsid w:val="003B3B65"/>
    <w:rsid w:val="003D62C9"/>
    <w:rsid w:val="00406429"/>
    <w:rsid w:val="00407755"/>
    <w:rsid w:val="004230A8"/>
    <w:rsid w:val="0046485F"/>
    <w:rsid w:val="004771A5"/>
    <w:rsid w:val="00487F2B"/>
    <w:rsid w:val="004A4113"/>
    <w:rsid w:val="004A487C"/>
    <w:rsid w:val="004C3FC6"/>
    <w:rsid w:val="004C5C47"/>
    <w:rsid w:val="004C6513"/>
    <w:rsid w:val="004D3EF0"/>
    <w:rsid w:val="004E2009"/>
    <w:rsid w:val="004F2D5F"/>
    <w:rsid w:val="004F4BED"/>
    <w:rsid w:val="004F6DC6"/>
    <w:rsid w:val="00511FA2"/>
    <w:rsid w:val="00533045"/>
    <w:rsid w:val="00536254"/>
    <w:rsid w:val="00540FF1"/>
    <w:rsid w:val="005463D4"/>
    <w:rsid w:val="00546A2A"/>
    <w:rsid w:val="00552EEC"/>
    <w:rsid w:val="00566045"/>
    <w:rsid w:val="00575482"/>
    <w:rsid w:val="0057591F"/>
    <w:rsid w:val="005A43D7"/>
    <w:rsid w:val="005B10E0"/>
    <w:rsid w:val="005B4863"/>
    <w:rsid w:val="005B5C40"/>
    <w:rsid w:val="005C38DF"/>
    <w:rsid w:val="005C5E95"/>
    <w:rsid w:val="005C6761"/>
    <w:rsid w:val="005C69B2"/>
    <w:rsid w:val="005D3B5D"/>
    <w:rsid w:val="005E4326"/>
    <w:rsid w:val="005F2140"/>
    <w:rsid w:val="005F64A7"/>
    <w:rsid w:val="006045D7"/>
    <w:rsid w:val="00642A07"/>
    <w:rsid w:val="00646D27"/>
    <w:rsid w:val="00654260"/>
    <w:rsid w:val="006622E9"/>
    <w:rsid w:val="00671AC4"/>
    <w:rsid w:val="00677FFC"/>
    <w:rsid w:val="00683D83"/>
    <w:rsid w:val="006857A3"/>
    <w:rsid w:val="006B154C"/>
    <w:rsid w:val="00707EA6"/>
    <w:rsid w:val="00732DA8"/>
    <w:rsid w:val="00733C50"/>
    <w:rsid w:val="0076433A"/>
    <w:rsid w:val="0079793F"/>
    <w:rsid w:val="007B1357"/>
    <w:rsid w:val="007B4B7E"/>
    <w:rsid w:val="007B7663"/>
    <w:rsid w:val="007C618E"/>
    <w:rsid w:val="007D5D99"/>
    <w:rsid w:val="007F3777"/>
    <w:rsid w:val="007F5870"/>
    <w:rsid w:val="008007CA"/>
    <w:rsid w:val="00812273"/>
    <w:rsid w:val="00841BCA"/>
    <w:rsid w:val="00851346"/>
    <w:rsid w:val="00855969"/>
    <w:rsid w:val="008619A1"/>
    <w:rsid w:val="008621D8"/>
    <w:rsid w:val="0086711F"/>
    <w:rsid w:val="0087183D"/>
    <w:rsid w:val="008772CA"/>
    <w:rsid w:val="00880A7C"/>
    <w:rsid w:val="008B3042"/>
    <w:rsid w:val="008B4C4B"/>
    <w:rsid w:val="008D7D87"/>
    <w:rsid w:val="008E3E8B"/>
    <w:rsid w:val="00903268"/>
    <w:rsid w:val="0091320F"/>
    <w:rsid w:val="00917A88"/>
    <w:rsid w:val="00922A64"/>
    <w:rsid w:val="009401B7"/>
    <w:rsid w:val="009449AF"/>
    <w:rsid w:val="00946712"/>
    <w:rsid w:val="00952ADA"/>
    <w:rsid w:val="0098400B"/>
    <w:rsid w:val="009A4981"/>
    <w:rsid w:val="009A6C60"/>
    <w:rsid w:val="009B3984"/>
    <w:rsid w:val="009C35F8"/>
    <w:rsid w:val="009E223A"/>
    <w:rsid w:val="009E4416"/>
    <w:rsid w:val="009F32F0"/>
    <w:rsid w:val="009F3F69"/>
    <w:rsid w:val="00A1255F"/>
    <w:rsid w:val="00A17CD8"/>
    <w:rsid w:val="00A21838"/>
    <w:rsid w:val="00A21F31"/>
    <w:rsid w:val="00A22B56"/>
    <w:rsid w:val="00A260CC"/>
    <w:rsid w:val="00A54CFF"/>
    <w:rsid w:val="00A66C23"/>
    <w:rsid w:val="00A77D14"/>
    <w:rsid w:val="00A81717"/>
    <w:rsid w:val="00A83E8B"/>
    <w:rsid w:val="00A9092E"/>
    <w:rsid w:val="00A91DF1"/>
    <w:rsid w:val="00A95785"/>
    <w:rsid w:val="00AA348A"/>
    <w:rsid w:val="00AB0AA0"/>
    <w:rsid w:val="00AC2E5D"/>
    <w:rsid w:val="00AD6D17"/>
    <w:rsid w:val="00AF1557"/>
    <w:rsid w:val="00B35FB1"/>
    <w:rsid w:val="00B56517"/>
    <w:rsid w:val="00B94E14"/>
    <w:rsid w:val="00B95949"/>
    <w:rsid w:val="00BA219A"/>
    <w:rsid w:val="00BA74B0"/>
    <w:rsid w:val="00BC2501"/>
    <w:rsid w:val="00BC5137"/>
    <w:rsid w:val="00BD0473"/>
    <w:rsid w:val="00BD051A"/>
    <w:rsid w:val="00BD0CDA"/>
    <w:rsid w:val="00BF65B9"/>
    <w:rsid w:val="00BF7088"/>
    <w:rsid w:val="00C021E6"/>
    <w:rsid w:val="00C13B0B"/>
    <w:rsid w:val="00C17CBC"/>
    <w:rsid w:val="00C23249"/>
    <w:rsid w:val="00C33589"/>
    <w:rsid w:val="00C33BCB"/>
    <w:rsid w:val="00C36247"/>
    <w:rsid w:val="00C426BE"/>
    <w:rsid w:val="00C45AFD"/>
    <w:rsid w:val="00C46882"/>
    <w:rsid w:val="00C5666F"/>
    <w:rsid w:val="00C60899"/>
    <w:rsid w:val="00C81085"/>
    <w:rsid w:val="00C82F4F"/>
    <w:rsid w:val="00C87352"/>
    <w:rsid w:val="00C91274"/>
    <w:rsid w:val="00C964A3"/>
    <w:rsid w:val="00CA730E"/>
    <w:rsid w:val="00CA7365"/>
    <w:rsid w:val="00CB517A"/>
    <w:rsid w:val="00CC65A7"/>
    <w:rsid w:val="00CD50D6"/>
    <w:rsid w:val="00CE2194"/>
    <w:rsid w:val="00CF155F"/>
    <w:rsid w:val="00D32056"/>
    <w:rsid w:val="00D4045A"/>
    <w:rsid w:val="00D641A2"/>
    <w:rsid w:val="00D70C11"/>
    <w:rsid w:val="00D729EA"/>
    <w:rsid w:val="00D742C2"/>
    <w:rsid w:val="00D82797"/>
    <w:rsid w:val="00DA0220"/>
    <w:rsid w:val="00DB3398"/>
    <w:rsid w:val="00DB343E"/>
    <w:rsid w:val="00DB7B8A"/>
    <w:rsid w:val="00DE5B2A"/>
    <w:rsid w:val="00DE6432"/>
    <w:rsid w:val="00DF3A4A"/>
    <w:rsid w:val="00E03394"/>
    <w:rsid w:val="00E30B2D"/>
    <w:rsid w:val="00E33C29"/>
    <w:rsid w:val="00E37A1F"/>
    <w:rsid w:val="00E40EF5"/>
    <w:rsid w:val="00E710FA"/>
    <w:rsid w:val="00E760D7"/>
    <w:rsid w:val="00E83D69"/>
    <w:rsid w:val="00E96EDB"/>
    <w:rsid w:val="00EA0B12"/>
    <w:rsid w:val="00EA2AA6"/>
    <w:rsid w:val="00EE1607"/>
    <w:rsid w:val="00EE253F"/>
    <w:rsid w:val="00F20215"/>
    <w:rsid w:val="00F209FD"/>
    <w:rsid w:val="00F26A20"/>
    <w:rsid w:val="00F41D4D"/>
    <w:rsid w:val="00F50F31"/>
    <w:rsid w:val="00F52D93"/>
    <w:rsid w:val="00F649C7"/>
    <w:rsid w:val="00F67A1B"/>
    <w:rsid w:val="00F75819"/>
    <w:rsid w:val="00F86CA2"/>
    <w:rsid w:val="00FB32A8"/>
    <w:rsid w:val="00FC69BF"/>
    <w:rsid w:val="00FD6477"/>
    <w:rsid w:val="00FE0E8B"/>
    <w:rsid w:val="00FF2150"/>
    <w:rsid w:val="00FF3EA8"/>
    <w:rsid w:val="00FF7FB4"/>
    <w:rsid w:val="01431251"/>
    <w:rsid w:val="0220300D"/>
    <w:rsid w:val="0237734E"/>
    <w:rsid w:val="05AA2792"/>
    <w:rsid w:val="067C3ABB"/>
    <w:rsid w:val="06DC7DF2"/>
    <w:rsid w:val="08A2613E"/>
    <w:rsid w:val="0AB51186"/>
    <w:rsid w:val="0ADC3F04"/>
    <w:rsid w:val="0C7E6903"/>
    <w:rsid w:val="0D0417A1"/>
    <w:rsid w:val="0DD57178"/>
    <w:rsid w:val="0DF83317"/>
    <w:rsid w:val="0EEB1A9A"/>
    <w:rsid w:val="0F7D1699"/>
    <w:rsid w:val="0F8F3F26"/>
    <w:rsid w:val="10C646FE"/>
    <w:rsid w:val="11B6117D"/>
    <w:rsid w:val="11DE0B03"/>
    <w:rsid w:val="15183C5A"/>
    <w:rsid w:val="15381244"/>
    <w:rsid w:val="15DC5E96"/>
    <w:rsid w:val="15E41223"/>
    <w:rsid w:val="18DA46AC"/>
    <w:rsid w:val="18E62ED0"/>
    <w:rsid w:val="1B182DC8"/>
    <w:rsid w:val="1C5008C3"/>
    <w:rsid w:val="1C6B50C0"/>
    <w:rsid w:val="1C711B13"/>
    <w:rsid w:val="1CB07383"/>
    <w:rsid w:val="1CB21D54"/>
    <w:rsid w:val="1CDC4F65"/>
    <w:rsid w:val="1DE313FA"/>
    <w:rsid w:val="1F45416C"/>
    <w:rsid w:val="1F4D594D"/>
    <w:rsid w:val="203121D5"/>
    <w:rsid w:val="2221008D"/>
    <w:rsid w:val="22524B9E"/>
    <w:rsid w:val="22707230"/>
    <w:rsid w:val="23021C5F"/>
    <w:rsid w:val="232A18AE"/>
    <w:rsid w:val="24156586"/>
    <w:rsid w:val="244B3A34"/>
    <w:rsid w:val="24D34B20"/>
    <w:rsid w:val="286D7F92"/>
    <w:rsid w:val="28B11D2A"/>
    <w:rsid w:val="293E17F0"/>
    <w:rsid w:val="29DB7EDD"/>
    <w:rsid w:val="29E42830"/>
    <w:rsid w:val="2A200316"/>
    <w:rsid w:val="2AA94B40"/>
    <w:rsid w:val="2B01686E"/>
    <w:rsid w:val="2BC2181A"/>
    <w:rsid w:val="2C617FDA"/>
    <w:rsid w:val="2C8C4BC6"/>
    <w:rsid w:val="2C8D0101"/>
    <w:rsid w:val="2D1175A4"/>
    <w:rsid w:val="2D4E1CA3"/>
    <w:rsid w:val="2D6B39F9"/>
    <w:rsid w:val="2DB10647"/>
    <w:rsid w:val="2E4A2DEC"/>
    <w:rsid w:val="2E9B051D"/>
    <w:rsid w:val="2FD34A0D"/>
    <w:rsid w:val="330B7D6A"/>
    <w:rsid w:val="335F6224"/>
    <w:rsid w:val="349824ED"/>
    <w:rsid w:val="364655CA"/>
    <w:rsid w:val="374371A8"/>
    <w:rsid w:val="37A3724B"/>
    <w:rsid w:val="37D72870"/>
    <w:rsid w:val="384071FA"/>
    <w:rsid w:val="38957F19"/>
    <w:rsid w:val="38AC700C"/>
    <w:rsid w:val="39141CB8"/>
    <w:rsid w:val="39C650A3"/>
    <w:rsid w:val="3ABE18F0"/>
    <w:rsid w:val="3CCF1095"/>
    <w:rsid w:val="3E0F692E"/>
    <w:rsid w:val="3F6F7C19"/>
    <w:rsid w:val="410522F4"/>
    <w:rsid w:val="431B3FAE"/>
    <w:rsid w:val="43667190"/>
    <w:rsid w:val="43BC04B4"/>
    <w:rsid w:val="45CF7326"/>
    <w:rsid w:val="461A2CE7"/>
    <w:rsid w:val="465922CF"/>
    <w:rsid w:val="466219CB"/>
    <w:rsid w:val="467C37F8"/>
    <w:rsid w:val="46B71178"/>
    <w:rsid w:val="476A2E6B"/>
    <w:rsid w:val="4880045B"/>
    <w:rsid w:val="4A7A6964"/>
    <w:rsid w:val="4A823197"/>
    <w:rsid w:val="4D2F3630"/>
    <w:rsid w:val="4DFD38B0"/>
    <w:rsid w:val="4F1E0F13"/>
    <w:rsid w:val="4FC15A6D"/>
    <w:rsid w:val="50116164"/>
    <w:rsid w:val="50A72C86"/>
    <w:rsid w:val="50C026B9"/>
    <w:rsid w:val="511C57F8"/>
    <w:rsid w:val="52B30DD9"/>
    <w:rsid w:val="53320F6F"/>
    <w:rsid w:val="5422582D"/>
    <w:rsid w:val="54603E60"/>
    <w:rsid w:val="54C81701"/>
    <w:rsid w:val="563F064B"/>
    <w:rsid w:val="56440581"/>
    <w:rsid w:val="571538AD"/>
    <w:rsid w:val="58116E67"/>
    <w:rsid w:val="5A2E58AA"/>
    <w:rsid w:val="5B1A66F9"/>
    <w:rsid w:val="5C565F70"/>
    <w:rsid w:val="5CC0644B"/>
    <w:rsid w:val="5DB46AEB"/>
    <w:rsid w:val="5E6B621C"/>
    <w:rsid w:val="5ED37C84"/>
    <w:rsid w:val="604E3D51"/>
    <w:rsid w:val="620E1CC0"/>
    <w:rsid w:val="6225341D"/>
    <w:rsid w:val="62612B91"/>
    <w:rsid w:val="62A750F4"/>
    <w:rsid w:val="62DD781C"/>
    <w:rsid w:val="636F1AAE"/>
    <w:rsid w:val="644B4AAD"/>
    <w:rsid w:val="65976E66"/>
    <w:rsid w:val="66D71989"/>
    <w:rsid w:val="68F21ACE"/>
    <w:rsid w:val="69AD0B0B"/>
    <w:rsid w:val="6A1E5148"/>
    <w:rsid w:val="6A736CD6"/>
    <w:rsid w:val="6A9276EA"/>
    <w:rsid w:val="6B867CAC"/>
    <w:rsid w:val="6E944201"/>
    <w:rsid w:val="70AB4262"/>
    <w:rsid w:val="714162F1"/>
    <w:rsid w:val="721A5C68"/>
    <w:rsid w:val="733C6F68"/>
    <w:rsid w:val="74481B64"/>
    <w:rsid w:val="754002C8"/>
    <w:rsid w:val="76B36746"/>
    <w:rsid w:val="76E05574"/>
    <w:rsid w:val="77B06FA2"/>
    <w:rsid w:val="77E9388A"/>
    <w:rsid w:val="77EE66EA"/>
    <w:rsid w:val="78BA11C1"/>
    <w:rsid w:val="78CE6340"/>
    <w:rsid w:val="790714B4"/>
    <w:rsid w:val="794702B2"/>
    <w:rsid w:val="79513E93"/>
    <w:rsid w:val="7961312E"/>
    <w:rsid w:val="7B7E62B0"/>
    <w:rsid w:val="7C7C5954"/>
    <w:rsid w:val="7DAA5562"/>
    <w:rsid w:val="7DEA118D"/>
    <w:rsid w:val="7E30697A"/>
    <w:rsid w:val="7F122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0"/>
    <w:pPr>
      <w:keepNext/>
      <w:keepLines/>
      <w:numPr>
        <w:ilvl w:val="0"/>
        <w:numId w:val="1"/>
      </w:numPr>
      <w:spacing w:before="340" w:after="330" w:line="576" w:lineRule="auto"/>
      <w:outlineLvl w:val="0"/>
    </w:pPr>
    <w:rPr>
      <w:b/>
      <w:kern w:val="44"/>
      <w:sz w:val="44"/>
    </w:rPr>
  </w:style>
  <w:style w:type="paragraph" w:styleId="5">
    <w:name w:val="heading 2"/>
    <w:basedOn w:val="1"/>
    <w:next w:val="1"/>
    <w:link w:val="29"/>
    <w:unhideWhenUsed/>
    <w:qFormat/>
    <w:uiPriority w:val="0"/>
    <w:pPr>
      <w:keepNext/>
      <w:keepLines/>
      <w:numPr>
        <w:ilvl w:val="1"/>
        <w:numId w:val="1"/>
      </w:numPr>
      <w:spacing w:before="100" w:beforeLines="100" w:line="360" w:lineRule="auto"/>
      <w:outlineLvl w:val="1"/>
    </w:pPr>
    <w:rPr>
      <w:rFonts w:ascii="等线 Light" w:hAnsi="等线 Light"/>
      <w:b/>
      <w:bCs/>
      <w:sz w:val="30"/>
      <w:szCs w:val="32"/>
    </w:rPr>
  </w:style>
  <w:style w:type="paragraph" w:styleId="6">
    <w:name w:val="heading 3"/>
    <w:basedOn w:val="1"/>
    <w:next w:val="1"/>
    <w:unhideWhenUsed/>
    <w:qFormat/>
    <w:uiPriority w:val="0"/>
    <w:pPr>
      <w:keepNext/>
      <w:keepLines/>
      <w:numPr>
        <w:ilvl w:val="2"/>
        <w:numId w:val="1"/>
      </w:numPr>
      <w:spacing w:before="260" w:after="260" w:line="413" w:lineRule="auto"/>
      <w:outlineLvl w:val="2"/>
    </w:pPr>
    <w:rPr>
      <w:b/>
      <w:sz w:val="28"/>
    </w:rPr>
  </w:style>
  <w:style w:type="paragraph" w:styleId="7">
    <w:name w:val="heading 4"/>
    <w:basedOn w:val="1"/>
    <w:next w:val="1"/>
    <w:unhideWhenUsed/>
    <w:qFormat/>
    <w:uiPriority w:val="0"/>
    <w:pPr>
      <w:keepNext/>
      <w:keepLines/>
      <w:numPr>
        <w:ilvl w:val="3"/>
        <w:numId w:val="1"/>
      </w:numPr>
      <w:spacing w:before="280" w:after="290" w:line="372" w:lineRule="auto"/>
      <w:outlineLvl w:val="3"/>
    </w:pPr>
    <w:rPr>
      <w:rFonts w:ascii="Arial" w:hAnsi="Arial" w:eastAsia="黑体"/>
      <w:b/>
      <w:sz w:val="28"/>
    </w:rPr>
  </w:style>
  <w:style w:type="paragraph" w:styleId="8">
    <w:name w:val="heading 5"/>
    <w:basedOn w:val="1"/>
    <w:next w:val="1"/>
    <w:unhideWhenUsed/>
    <w:qFormat/>
    <w:uiPriority w:val="0"/>
    <w:pPr>
      <w:keepNext/>
      <w:keepLines/>
      <w:numPr>
        <w:ilvl w:val="4"/>
        <w:numId w:val="1"/>
      </w:numPr>
      <w:spacing w:before="280" w:after="290" w:line="372" w:lineRule="auto"/>
      <w:outlineLvl w:val="4"/>
    </w:pPr>
    <w:rPr>
      <w:b/>
      <w:sz w:val="28"/>
    </w:rPr>
  </w:style>
  <w:style w:type="paragraph" w:styleId="9">
    <w:name w:val="heading 6"/>
    <w:basedOn w:val="1"/>
    <w:next w:val="1"/>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10">
    <w:name w:val="heading 7"/>
    <w:basedOn w:val="1"/>
    <w:next w:val="1"/>
    <w:unhideWhenUsed/>
    <w:qFormat/>
    <w:uiPriority w:val="0"/>
    <w:pPr>
      <w:keepNext/>
      <w:keepLines/>
      <w:numPr>
        <w:ilvl w:val="6"/>
        <w:numId w:val="1"/>
      </w:numPr>
      <w:spacing w:before="240" w:after="64" w:line="317" w:lineRule="auto"/>
      <w:outlineLvl w:val="6"/>
    </w:pPr>
    <w:rPr>
      <w:b/>
      <w:sz w:val="24"/>
    </w:rPr>
  </w:style>
  <w:style w:type="paragraph" w:styleId="11">
    <w:name w:val="heading 8"/>
    <w:basedOn w:val="1"/>
    <w:next w:val="1"/>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2">
    <w:name w:val="heading 9"/>
    <w:basedOn w:val="1"/>
    <w:next w:val="1"/>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adjustRightInd w:val="0"/>
      <w:spacing w:after="120" w:line="360" w:lineRule="atLeast"/>
      <w:textAlignment w:val="baseline"/>
    </w:pPr>
    <w:rPr>
      <w:kern w:val="0"/>
      <w:sz w:val="20"/>
      <w:szCs w:val="24"/>
    </w:rPr>
  </w:style>
  <w:style w:type="paragraph" w:styleId="3">
    <w:name w:val="Title"/>
    <w:basedOn w:val="1"/>
    <w:next w:val="1"/>
    <w:link w:val="44"/>
    <w:qFormat/>
    <w:uiPriority w:val="0"/>
    <w:pPr>
      <w:spacing w:before="240" w:after="60"/>
      <w:jc w:val="center"/>
      <w:outlineLvl w:val="0"/>
    </w:pPr>
    <w:rPr>
      <w:rFonts w:asciiTheme="majorHAnsi" w:hAnsiTheme="majorHAnsi" w:cstheme="majorBidi"/>
      <w:b/>
      <w:bCs/>
      <w:sz w:val="32"/>
      <w:szCs w:val="32"/>
    </w:rPr>
  </w:style>
  <w:style w:type="paragraph" w:styleId="13">
    <w:name w:val="Normal Indent"/>
    <w:basedOn w:val="1"/>
    <w:qFormat/>
    <w:uiPriority w:val="0"/>
    <w:pPr>
      <w:widowControl/>
      <w:spacing w:line="360" w:lineRule="auto"/>
      <w:ind w:firstLine="420" w:firstLineChars="200"/>
    </w:pPr>
    <w:rPr>
      <w:sz w:val="20"/>
      <w:szCs w:val="24"/>
    </w:rPr>
  </w:style>
  <w:style w:type="paragraph" w:styleId="14">
    <w:name w:val="annotation text"/>
    <w:basedOn w:val="1"/>
    <w:link w:val="33"/>
    <w:qFormat/>
    <w:uiPriority w:val="0"/>
    <w:pPr>
      <w:jc w:val="left"/>
    </w:pPr>
    <w:rPr>
      <w:rFonts w:ascii="Calibri" w:hAnsi="Calibri" w:cs="Calibri"/>
      <w:szCs w:val="21"/>
    </w:rPr>
  </w:style>
  <w:style w:type="paragraph" w:styleId="15">
    <w:name w:val="Plain Text"/>
    <w:basedOn w:val="1"/>
    <w:link w:val="34"/>
    <w:qFormat/>
    <w:uiPriority w:val="0"/>
    <w:rPr>
      <w:rFonts w:ascii="宋体" w:hAnsi="Courier New" w:cs="宋体"/>
      <w:kern w:val="0"/>
      <w:szCs w:val="21"/>
    </w:rPr>
  </w:style>
  <w:style w:type="paragraph" w:styleId="16">
    <w:name w:val="Balloon Text"/>
    <w:basedOn w:val="1"/>
    <w:link w:val="43"/>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qFormat/>
    <w:uiPriority w:val="0"/>
  </w:style>
  <w:style w:type="paragraph" w:styleId="20">
    <w:name w:val="toc 2"/>
    <w:basedOn w:val="1"/>
    <w:next w:val="1"/>
    <w:qFormat/>
    <w:uiPriority w:val="0"/>
    <w:pPr>
      <w:ind w:left="420" w:leftChars="200"/>
    </w:pPr>
  </w:style>
  <w:style w:type="paragraph" w:styleId="2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2">
    <w:name w:val="annotation subject"/>
    <w:basedOn w:val="14"/>
    <w:next w:val="14"/>
    <w:link w:val="38"/>
    <w:qFormat/>
    <w:uiPriority w:val="0"/>
    <w:rPr>
      <w:rFonts w:ascii="Times New Roman" w:hAnsi="Times New Roman" w:cs="Times New Roman"/>
      <w:b/>
      <w:bCs/>
      <w:szCs w:val="22"/>
    </w:rPr>
  </w:style>
  <w:style w:type="table" w:styleId="24">
    <w:name w:val="Table Grid"/>
    <w:basedOn w:val="23"/>
    <w:unhideWhenUsed/>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Hyperlink"/>
    <w:basedOn w:val="25"/>
    <w:qFormat/>
    <w:uiPriority w:val="0"/>
    <w:rPr>
      <w:color w:val="0000FF"/>
      <w:u w:val="single"/>
    </w:rPr>
  </w:style>
  <w:style w:type="character" w:styleId="27">
    <w:name w:val="annotation reference"/>
    <w:basedOn w:val="25"/>
    <w:qFormat/>
    <w:uiPriority w:val="0"/>
    <w:rPr>
      <w:sz w:val="21"/>
      <w:szCs w:val="21"/>
    </w:rPr>
  </w:style>
  <w:style w:type="paragraph" w:customStyle="1" w:styleId="28">
    <w:name w:val="Default"/>
    <w:qFormat/>
    <w:uiPriority w:val="99"/>
    <w:pPr>
      <w:widowControl w:val="0"/>
      <w:autoSpaceDE w:val="0"/>
      <w:autoSpaceDN w:val="0"/>
      <w:adjustRightInd w:val="0"/>
    </w:pPr>
    <w:rPr>
      <w:rFonts w:ascii="..ì." w:hAnsi="Times New Roman" w:eastAsia="..ì." w:cs="..ì."/>
      <w:color w:val="000000"/>
      <w:sz w:val="24"/>
      <w:szCs w:val="24"/>
      <w:lang w:val="en-US" w:eastAsia="zh-CN" w:bidi="ar-SA"/>
    </w:rPr>
  </w:style>
  <w:style w:type="character" w:customStyle="1" w:styleId="29">
    <w:name w:val="标题 2 字符"/>
    <w:link w:val="5"/>
    <w:qFormat/>
    <w:uiPriority w:val="9"/>
    <w:rPr>
      <w:rFonts w:ascii="等线 Light" w:hAnsi="等线 Light" w:eastAsia="宋体" w:cs="Times New Roman"/>
      <w:b/>
      <w:bCs/>
      <w:sz w:val="30"/>
      <w:szCs w:val="32"/>
    </w:rPr>
  </w:style>
  <w:style w:type="paragraph" w:customStyle="1" w:styleId="30">
    <w:name w:val="my正文"/>
    <w:basedOn w:val="1"/>
    <w:qFormat/>
    <w:uiPriority w:val="0"/>
    <w:pPr>
      <w:ind w:firstLine="480"/>
    </w:pPr>
    <w:rPr>
      <w:szCs w:val="24"/>
    </w:rPr>
  </w:style>
  <w:style w:type="paragraph" w:customStyle="1" w:styleId="31">
    <w:name w:val="WPSOffice手动目录 1"/>
    <w:qFormat/>
    <w:uiPriority w:val="0"/>
    <w:rPr>
      <w:rFonts w:ascii="Times New Roman" w:hAnsi="Times New Roman" w:eastAsia="宋体" w:cs="Times New Roman"/>
      <w:lang w:val="en-US" w:eastAsia="zh-CN" w:bidi="ar-SA"/>
    </w:rPr>
  </w:style>
  <w:style w:type="paragraph" w:customStyle="1" w:styleId="32">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3">
    <w:name w:val="批注文字 字符"/>
    <w:basedOn w:val="25"/>
    <w:link w:val="14"/>
    <w:qFormat/>
    <w:uiPriority w:val="0"/>
    <w:rPr>
      <w:rFonts w:ascii="Calibri" w:hAnsi="Calibri" w:cs="Calibri"/>
      <w:kern w:val="2"/>
      <w:sz w:val="21"/>
      <w:szCs w:val="21"/>
    </w:rPr>
  </w:style>
  <w:style w:type="character" w:customStyle="1" w:styleId="34">
    <w:name w:val="纯文本 字符"/>
    <w:basedOn w:val="25"/>
    <w:link w:val="15"/>
    <w:qFormat/>
    <w:uiPriority w:val="0"/>
    <w:rPr>
      <w:rFonts w:ascii="宋体" w:hAnsi="Courier New" w:cs="宋体"/>
      <w:sz w:val="21"/>
      <w:szCs w:val="21"/>
    </w:rPr>
  </w:style>
  <w:style w:type="paragraph" w:customStyle="1" w:styleId="35">
    <w:name w:val="图"/>
    <w:basedOn w:val="1"/>
    <w:qFormat/>
    <w:uiPriority w:val="99"/>
    <w:pPr>
      <w:keepNext/>
      <w:adjustRightInd w:val="0"/>
      <w:spacing w:before="60" w:after="60" w:line="300" w:lineRule="auto"/>
      <w:jc w:val="center"/>
      <w:textAlignment w:val="center"/>
    </w:pPr>
    <w:rPr>
      <w:spacing w:val="20"/>
      <w:kern w:val="0"/>
      <w:sz w:val="24"/>
      <w:szCs w:val="24"/>
    </w:rPr>
  </w:style>
  <w:style w:type="paragraph" w:customStyle="1" w:styleId="36">
    <w:name w:val="列表段落2"/>
    <w:basedOn w:val="1"/>
    <w:qFormat/>
    <w:uiPriority w:val="34"/>
    <w:pPr>
      <w:ind w:firstLine="420" w:firstLineChars="200"/>
    </w:pPr>
    <w:rPr>
      <w:rFonts w:ascii="Calibri" w:hAnsi="Calibri" w:cs="Calibri"/>
      <w:szCs w:val="21"/>
    </w:rPr>
  </w:style>
  <w:style w:type="paragraph" w:customStyle="1" w:styleId="37">
    <w:name w:val="列出段落1"/>
    <w:basedOn w:val="1"/>
    <w:qFormat/>
    <w:uiPriority w:val="34"/>
    <w:pPr>
      <w:ind w:firstLine="420" w:firstLineChars="200"/>
    </w:pPr>
    <w:rPr>
      <w:rFonts w:ascii="Calibri" w:hAnsi="Calibri" w:cs="Calibri"/>
      <w:szCs w:val="21"/>
    </w:rPr>
  </w:style>
  <w:style w:type="character" w:customStyle="1" w:styleId="38">
    <w:name w:val="批注主题 字符"/>
    <w:basedOn w:val="33"/>
    <w:link w:val="22"/>
    <w:qFormat/>
    <w:uiPriority w:val="0"/>
    <w:rPr>
      <w:rFonts w:ascii="Calibri" w:hAnsi="Calibri" w:cs="Calibri"/>
      <w:b/>
      <w:bCs/>
      <w:kern w:val="2"/>
      <w:sz w:val="21"/>
      <w:szCs w:val="22"/>
    </w:rPr>
  </w:style>
  <w:style w:type="paragraph" w:customStyle="1" w:styleId="39">
    <w:name w:val="样式4"/>
    <w:basedOn w:val="1"/>
    <w:qFormat/>
    <w:uiPriority w:val="99"/>
    <w:pPr>
      <w:numPr>
        <w:ilvl w:val="3"/>
        <w:numId w:val="2"/>
      </w:numPr>
      <w:tabs>
        <w:tab w:val="left" w:pos="425"/>
        <w:tab w:val="left" w:pos="1984"/>
      </w:tabs>
    </w:pPr>
    <w:rPr>
      <w:szCs w:val="21"/>
    </w:rPr>
  </w:style>
  <w:style w:type="paragraph" w:customStyle="1" w:styleId="40">
    <w:name w:val="列表段落3"/>
    <w:basedOn w:val="1"/>
    <w:qFormat/>
    <w:uiPriority w:val="34"/>
    <w:pPr>
      <w:ind w:firstLine="420" w:firstLineChars="200"/>
    </w:pPr>
    <w:rPr>
      <w:rFonts w:asciiTheme="minorHAnsi" w:hAnsiTheme="minorHAnsi" w:eastAsiaTheme="minorEastAsia" w:cstheme="minorBidi"/>
    </w:rPr>
  </w:style>
  <w:style w:type="paragraph" w:customStyle="1" w:styleId="41">
    <w:name w:val="_Style 37"/>
    <w:basedOn w:val="1"/>
    <w:next w:val="1"/>
    <w:qFormat/>
    <w:uiPriority w:val="0"/>
    <w:pPr>
      <w:pBdr>
        <w:bottom w:val="single" w:color="auto" w:sz="6" w:space="1"/>
      </w:pBdr>
      <w:jc w:val="center"/>
    </w:pPr>
    <w:rPr>
      <w:rFonts w:ascii="Arial"/>
      <w:vanish/>
      <w:sz w:val="16"/>
    </w:rPr>
  </w:style>
  <w:style w:type="paragraph" w:customStyle="1" w:styleId="42">
    <w:name w:val="_Style 38"/>
    <w:basedOn w:val="1"/>
    <w:next w:val="1"/>
    <w:qFormat/>
    <w:uiPriority w:val="0"/>
    <w:pPr>
      <w:pBdr>
        <w:top w:val="single" w:color="auto" w:sz="6" w:space="1"/>
      </w:pBdr>
      <w:jc w:val="center"/>
    </w:pPr>
    <w:rPr>
      <w:rFonts w:ascii="Arial"/>
      <w:vanish/>
      <w:sz w:val="16"/>
    </w:rPr>
  </w:style>
  <w:style w:type="character" w:customStyle="1" w:styleId="43">
    <w:name w:val="批注框文本 字符"/>
    <w:basedOn w:val="25"/>
    <w:link w:val="16"/>
    <w:qFormat/>
    <w:uiPriority w:val="0"/>
    <w:rPr>
      <w:kern w:val="2"/>
      <w:sz w:val="18"/>
      <w:szCs w:val="18"/>
    </w:rPr>
  </w:style>
  <w:style w:type="character" w:customStyle="1" w:styleId="44">
    <w:name w:val="标题 字符"/>
    <w:basedOn w:val="25"/>
    <w:link w:val="3"/>
    <w:qFormat/>
    <w:uiPriority w:val="0"/>
    <w:rPr>
      <w:rFonts w:asciiTheme="majorHAnsi" w:hAnsiTheme="majorHAnsi" w:cstheme="majorBidi"/>
      <w:b/>
      <w:bCs/>
      <w:kern w:val="2"/>
      <w:sz w:val="32"/>
      <w:szCs w:val="32"/>
    </w:rPr>
  </w:style>
  <w:style w:type="paragraph" w:customStyle="1" w:styleId="45">
    <w:name w:val="TableNormal"/>
    <w:basedOn w:val="1"/>
    <w:qFormat/>
    <w:uiPriority w:val="0"/>
    <w:pPr>
      <w:widowControl/>
      <w:spacing w:before="40" w:after="40" w:line="264" w:lineRule="auto"/>
      <w:jc w:val="left"/>
    </w:pPr>
    <w:rPr>
      <w:rFonts w:ascii="Arial" w:hAnsi="Arial" w:eastAsia="等线" w:cs="宋体"/>
      <w:kern w:val="0"/>
      <w:szCs w:val="20"/>
    </w:rPr>
  </w:style>
  <w:style w:type="paragraph" w:customStyle="1" w:styleId="46">
    <w:name w:val="首行缩进:  0.85 厘米"/>
    <w:basedOn w:val="1"/>
    <w:qFormat/>
    <w:uiPriority w:val="0"/>
    <w:pPr>
      <w:widowControl/>
      <w:spacing w:after="100" w:line="360" w:lineRule="auto"/>
      <w:ind w:firstLine="482"/>
      <w:jc w:val="left"/>
    </w:pPr>
    <w:rPr>
      <w:rFonts w:ascii="等线" w:hAnsi="等线" w:cs="宋体"/>
      <w:sz w:val="24"/>
      <w:lang w:eastAsia="en-US" w:bidi="en-US"/>
    </w:rPr>
  </w:style>
  <w:style w:type="paragraph" w:styleId="47">
    <w:name w:val="List Paragraph"/>
    <w:basedOn w:val="1"/>
    <w:link w:val="48"/>
    <w:unhideWhenUsed/>
    <w:qFormat/>
    <w:uiPriority w:val="34"/>
    <w:pPr>
      <w:ind w:firstLine="420" w:firstLineChars="200"/>
    </w:pPr>
  </w:style>
  <w:style w:type="character" w:customStyle="1" w:styleId="48">
    <w:name w:val="列出段落 字符"/>
    <w:link w:val="47"/>
    <w:qFormat/>
    <w:uiPriority w:val="34"/>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23</Pages>
  <Words>12808</Words>
  <Characters>13477</Characters>
  <Lines>105</Lines>
  <Paragraphs>29</Paragraphs>
  <TotalTime>12</TotalTime>
  <ScaleCrop>false</ScaleCrop>
  <LinksUpToDate>false</LinksUpToDate>
  <CharactersWithSpaces>14169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2024-06-26T07:32:00Z</dcterms:created>
  <dc:creator>惜。</dc:creator>
  <cp:lastModifiedBy>云采链</cp:lastModifiedBy>
  <dcterms:modified xsi:type="dcterms:W3CDTF">2024-06-27T01:57:41Z</dcterms:modified>
  <dc:title>竞价文件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089A247A54F041959D6770689BB94C8B_13</vt:lpwstr>
  </property>
</Properties>
</file>