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华文中宋" w:hAnsi="华文中宋" w:eastAsia="华文中宋"/>
          <w:b/>
          <w:color w:val="auto"/>
          <w:sz w:val="72"/>
          <w:highlight w:val="none"/>
        </w:rPr>
      </w:pPr>
      <w:r>
        <w:rPr>
          <w:color w:val="auto"/>
          <w:highlight w:val="none"/>
        </w:rPr>
        <w:drawing>
          <wp:inline distT="0" distB="0" distL="0" distR="0">
            <wp:extent cx="1591310" cy="618490"/>
            <wp:effectExtent l="0" t="0" r="8890" b="10160"/>
            <wp:docPr id="9" name="图片 9" descr="C:\Users\Administrator\Desktop\采联集团新LOGO-JPG.jpg采联集团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采联集团新LOGO-JPG.jpg采联集团新LOGO-JPG"/>
                    <pic:cNvPicPr>
                      <a:picLocks noChangeAspect="1"/>
                    </pic:cNvPicPr>
                  </pic:nvPicPr>
                  <pic:blipFill>
                    <a:blip r:embed="rId12"/>
                    <a:srcRect/>
                    <a:stretch>
                      <a:fillRect/>
                    </a:stretch>
                  </pic:blipFill>
                  <pic:spPr>
                    <a:xfrm>
                      <a:off x="0" y="0"/>
                      <a:ext cx="1591310" cy="638263"/>
                    </a:xfrm>
                    <a:prstGeom prst="rect">
                      <a:avLst/>
                    </a:prstGeom>
                  </pic:spPr>
                </pic:pic>
              </a:graphicData>
            </a:graphic>
          </wp:inline>
        </w:drawing>
      </w:r>
    </w:p>
    <w:p>
      <w:pPr>
        <w:spacing w:line="480" w:lineRule="auto"/>
        <w:rPr>
          <w:rFonts w:ascii="华文中宋" w:hAnsi="华文中宋" w:eastAsia="华文中宋"/>
          <w:b/>
          <w:color w:val="auto"/>
          <w:sz w:val="72"/>
          <w:highlight w:val="none"/>
        </w:rPr>
      </w:pPr>
    </w:p>
    <w:p>
      <w:pPr>
        <w:snapToGrid w:val="0"/>
        <w:spacing w:before="156" w:beforeLines="50"/>
        <w:jc w:val="center"/>
        <w:rPr>
          <w:rFonts w:ascii="黑体" w:hAnsi="华文中宋" w:eastAsia="黑体" w:cs="华文中宋"/>
          <w:b/>
          <w:bCs/>
          <w:color w:val="auto"/>
          <w:sz w:val="72"/>
          <w:szCs w:val="72"/>
          <w:highlight w:val="none"/>
        </w:rPr>
      </w:pPr>
      <w:r>
        <w:rPr>
          <w:rFonts w:hint="eastAsia" w:ascii="黑体" w:hAnsi="华文中宋" w:eastAsia="黑体" w:cs="华文中宋"/>
          <w:b/>
          <w:bCs/>
          <w:color w:val="auto"/>
          <w:sz w:val="72"/>
          <w:szCs w:val="72"/>
          <w:highlight w:val="none"/>
        </w:rPr>
        <w:t>货物</w:t>
      </w:r>
    </w:p>
    <w:p>
      <w:pPr>
        <w:snapToGrid w:val="0"/>
        <w:spacing w:before="156" w:beforeLines="50"/>
        <w:jc w:val="center"/>
        <w:rPr>
          <w:rFonts w:ascii="仿宋_GB2312" w:eastAsia="仿宋_GB2312"/>
          <w:b/>
          <w:bCs/>
          <w:color w:val="auto"/>
          <w:sz w:val="72"/>
          <w:szCs w:val="72"/>
          <w:highlight w:val="none"/>
        </w:rPr>
      </w:pPr>
      <w:r>
        <w:rPr>
          <w:rFonts w:hint="eastAsia" w:ascii="黑体" w:hAnsi="华文中宋" w:eastAsia="黑体" w:cs="华文中宋"/>
          <w:b/>
          <w:bCs/>
          <w:color w:val="auto"/>
          <w:sz w:val="72"/>
          <w:szCs w:val="72"/>
          <w:highlight w:val="none"/>
        </w:rPr>
        <w:t>公开招标文件</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pStyle w:val="14"/>
        <w:spacing w:line="360" w:lineRule="auto"/>
        <w:ind w:firstLine="422" w:firstLineChars="132"/>
        <w:rPr>
          <w:rFonts w:hint="eastAsia" w:ascii="仿宋_GB2312" w:eastAsia="仿宋_GB2312"/>
          <w:b/>
          <w:color w:val="auto"/>
          <w:sz w:val="32"/>
          <w:highlight w:val="none"/>
          <w:lang w:eastAsia="zh-CN"/>
        </w:rPr>
      </w:pPr>
      <w:r>
        <w:rPr>
          <w:rFonts w:hint="eastAsia" w:ascii="仿宋_GB2312" w:eastAsia="仿宋_GB2312"/>
          <w:b/>
          <w:color w:val="auto"/>
          <w:sz w:val="32"/>
          <w:highlight w:val="none"/>
        </w:rPr>
        <w:t>项目编号：</w:t>
      </w:r>
      <w:r>
        <w:rPr>
          <w:rFonts w:hint="eastAsia" w:ascii="仿宋_GB2312" w:eastAsia="仿宋_GB2312"/>
          <w:b/>
          <w:color w:val="auto"/>
          <w:sz w:val="32"/>
          <w:highlight w:val="none"/>
          <w:lang w:eastAsia="zh-CN"/>
        </w:rPr>
        <w:t>CD-1711098581051A</w:t>
      </w:r>
    </w:p>
    <w:p>
      <w:pPr>
        <w:pStyle w:val="14"/>
        <w:spacing w:line="360" w:lineRule="auto"/>
        <w:ind w:firstLine="422" w:firstLineChars="132"/>
        <w:rPr>
          <w:rFonts w:hint="eastAsia" w:ascii="仿宋_GB2312" w:eastAsia="仿宋_GB2312"/>
          <w:b/>
          <w:color w:val="auto"/>
          <w:sz w:val="32"/>
          <w:highlight w:val="none"/>
          <w:lang w:eastAsia="zh-CN"/>
        </w:rPr>
      </w:pPr>
      <w:r>
        <w:rPr>
          <w:rFonts w:hint="eastAsia" w:ascii="仿宋_GB2312" w:eastAsia="仿宋_GB2312"/>
          <w:b/>
          <w:color w:val="auto"/>
          <w:sz w:val="32"/>
          <w:highlight w:val="none"/>
        </w:rPr>
        <w:t>项目名称：</w:t>
      </w:r>
      <w:r>
        <w:rPr>
          <w:rFonts w:hint="eastAsia" w:ascii="仿宋_GB2312" w:eastAsia="仿宋_GB2312"/>
          <w:b/>
          <w:color w:val="auto"/>
          <w:sz w:val="32"/>
          <w:highlight w:val="none"/>
          <w:lang w:eastAsia="zh-CN"/>
        </w:rPr>
        <w:t>深圳市疾病预防控制中心艾防硒标耗材一批</w:t>
      </w:r>
    </w:p>
    <w:p>
      <w:pPr>
        <w:pStyle w:val="14"/>
        <w:spacing w:line="360" w:lineRule="auto"/>
        <w:rPr>
          <w:rFonts w:ascii="仿宋_GB2312" w:eastAsia="仿宋_GB2312"/>
          <w:b/>
          <w:color w:val="auto"/>
          <w:sz w:val="32"/>
          <w:highlight w:val="none"/>
        </w:rPr>
      </w:pPr>
    </w:p>
    <w:p>
      <w:pPr>
        <w:snapToGrid w:val="0"/>
        <w:spacing w:line="360" w:lineRule="auto"/>
        <w:rPr>
          <w:rFonts w:ascii="仿宋_GB2312" w:eastAsia="仿宋_GB2312"/>
          <w:color w:val="auto"/>
          <w:sz w:val="32"/>
          <w:highlight w:val="none"/>
        </w:rPr>
      </w:pPr>
    </w:p>
    <w:p>
      <w:pPr>
        <w:spacing w:line="360" w:lineRule="auto"/>
        <w:rPr>
          <w:rFonts w:eastAsia="华文中宋"/>
          <w:color w:val="auto"/>
          <w:sz w:val="30"/>
          <w:highlight w:val="none"/>
        </w:rPr>
      </w:pPr>
    </w:p>
    <w:p>
      <w:pPr>
        <w:spacing w:line="360" w:lineRule="auto"/>
        <w:rPr>
          <w:rFonts w:eastAsia="华文中宋"/>
          <w:color w:val="auto"/>
          <w:sz w:val="30"/>
          <w:highlight w:val="none"/>
        </w:rPr>
      </w:pPr>
    </w:p>
    <w:p>
      <w:pPr>
        <w:spacing w:line="360" w:lineRule="auto"/>
        <w:rPr>
          <w:rFonts w:eastAsia="华文中宋"/>
          <w:color w:val="auto"/>
          <w:sz w:val="30"/>
          <w:highlight w:val="none"/>
        </w:rPr>
      </w:pPr>
    </w:p>
    <w:p>
      <w:pPr>
        <w:spacing w:line="360" w:lineRule="auto"/>
        <w:rPr>
          <w:rFonts w:eastAsia="华文中宋"/>
          <w:color w:val="auto"/>
          <w:sz w:val="30"/>
          <w:highlight w:val="none"/>
        </w:rPr>
      </w:pPr>
    </w:p>
    <w:p>
      <w:pPr>
        <w:spacing w:line="360" w:lineRule="auto"/>
        <w:rPr>
          <w:rFonts w:eastAsia="华文中宋"/>
          <w:color w:val="auto"/>
          <w:sz w:val="30"/>
          <w:highlight w:val="none"/>
        </w:rPr>
      </w:pPr>
    </w:p>
    <w:p>
      <w:pPr>
        <w:snapToGrid w:val="0"/>
        <w:spacing w:line="360" w:lineRule="auto"/>
        <w:jc w:val="center"/>
        <w:rPr>
          <w:rFonts w:ascii="黑体" w:hAnsi="华文中宋" w:eastAsia="黑体" w:cs="华文中宋"/>
          <w:color w:val="auto"/>
          <w:sz w:val="30"/>
          <w:szCs w:val="30"/>
          <w:highlight w:val="none"/>
        </w:rPr>
      </w:pPr>
      <w:r>
        <w:rPr>
          <w:rFonts w:hint="eastAsia" w:ascii="黑体" w:hAnsi="华文中宋" w:eastAsia="黑体" w:cs="华文中宋"/>
          <w:color w:val="auto"/>
          <w:sz w:val="30"/>
          <w:szCs w:val="30"/>
          <w:highlight w:val="none"/>
        </w:rPr>
        <w:t>采联国际招标采购集团有限公司</w:t>
      </w:r>
    </w:p>
    <w:p>
      <w:pPr>
        <w:snapToGrid w:val="0"/>
        <w:spacing w:line="360" w:lineRule="auto"/>
        <w:jc w:val="center"/>
        <w:rPr>
          <w:rFonts w:ascii="黑体" w:hAnsi="华文中宋" w:eastAsia="黑体" w:cs="华文中宋"/>
          <w:color w:val="auto"/>
          <w:sz w:val="30"/>
          <w:szCs w:val="30"/>
          <w:highlight w:val="none"/>
        </w:rPr>
        <w:sectPr>
          <w:headerReference r:id="rId5" w:type="first"/>
          <w:footerReference r:id="rId7" w:type="first"/>
          <w:headerReference r:id="rId3" w:type="default"/>
          <w:headerReference r:id="rId4" w:type="even"/>
          <w:footerReference r:id="rId6" w:type="even"/>
          <w:pgSz w:w="11906" w:h="16838"/>
          <w:pgMar w:top="1440" w:right="1466" w:bottom="1440" w:left="1800" w:header="567" w:footer="992" w:gutter="0"/>
          <w:cols w:space="720" w:num="1"/>
          <w:docGrid w:type="linesAndChars" w:linePitch="312" w:charSpace="0"/>
        </w:sectPr>
      </w:pPr>
      <w:r>
        <w:rPr>
          <w:rFonts w:hint="eastAsia" w:ascii="黑体" w:hAnsi="华文中宋" w:eastAsia="黑体" w:cs="华文中宋"/>
          <w:color w:val="auto"/>
          <w:sz w:val="30"/>
          <w:szCs w:val="30"/>
          <w:highlight w:val="none"/>
        </w:rPr>
        <w:t>202</w:t>
      </w:r>
      <w:r>
        <w:rPr>
          <w:rFonts w:hint="eastAsia" w:ascii="黑体" w:hAnsi="华文中宋" w:eastAsia="黑体" w:cs="华文中宋"/>
          <w:color w:val="auto"/>
          <w:sz w:val="30"/>
          <w:szCs w:val="30"/>
          <w:highlight w:val="none"/>
          <w:lang w:val="en-US" w:eastAsia="zh-CN"/>
        </w:rPr>
        <w:t>4</w:t>
      </w:r>
      <w:r>
        <w:rPr>
          <w:rFonts w:hint="eastAsia" w:ascii="黑体" w:hAnsi="华文中宋" w:eastAsia="黑体" w:cs="华文中宋"/>
          <w:color w:val="auto"/>
          <w:sz w:val="30"/>
          <w:szCs w:val="30"/>
          <w:highlight w:val="none"/>
        </w:rPr>
        <w:t xml:space="preserve">年 </w:t>
      </w: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pPr>
        <w:pStyle w:val="27"/>
        <w:tabs>
          <w:tab w:val="right" w:leader="dot" w:pos="9180"/>
        </w:tabs>
        <w:rPr>
          <w:rFonts w:hint="eastAsia" w:asciiTheme="majorEastAsia" w:hAnsiTheme="majorEastAsia" w:eastAsiaTheme="majorEastAsia" w:cstheme="majorEastAsia"/>
          <w:color w:val="auto"/>
          <w:sz w:val="30"/>
          <w:szCs w:val="30"/>
          <w:highlight w:val="none"/>
        </w:rPr>
      </w:pPr>
      <w:bookmarkStart w:id="0" w:name="_Toc435514842"/>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"1-2" \h \u </w:instrText>
      </w:r>
      <w:r>
        <w:rPr>
          <w:rFonts w:hint="eastAsia" w:ascii="宋体" w:hAnsi="宋体" w:cs="宋体"/>
          <w:color w:val="auto"/>
          <w:sz w:val="28"/>
          <w:szCs w:val="28"/>
          <w:highlight w:val="none"/>
        </w:rPr>
        <w:fldChar w:fldCharType="separate"/>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HYPERLINK \l _Toc10188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第一章 投标邀请</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_Toc10188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3</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color w:val="auto"/>
          <w:sz w:val="30"/>
          <w:szCs w:val="30"/>
          <w:highlight w:val="none"/>
        </w:rPr>
        <w:fldChar w:fldCharType="end"/>
      </w:r>
    </w:p>
    <w:p>
      <w:pPr>
        <w:pStyle w:val="27"/>
        <w:tabs>
          <w:tab w:val="right" w:leader="dot" w:pos="9180"/>
        </w:tabs>
        <w:rPr>
          <w:rFonts w:hint="eastAsia"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bCs/>
          <w:color w:val="auto"/>
          <w:sz w:val="30"/>
          <w:szCs w:val="30"/>
          <w:highlight w:val="none"/>
        </w:rPr>
        <w:fldChar w:fldCharType="begin"/>
      </w:r>
      <w:r>
        <w:rPr>
          <w:rFonts w:hint="eastAsia" w:asciiTheme="majorEastAsia" w:hAnsiTheme="majorEastAsia" w:eastAsiaTheme="majorEastAsia" w:cstheme="majorEastAsia"/>
          <w:bCs/>
          <w:color w:val="auto"/>
          <w:sz w:val="30"/>
          <w:szCs w:val="30"/>
          <w:highlight w:val="none"/>
        </w:rPr>
        <w:instrText xml:space="preserve"> HYPERLINK \l _Toc20903 </w:instrText>
      </w:r>
      <w:r>
        <w:rPr>
          <w:rFonts w:hint="eastAsia" w:asciiTheme="majorEastAsia" w:hAnsiTheme="majorEastAsia" w:eastAsiaTheme="majorEastAsia" w:cstheme="majorEastAsia"/>
          <w:bCs/>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第二章 投标资料表</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_Toc20903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6</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bCs/>
          <w:color w:val="auto"/>
          <w:sz w:val="30"/>
          <w:szCs w:val="30"/>
          <w:highlight w:val="none"/>
        </w:rPr>
        <w:fldChar w:fldCharType="end"/>
      </w:r>
    </w:p>
    <w:p>
      <w:pPr>
        <w:pStyle w:val="27"/>
        <w:tabs>
          <w:tab w:val="right" w:leader="dot" w:pos="9180"/>
        </w:tabs>
        <w:rPr>
          <w:rFonts w:hint="eastAsia"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bCs/>
          <w:color w:val="auto"/>
          <w:sz w:val="30"/>
          <w:szCs w:val="30"/>
          <w:highlight w:val="none"/>
        </w:rPr>
        <w:fldChar w:fldCharType="begin"/>
      </w:r>
      <w:r>
        <w:rPr>
          <w:rFonts w:hint="eastAsia" w:asciiTheme="majorEastAsia" w:hAnsiTheme="majorEastAsia" w:eastAsiaTheme="majorEastAsia" w:cstheme="majorEastAsia"/>
          <w:bCs/>
          <w:color w:val="auto"/>
          <w:sz w:val="30"/>
          <w:szCs w:val="30"/>
          <w:highlight w:val="none"/>
        </w:rPr>
        <w:instrText xml:space="preserve"> HYPERLINK \l _Toc20351 </w:instrText>
      </w:r>
      <w:r>
        <w:rPr>
          <w:rFonts w:hint="eastAsia" w:asciiTheme="majorEastAsia" w:hAnsiTheme="majorEastAsia" w:eastAsiaTheme="majorEastAsia" w:cstheme="majorEastAsia"/>
          <w:bCs/>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第三章 用户需求书</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_Toc20351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8</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bCs/>
          <w:color w:val="auto"/>
          <w:sz w:val="30"/>
          <w:szCs w:val="30"/>
          <w:highlight w:val="none"/>
        </w:rPr>
        <w:fldChar w:fldCharType="end"/>
      </w:r>
    </w:p>
    <w:p>
      <w:pPr>
        <w:pStyle w:val="27"/>
        <w:tabs>
          <w:tab w:val="right" w:leader="dot" w:pos="9180"/>
        </w:tabs>
        <w:rPr>
          <w:rFonts w:hint="eastAsia"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bCs/>
          <w:color w:val="auto"/>
          <w:sz w:val="30"/>
          <w:szCs w:val="30"/>
          <w:highlight w:val="none"/>
        </w:rPr>
        <w:fldChar w:fldCharType="begin"/>
      </w:r>
      <w:r>
        <w:rPr>
          <w:rFonts w:hint="eastAsia" w:asciiTheme="majorEastAsia" w:hAnsiTheme="majorEastAsia" w:eastAsiaTheme="majorEastAsia" w:cstheme="majorEastAsia"/>
          <w:bCs/>
          <w:color w:val="auto"/>
          <w:sz w:val="30"/>
          <w:szCs w:val="30"/>
          <w:highlight w:val="none"/>
        </w:rPr>
        <w:instrText xml:space="preserve"> HYPERLINK \l _Toc2987 </w:instrText>
      </w:r>
      <w:r>
        <w:rPr>
          <w:rFonts w:hint="eastAsia" w:asciiTheme="majorEastAsia" w:hAnsiTheme="majorEastAsia" w:eastAsiaTheme="majorEastAsia" w:cstheme="majorEastAsia"/>
          <w:bCs/>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第四章 开标、评标、定标</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_Toc2987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12</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bCs/>
          <w:color w:val="auto"/>
          <w:sz w:val="30"/>
          <w:szCs w:val="30"/>
          <w:highlight w:val="none"/>
        </w:rPr>
        <w:fldChar w:fldCharType="end"/>
      </w:r>
    </w:p>
    <w:p>
      <w:pPr>
        <w:pStyle w:val="27"/>
        <w:tabs>
          <w:tab w:val="right" w:leader="dot" w:pos="9180"/>
        </w:tabs>
        <w:rPr>
          <w:rFonts w:hint="eastAsia"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bCs/>
          <w:color w:val="auto"/>
          <w:sz w:val="30"/>
          <w:szCs w:val="30"/>
          <w:highlight w:val="none"/>
        </w:rPr>
        <w:fldChar w:fldCharType="begin"/>
      </w:r>
      <w:r>
        <w:rPr>
          <w:rFonts w:hint="eastAsia" w:asciiTheme="majorEastAsia" w:hAnsiTheme="majorEastAsia" w:eastAsiaTheme="majorEastAsia" w:cstheme="majorEastAsia"/>
          <w:bCs/>
          <w:color w:val="auto"/>
          <w:sz w:val="30"/>
          <w:szCs w:val="30"/>
          <w:highlight w:val="none"/>
        </w:rPr>
        <w:instrText xml:space="preserve"> HYPERLINK \l _Toc30641 </w:instrText>
      </w:r>
      <w:r>
        <w:rPr>
          <w:rFonts w:hint="eastAsia" w:asciiTheme="majorEastAsia" w:hAnsiTheme="majorEastAsia" w:eastAsiaTheme="majorEastAsia" w:cstheme="majorEastAsia"/>
          <w:bCs/>
          <w:color w:val="auto"/>
          <w:sz w:val="30"/>
          <w:szCs w:val="30"/>
          <w:highlight w:val="none"/>
        </w:rPr>
        <w:fldChar w:fldCharType="separate"/>
      </w:r>
      <w:r>
        <w:rPr>
          <w:rFonts w:hint="eastAsia" w:asciiTheme="majorEastAsia" w:hAnsiTheme="majorEastAsia" w:eastAsiaTheme="majorEastAsia" w:cstheme="majorEastAsia"/>
          <w:bCs/>
          <w:color w:val="auto"/>
          <w:kern w:val="0"/>
          <w:sz w:val="30"/>
          <w:szCs w:val="30"/>
          <w:highlight w:val="none"/>
        </w:rPr>
        <w:t>第五章 合同文本（</w:t>
      </w:r>
      <w:r>
        <w:rPr>
          <w:rFonts w:hint="eastAsia" w:asciiTheme="majorEastAsia" w:hAnsiTheme="majorEastAsia" w:eastAsiaTheme="majorEastAsia" w:cstheme="majorEastAsia"/>
          <w:bCs/>
          <w:color w:val="auto"/>
          <w:kern w:val="0"/>
          <w:sz w:val="30"/>
          <w:szCs w:val="30"/>
          <w:highlight w:val="none"/>
          <w:lang w:eastAsia="zh-CN"/>
        </w:rPr>
        <w:t>仅供参考</w:t>
      </w:r>
      <w:r>
        <w:rPr>
          <w:rFonts w:hint="eastAsia" w:asciiTheme="majorEastAsia" w:hAnsiTheme="majorEastAsia" w:eastAsiaTheme="majorEastAsia" w:cstheme="majorEastAsia"/>
          <w:bCs/>
          <w:color w:val="auto"/>
          <w:kern w:val="0"/>
          <w:sz w:val="30"/>
          <w:szCs w:val="30"/>
          <w:highlight w:val="none"/>
        </w:rPr>
        <w:t>）</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_Toc30641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22</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bCs/>
          <w:color w:val="auto"/>
          <w:sz w:val="30"/>
          <w:szCs w:val="30"/>
          <w:highlight w:val="none"/>
        </w:rPr>
        <w:fldChar w:fldCharType="end"/>
      </w:r>
    </w:p>
    <w:p>
      <w:pPr>
        <w:pStyle w:val="27"/>
        <w:tabs>
          <w:tab w:val="right" w:leader="dot" w:pos="9180"/>
        </w:tabs>
        <w:rPr>
          <w:rFonts w:hint="eastAsia"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bCs/>
          <w:color w:val="auto"/>
          <w:sz w:val="30"/>
          <w:szCs w:val="30"/>
          <w:highlight w:val="none"/>
        </w:rPr>
        <w:fldChar w:fldCharType="begin"/>
      </w:r>
      <w:r>
        <w:rPr>
          <w:rFonts w:hint="eastAsia" w:asciiTheme="majorEastAsia" w:hAnsiTheme="majorEastAsia" w:eastAsiaTheme="majorEastAsia" w:cstheme="majorEastAsia"/>
          <w:bCs/>
          <w:color w:val="auto"/>
          <w:sz w:val="30"/>
          <w:szCs w:val="30"/>
          <w:highlight w:val="none"/>
        </w:rPr>
        <w:instrText xml:space="preserve"> HYPERLINK \l _Toc12306 </w:instrText>
      </w:r>
      <w:r>
        <w:rPr>
          <w:rFonts w:hint="eastAsia" w:asciiTheme="majorEastAsia" w:hAnsiTheme="majorEastAsia" w:eastAsiaTheme="majorEastAsia" w:cstheme="majorEastAsia"/>
          <w:bCs/>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第六章 投标文件格式</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_Toc12306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26</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bCs/>
          <w:color w:val="auto"/>
          <w:sz w:val="30"/>
          <w:szCs w:val="30"/>
          <w:highlight w:val="none"/>
        </w:rPr>
        <w:fldChar w:fldCharType="end"/>
      </w:r>
    </w:p>
    <w:p>
      <w:pPr>
        <w:pStyle w:val="27"/>
        <w:tabs>
          <w:tab w:val="right" w:leader="dot" w:pos="9180"/>
        </w:tabs>
        <w:rPr>
          <w:color w:val="auto"/>
          <w:highlight w:val="none"/>
        </w:rPr>
      </w:pPr>
      <w:r>
        <w:rPr>
          <w:rFonts w:hint="eastAsia" w:asciiTheme="majorEastAsia" w:hAnsiTheme="majorEastAsia" w:eastAsiaTheme="majorEastAsia" w:cstheme="majorEastAsia"/>
          <w:bCs/>
          <w:color w:val="auto"/>
          <w:sz w:val="30"/>
          <w:szCs w:val="30"/>
          <w:highlight w:val="none"/>
        </w:rPr>
        <w:fldChar w:fldCharType="begin"/>
      </w:r>
      <w:r>
        <w:rPr>
          <w:rFonts w:hint="eastAsia" w:asciiTheme="majorEastAsia" w:hAnsiTheme="majorEastAsia" w:eastAsiaTheme="majorEastAsia" w:cstheme="majorEastAsia"/>
          <w:bCs/>
          <w:color w:val="auto"/>
          <w:sz w:val="30"/>
          <w:szCs w:val="30"/>
          <w:highlight w:val="none"/>
        </w:rPr>
        <w:instrText xml:space="preserve"> HYPERLINK \l _Toc30339 </w:instrText>
      </w:r>
      <w:r>
        <w:rPr>
          <w:rFonts w:hint="eastAsia" w:asciiTheme="majorEastAsia" w:hAnsiTheme="majorEastAsia" w:eastAsiaTheme="majorEastAsia" w:cstheme="majorEastAsia"/>
          <w:bCs/>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第七章 投标人须知</w:t>
      </w:r>
      <w:r>
        <w:rPr>
          <w:rFonts w:hint="eastAsia" w:asciiTheme="majorEastAsia" w:hAnsiTheme="majorEastAsia" w:eastAsiaTheme="majorEastAsia" w:cstheme="majorEastAsia"/>
          <w:color w:val="auto"/>
          <w:sz w:val="30"/>
          <w:szCs w:val="30"/>
          <w:highlight w:val="none"/>
        </w:rPr>
        <w:tab/>
      </w:r>
      <w:r>
        <w:rPr>
          <w:rFonts w:hint="eastAsia" w:asciiTheme="majorEastAsia" w:hAnsiTheme="majorEastAsia" w:eastAsiaTheme="majorEastAsia" w:cstheme="majorEastAsia"/>
          <w:color w:val="auto"/>
          <w:sz w:val="30"/>
          <w:szCs w:val="30"/>
          <w:highlight w:val="none"/>
        </w:rPr>
        <w:fldChar w:fldCharType="begin"/>
      </w:r>
      <w:r>
        <w:rPr>
          <w:rFonts w:hint="eastAsia" w:asciiTheme="majorEastAsia" w:hAnsiTheme="majorEastAsia" w:eastAsiaTheme="majorEastAsia" w:cstheme="majorEastAsia"/>
          <w:color w:val="auto"/>
          <w:sz w:val="30"/>
          <w:szCs w:val="30"/>
          <w:highlight w:val="none"/>
        </w:rPr>
        <w:instrText xml:space="preserve"> PAGEREF _Toc30339 \h </w:instrText>
      </w:r>
      <w:r>
        <w:rPr>
          <w:rFonts w:hint="eastAsia" w:asciiTheme="majorEastAsia" w:hAnsiTheme="majorEastAsia" w:eastAsiaTheme="majorEastAsia" w:cstheme="majorEastAsia"/>
          <w:color w:val="auto"/>
          <w:sz w:val="30"/>
          <w:szCs w:val="30"/>
          <w:highlight w:val="none"/>
        </w:rPr>
        <w:fldChar w:fldCharType="separate"/>
      </w:r>
      <w:r>
        <w:rPr>
          <w:rFonts w:hint="eastAsia" w:asciiTheme="majorEastAsia" w:hAnsiTheme="majorEastAsia" w:eastAsiaTheme="majorEastAsia" w:cstheme="majorEastAsia"/>
          <w:color w:val="auto"/>
          <w:sz w:val="30"/>
          <w:szCs w:val="30"/>
          <w:highlight w:val="none"/>
        </w:rPr>
        <w:t>43</w:t>
      </w:r>
      <w:r>
        <w:rPr>
          <w:rFonts w:hint="eastAsia" w:asciiTheme="majorEastAsia" w:hAnsiTheme="majorEastAsia" w:eastAsiaTheme="majorEastAsia" w:cstheme="majorEastAsia"/>
          <w:color w:val="auto"/>
          <w:sz w:val="30"/>
          <w:szCs w:val="30"/>
          <w:highlight w:val="none"/>
        </w:rPr>
        <w:fldChar w:fldCharType="end"/>
      </w:r>
      <w:r>
        <w:rPr>
          <w:rFonts w:hint="eastAsia" w:asciiTheme="majorEastAsia" w:hAnsiTheme="majorEastAsia" w:eastAsiaTheme="majorEastAsia" w:cstheme="majorEastAsia"/>
          <w:bCs/>
          <w:color w:val="auto"/>
          <w:sz w:val="30"/>
          <w:szCs w:val="30"/>
          <w:highlight w:val="none"/>
        </w:rPr>
        <w:fldChar w:fldCharType="end"/>
      </w:r>
    </w:p>
    <w:p>
      <w:pPr>
        <w:pStyle w:val="31"/>
        <w:tabs>
          <w:tab w:val="right" w:leader="dot" w:pos="9180"/>
        </w:tabs>
        <w:rPr>
          <w:color w:val="auto"/>
          <w:highlight w:val="none"/>
        </w:rPr>
      </w:pPr>
    </w:p>
    <w:p>
      <w:pPr>
        <w:widowControl/>
        <w:jc w:val="left"/>
        <w:rPr>
          <w:rFonts w:ascii="宋体" w:hAnsi="宋体" w:cs="宋体"/>
          <w:b/>
          <w:bCs/>
          <w:color w:val="auto"/>
          <w:sz w:val="28"/>
          <w:szCs w:val="28"/>
          <w:highlight w:val="none"/>
        </w:rPr>
      </w:pPr>
      <w:r>
        <w:rPr>
          <w:rFonts w:hint="eastAsia" w:ascii="宋体" w:hAnsi="宋体" w:cs="宋体"/>
          <w:bCs/>
          <w:color w:val="auto"/>
          <w:szCs w:val="28"/>
          <w:highlight w:val="none"/>
        </w:rPr>
        <w:fldChar w:fldCharType="end"/>
      </w:r>
    </w:p>
    <w:p>
      <w:pPr>
        <w:widowControl/>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3"/>
        <w:jc w:val="center"/>
        <w:rPr>
          <w:rFonts w:asciiTheme="majorEastAsia" w:hAnsiTheme="majorEastAsia" w:eastAsiaTheme="majorEastAsia" w:cstheme="majorEastAsia"/>
          <w:color w:val="auto"/>
          <w:sz w:val="32"/>
          <w:szCs w:val="32"/>
          <w:highlight w:val="none"/>
        </w:rPr>
      </w:pPr>
      <w:bookmarkStart w:id="1" w:name="_Toc21804"/>
      <w:bookmarkStart w:id="2" w:name="_Toc10188"/>
      <w:bookmarkStart w:id="3" w:name="_Toc16797"/>
      <w:bookmarkStart w:id="4" w:name="_Toc8307299"/>
      <w:bookmarkStart w:id="5" w:name="_Toc4815_WPSOffice_Level1"/>
      <w:r>
        <w:rPr>
          <w:rFonts w:hint="eastAsia" w:asciiTheme="majorEastAsia" w:hAnsiTheme="majorEastAsia" w:eastAsiaTheme="majorEastAsia" w:cstheme="majorEastAsia"/>
          <w:color w:val="auto"/>
          <w:sz w:val="32"/>
          <w:szCs w:val="32"/>
          <w:highlight w:val="none"/>
        </w:rPr>
        <w:t>第一章 投标邀请</w:t>
      </w:r>
      <w:bookmarkEnd w:id="0"/>
      <w:bookmarkEnd w:id="1"/>
      <w:bookmarkEnd w:id="2"/>
      <w:bookmarkEnd w:id="3"/>
      <w:bookmarkEnd w:id="4"/>
      <w:bookmarkEnd w:id="5"/>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cs="宋体"/>
          <w:bCs/>
          <w:color w:val="auto"/>
          <w:szCs w:val="20"/>
          <w:highlight w:val="none"/>
        </w:rPr>
        <w:t>采联国际招标采购集团有限公司（以下简称‘采购代理机构’）受</w:t>
      </w:r>
      <w:r>
        <w:rPr>
          <w:rFonts w:hint="eastAsia" w:ascii="宋体" w:hAnsi="宋体" w:cs="宋体"/>
          <w:color w:val="auto"/>
          <w:szCs w:val="21"/>
          <w:highlight w:val="none"/>
          <w:lang w:eastAsia="zh-CN"/>
        </w:rPr>
        <w:t>深圳市疾病预防控制中心</w:t>
      </w:r>
      <w:r>
        <w:rPr>
          <w:rFonts w:hint="eastAsia" w:ascii="宋体" w:hAnsi="宋体" w:cs="宋体"/>
          <w:bCs/>
          <w:color w:val="auto"/>
          <w:szCs w:val="20"/>
          <w:highlight w:val="none"/>
        </w:rPr>
        <w:t>（以下简称‘采购人’）的</w:t>
      </w:r>
      <w:r>
        <w:rPr>
          <w:rFonts w:hint="eastAsia" w:ascii="宋体" w:hAnsi="宋体" w:cs="宋体"/>
          <w:bCs/>
          <w:color w:val="auto"/>
          <w:szCs w:val="21"/>
          <w:highlight w:val="none"/>
        </w:rPr>
        <w:t>委</w:t>
      </w:r>
      <w:r>
        <w:rPr>
          <w:rFonts w:hint="eastAsia" w:ascii="宋体" w:hAnsi="宋体" w:cs="宋体"/>
          <w:bCs/>
          <w:color w:val="auto"/>
          <w:szCs w:val="21"/>
          <w:highlight w:val="none"/>
        </w:rPr>
        <w:t>托，对</w:t>
      </w:r>
      <w:r>
        <w:rPr>
          <w:rFonts w:hint="eastAsia" w:ascii="宋体" w:hAnsi="宋体" w:cs="宋体"/>
          <w:color w:val="auto"/>
          <w:szCs w:val="21"/>
          <w:highlight w:val="none"/>
          <w:lang w:eastAsia="zh-CN"/>
        </w:rPr>
        <w:t>深圳市疾病预防控制中心艾防硒标耗材一批</w:t>
      </w:r>
      <w:r>
        <w:rPr>
          <w:rFonts w:hint="eastAsia" w:ascii="宋体" w:hAnsi="宋体" w:cs="宋体"/>
          <w:bCs/>
          <w:color w:val="auto"/>
          <w:szCs w:val="21"/>
          <w:highlight w:val="none"/>
        </w:rPr>
        <w:t>进行</w:t>
      </w:r>
      <w:r>
        <w:rPr>
          <w:rFonts w:hint="eastAsia" w:ascii="宋体" w:hAnsi="宋体" w:cs="宋体"/>
          <w:bCs/>
          <w:color w:val="auto"/>
          <w:szCs w:val="21"/>
          <w:highlight w:val="none"/>
        </w:rPr>
        <w:t>公开招标采购，</w:t>
      </w:r>
      <w:r>
        <w:rPr>
          <w:rFonts w:hint="eastAsia" w:ascii="宋体" w:hAnsi="宋体" w:cs="宋体"/>
          <w:color w:val="auto"/>
          <w:szCs w:val="21"/>
          <w:highlight w:val="none"/>
        </w:rPr>
        <w:t>欢迎</w:t>
      </w:r>
      <w:r>
        <w:rPr>
          <w:rFonts w:hint="eastAsia" w:ascii="宋体" w:hAnsi="宋体" w:cs="宋体"/>
          <w:color w:val="auto"/>
          <w:highlight w:val="none"/>
        </w:rPr>
        <w:t>符合</w:t>
      </w:r>
      <w:r>
        <w:rPr>
          <w:rFonts w:hint="eastAsia" w:ascii="宋体" w:hAnsi="宋体" w:cs="宋体"/>
          <w:color w:val="auto"/>
          <w:szCs w:val="21"/>
          <w:highlight w:val="none"/>
        </w:rPr>
        <w:t>资格</w:t>
      </w:r>
      <w:r>
        <w:rPr>
          <w:rFonts w:hint="eastAsia" w:ascii="宋体" w:hAnsi="宋体" w:cs="宋体"/>
          <w:color w:val="auto"/>
          <w:highlight w:val="none"/>
        </w:rPr>
        <w:t>条件的</w:t>
      </w:r>
      <w:r>
        <w:rPr>
          <w:rFonts w:hint="eastAsia" w:ascii="宋体" w:hAnsi="宋体" w:cs="宋体"/>
          <w:bCs/>
          <w:color w:val="auto"/>
          <w:szCs w:val="21"/>
          <w:highlight w:val="none"/>
        </w:rPr>
        <w:t>供应商</w:t>
      </w:r>
      <w:r>
        <w:rPr>
          <w:rFonts w:hint="eastAsia" w:ascii="宋体" w:hAnsi="宋体" w:cs="宋体"/>
          <w:color w:val="auto"/>
          <w:highlight w:val="none"/>
        </w:rPr>
        <w:t>投标。</w:t>
      </w:r>
      <w:r>
        <w:rPr>
          <w:rFonts w:hint="eastAsia" w:ascii="宋体" w:hAnsi="宋体" w:eastAsia="宋体" w:cs="宋体"/>
          <w:b/>
          <w:bCs/>
          <w:color w:val="auto"/>
          <w:highlight w:val="none"/>
          <w:u w:val="double"/>
        </w:rPr>
        <w:t>本项目通过云采链线上采购一体化平台（http://www.choicelink.cn）发布招标公告，投标人必须登录平台进行注册，注册成功后方可参与项目。</w:t>
      </w:r>
    </w:p>
    <w:p>
      <w:pPr>
        <w:tabs>
          <w:tab w:val="left" w:pos="567"/>
        </w:tabs>
        <w:adjustRightInd w:val="0"/>
        <w:snapToGrid w:val="0"/>
        <w:spacing w:line="360" w:lineRule="auto"/>
        <w:rPr>
          <w:rFonts w:hint="eastAsia" w:ascii="宋体" w:hAnsi="宋体" w:eastAsia="宋体" w:cs="宋体"/>
          <w:bCs/>
          <w:color w:val="auto"/>
          <w:szCs w:val="20"/>
          <w:highlight w:val="none"/>
          <w:lang w:eastAsia="zh-CN"/>
        </w:rPr>
      </w:pPr>
      <w:r>
        <w:rPr>
          <w:rFonts w:hint="eastAsia" w:ascii="宋体" w:hAnsi="宋体" w:cs="宋体"/>
          <w:bCs/>
          <w:color w:val="auto"/>
          <w:szCs w:val="20"/>
          <w:highlight w:val="none"/>
        </w:rPr>
        <w:t>一、项目编号：</w:t>
      </w:r>
      <w:r>
        <w:rPr>
          <w:rFonts w:hint="eastAsia" w:ascii="宋体" w:hAnsi="宋体" w:cs="宋体"/>
          <w:bCs/>
          <w:color w:val="auto"/>
          <w:szCs w:val="20"/>
          <w:highlight w:val="none"/>
          <w:lang w:eastAsia="zh-CN"/>
        </w:rPr>
        <w:t>CD-1711098581051A</w:t>
      </w:r>
    </w:p>
    <w:p>
      <w:pPr>
        <w:tabs>
          <w:tab w:val="left" w:pos="567"/>
        </w:tabs>
        <w:adjustRightInd w:val="0"/>
        <w:snapToGrid w:val="0"/>
        <w:spacing w:line="360" w:lineRule="auto"/>
        <w:rPr>
          <w:rFonts w:hint="eastAsia" w:ascii="宋体" w:hAnsi="宋体" w:eastAsia="宋体" w:cs="宋体"/>
          <w:color w:val="auto"/>
          <w:highlight w:val="none"/>
          <w:lang w:eastAsia="zh-CN"/>
        </w:rPr>
      </w:pPr>
      <w:r>
        <w:rPr>
          <w:rFonts w:hint="eastAsia" w:ascii="宋体" w:hAnsi="宋体" w:cs="宋体"/>
          <w:bCs/>
          <w:color w:val="auto"/>
          <w:szCs w:val="20"/>
          <w:highlight w:val="none"/>
        </w:rPr>
        <w:t>二、采购项目名称：</w:t>
      </w:r>
      <w:r>
        <w:rPr>
          <w:rFonts w:hint="eastAsia" w:ascii="宋体" w:hAnsi="宋体" w:cs="宋体"/>
          <w:color w:val="auto"/>
          <w:highlight w:val="none"/>
          <w:lang w:eastAsia="zh-CN"/>
        </w:rPr>
        <w:t>深圳市疾病预防控制中心艾防硒标耗材一批</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三、采购项目内容及需求：</w:t>
      </w:r>
    </w:p>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（一）采购项目内容及最高限价：</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825"/>
        <w:gridCol w:w="4267"/>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045" w:type="pct"/>
            <w:shd w:val="clear" w:color="auto" w:fill="EEECE1"/>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439" w:type="pct"/>
            <w:shd w:val="clear" w:color="auto" w:fill="EEECE1"/>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2272" w:type="pct"/>
            <w:shd w:val="clear" w:color="auto" w:fill="EEECE1"/>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交货期</w:t>
            </w:r>
          </w:p>
        </w:tc>
        <w:tc>
          <w:tcPr>
            <w:tcW w:w="1242" w:type="pct"/>
            <w:shd w:val="clear" w:color="auto" w:fill="EEECE1"/>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045" w:type="pct"/>
            <w:vAlign w:val="center"/>
          </w:tcPr>
          <w:p>
            <w:pPr>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深圳市疾病预防控制中心艾防硒标耗材一批</w:t>
            </w:r>
          </w:p>
        </w:tc>
        <w:tc>
          <w:tcPr>
            <w:tcW w:w="439" w:type="pct"/>
            <w:vAlign w:val="center"/>
          </w:tcPr>
          <w:p>
            <w:pPr>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1批</w:t>
            </w:r>
          </w:p>
        </w:tc>
        <w:tc>
          <w:tcPr>
            <w:tcW w:w="2272" w:type="pct"/>
            <w:vAlign w:val="center"/>
          </w:tcPr>
          <w:p>
            <w:pPr>
              <w:pStyle w:val="76"/>
              <w:spacing w:line="240" w:lineRule="auto"/>
              <w:rPr>
                <w:rFonts w:ascii="宋体" w:hAnsi="宋体" w:cs="宋体"/>
                <w:snapToGrid/>
                <w:color w:val="auto"/>
                <w:spacing w:val="0"/>
                <w:kern w:val="2"/>
                <w:sz w:val="21"/>
                <w:szCs w:val="24"/>
                <w:highlight w:val="none"/>
              </w:rPr>
            </w:pPr>
            <w:r>
              <w:rPr>
                <w:rFonts w:hint="eastAsia" w:ascii="宋体" w:hAnsi="宋体" w:eastAsia="宋体" w:cs="宋体"/>
                <w:bCs/>
                <w:snapToGrid/>
                <w:color w:val="auto"/>
                <w:spacing w:val="0"/>
                <w:kern w:val="2"/>
                <w:sz w:val="21"/>
                <w:szCs w:val="21"/>
                <w:highlight w:val="none"/>
                <w:lang w:val="en-US" w:eastAsia="zh-CN" w:bidi="ar-SA"/>
              </w:rPr>
              <w:t>按采购人实际需求供货，供货最后期限不能超过</w:t>
            </w:r>
            <w:r>
              <w:rPr>
                <w:rFonts w:hint="default" w:ascii="宋体" w:hAnsi="宋体" w:eastAsia="宋体" w:cs="宋体"/>
                <w:bCs/>
                <w:snapToGrid/>
                <w:color w:val="auto"/>
                <w:spacing w:val="0"/>
                <w:kern w:val="2"/>
                <w:sz w:val="21"/>
                <w:szCs w:val="21"/>
                <w:highlight w:val="none"/>
                <w:lang w:val="en-US" w:eastAsia="zh-CN" w:bidi="ar-SA"/>
              </w:rPr>
              <w:t>2024年</w:t>
            </w:r>
            <w:r>
              <w:rPr>
                <w:rFonts w:hint="eastAsia" w:ascii="宋体" w:hAnsi="宋体" w:eastAsia="宋体" w:cs="宋体"/>
                <w:bCs/>
                <w:snapToGrid/>
                <w:color w:val="auto"/>
                <w:spacing w:val="0"/>
                <w:kern w:val="2"/>
                <w:sz w:val="21"/>
                <w:szCs w:val="21"/>
                <w:highlight w:val="none"/>
                <w:lang w:val="en-US" w:eastAsia="zh-CN" w:bidi="ar-SA"/>
              </w:rPr>
              <w:t>11月30日</w:t>
            </w:r>
          </w:p>
        </w:tc>
        <w:tc>
          <w:tcPr>
            <w:tcW w:w="1242" w:type="pct"/>
            <w:vAlign w:val="center"/>
          </w:tcPr>
          <w:p>
            <w:pPr>
              <w:pStyle w:val="76"/>
              <w:spacing w:line="240" w:lineRule="auto"/>
              <w:rPr>
                <w:rFonts w:ascii="宋体" w:hAnsi="宋体" w:cs="宋体"/>
                <w:snapToGrid/>
                <w:color w:val="auto"/>
                <w:spacing w:val="0"/>
                <w:kern w:val="2"/>
                <w:sz w:val="21"/>
                <w:szCs w:val="24"/>
                <w:highlight w:val="none"/>
              </w:rPr>
            </w:pPr>
            <w:r>
              <w:rPr>
                <w:rFonts w:hint="eastAsia" w:ascii="宋体" w:hAnsi="宋体" w:cs="宋体"/>
                <w:snapToGrid/>
                <w:color w:val="auto"/>
                <w:spacing w:val="0"/>
                <w:kern w:val="2"/>
                <w:sz w:val="21"/>
                <w:szCs w:val="21"/>
                <w:highlight w:val="none"/>
              </w:rPr>
              <w:t>人民币</w:t>
            </w:r>
            <w:r>
              <w:rPr>
                <w:rFonts w:hint="eastAsia" w:ascii="宋体" w:hAnsi="宋体" w:cs="宋体"/>
                <w:snapToGrid/>
                <w:color w:val="auto"/>
                <w:spacing w:val="0"/>
                <w:kern w:val="2"/>
                <w:sz w:val="21"/>
                <w:szCs w:val="21"/>
                <w:highlight w:val="none"/>
                <w:lang w:val="en-US" w:eastAsia="zh-CN"/>
              </w:rPr>
              <w:t>26.60</w:t>
            </w:r>
            <w:r>
              <w:rPr>
                <w:rFonts w:hint="eastAsia" w:ascii="宋体" w:hAnsi="宋体" w:cs="宋体"/>
                <w:snapToGrid/>
                <w:color w:val="auto"/>
                <w:spacing w:val="0"/>
                <w:kern w:val="2"/>
                <w:sz w:val="21"/>
                <w:szCs w:val="21"/>
                <w:highlight w:val="none"/>
              </w:rPr>
              <w:t>万元</w:t>
            </w:r>
          </w:p>
        </w:tc>
      </w:tr>
    </w:tbl>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（二）采购人的具体采购需求：详见招标文件中的“用户需求书”。</w:t>
      </w:r>
    </w:p>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（三）本项</w:t>
      </w:r>
      <w:r>
        <w:rPr>
          <w:rFonts w:hint="eastAsia" w:ascii="宋体" w:hAnsi="宋体" w:cs="宋体"/>
          <w:bCs/>
          <w:color w:val="auto"/>
          <w:szCs w:val="20"/>
          <w:highlight w:val="none"/>
        </w:rPr>
        <w:t>目</w:t>
      </w:r>
      <w:r>
        <w:rPr>
          <w:rFonts w:hint="eastAsia" w:ascii="宋体" w:hAnsi="宋体" w:cs="宋体"/>
          <w:bCs/>
          <w:color w:val="auto"/>
          <w:szCs w:val="20"/>
          <w:highlight w:val="none"/>
          <w:lang w:eastAsia="zh-CN"/>
        </w:rPr>
        <w:t>接受</w:t>
      </w:r>
      <w:r>
        <w:rPr>
          <w:rFonts w:hint="eastAsia" w:ascii="宋体" w:hAnsi="宋体" w:cs="宋体"/>
          <w:bCs/>
          <w:color w:val="auto"/>
          <w:szCs w:val="20"/>
          <w:highlight w:val="none"/>
        </w:rPr>
        <w:t>进</w:t>
      </w:r>
      <w:r>
        <w:rPr>
          <w:rFonts w:hint="eastAsia" w:ascii="宋体" w:hAnsi="宋体" w:cs="宋体"/>
          <w:bCs/>
          <w:color w:val="auto"/>
          <w:szCs w:val="20"/>
          <w:highlight w:val="none"/>
        </w:rPr>
        <w:t>口</w:t>
      </w:r>
      <w:r>
        <w:rPr>
          <w:rFonts w:hint="eastAsia" w:ascii="宋体"/>
          <w:bCs/>
          <w:color w:val="auto"/>
          <w:szCs w:val="20"/>
          <w:highlight w:val="none"/>
        </w:rPr>
        <w:t>产品\服务。</w:t>
      </w:r>
    </w:p>
    <w:p>
      <w:pPr>
        <w:adjustRightInd w:val="0"/>
        <w:snapToGrid w:val="0"/>
        <w:spacing w:line="360" w:lineRule="auto"/>
        <w:ind w:firstLine="424" w:firstLineChars="202"/>
        <w:rPr>
          <w:rFonts w:ascii="宋体"/>
          <w:bCs/>
          <w:color w:val="auto"/>
          <w:szCs w:val="20"/>
          <w:highlight w:val="none"/>
        </w:rPr>
      </w:pPr>
      <w:r>
        <w:rPr>
          <w:rFonts w:hint="eastAsia" w:ascii="宋体"/>
          <w:bCs/>
          <w:color w:val="auto"/>
          <w:szCs w:val="20"/>
          <w:highlight w:val="none"/>
        </w:rPr>
        <w:t>（四）本项目属于采购人自行采购项目；采购监督管理部门为采购人的上级主管部门或采购人的纪检部门。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四、投标人的资格要求：</w:t>
      </w:r>
    </w:p>
    <w:p>
      <w:pPr>
        <w:pStyle w:val="84"/>
        <w:adjustRightInd w:val="0"/>
        <w:snapToGrid w:val="0"/>
        <w:spacing w:line="360" w:lineRule="auto"/>
        <w:ind w:firstLine="424" w:firstLineChars="202"/>
        <w:rPr>
          <w:rFonts w:ascii="宋体" w:hAnsi="宋体"/>
          <w:bCs/>
          <w:color w:val="auto"/>
          <w:szCs w:val="21"/>
          <w:highlight w:val="none"/>
        </w:rPr>
      </w:pPr>
      <w:bookmarkStart w:id="6" w:name="_Toc435514843"/>
      <w:bookmarkStart w:id="7" w:name="_Toc435115052"/>
      <w:r>
        <w:rPr>
          <w:rFonts w:hint="eastAsia" w:ascii="宋体" w:hAnsi="宋体" w:cs="宋体"/>
          <w:bCs/>
          <w:color w:val="auto"/>
          <w:szCs w:val="20"/>
          <w:highlight w:val="none"/>
        </w:rPr>
        <w:t>（一）</w:t>
      </w:r>
      <w:r>
        <w:rPr>
          <w:rFonts w:hint="eastAsia" w:ascii="宋体" w:hAnsi="宋体"/>
          <w:bCs/>
          <w:color w:val="auto"/>
          <w:szCs w:val="21"/>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s="宋体"/>
          <w:bCs/>
          <w:color w:val="auto"/>
          <w:szCs w:val="20"/>
          <w:highlight w:val="none"/>
        </w:rPr>
        <w:t>（二）</w:t>
      </w:r>
      <w:r>
        <w:rPr>
          <w:rFonts w:hint="eastAsia" w:ascii="宋体" w:hAnsi="宋体"/>
          <w:color w:val="auto"/>
          <w:szCs w:val="21"/>
          <w:highlight w:val="none"/>
        </w:rPr>
        <w:t>本项目的特定资格要求：</w:t>
      </w:r>
    </w:p>
    <w:p>
      <w:pPr>
        <w:pStyle w:val="84"/>
        <w:adjustRightInd w:val="0"/>
        <w:snapToGrid w:val="0"/>
        <w:spacing w:line="360" w:lineRule="auto"/>
        <w:ind w:firstLine="424" w:firstLineChars="202"/>
        <w:rPr>
          <w:rFonts w:hint="eastAsia"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1</w:t>
      </w:r>
      <w:r>
        <w:rPr>
          <w:rFonts w:hint="eastAsia" w:ascii="宋体" w:hAnsi="宋体" w:cs="宋体"/>
          <w:bCs/>
          <w:color w:val="auto"/>
          <w:szCs w:val="20"/>
          <w:highlight w:val="none"/>
          <w:lang w:eastAsia="zh-CN"/>
        </w:rPr>
        <w:t>）投标人为生产企业：如所投产品为第二类或第三类医疗器械，提供监督管理部门签发的有效的《医疗器械生产许可证》复印件；</w:t>
      </w:r>
      <w:r>
        <w:rPr>
          <w:rFonts w:hint="eastAsia" w:ascii="宋体" w:hAnsi="宋体" w:cs="宋体"/>
          <w:bCs/>
          <w:color w:val="auto"/>
          <w:szCs w:val="20"/>
          <w:highlight w:val="none"/>
        </w:rPr>
        <w:t>（①提供在有效期内的证书复印件，如证书上未体现有效期的，需同时提供发证机构官方网站显示的有效期的截图作为证明材料；②如国家另有规定，则适用其规定，投标人提供相关证明材料，如有效的资质证书及相关政府部门的规定；）</w:t>
      </w:r>
    </w:p>
    <w:p>
      <w:pPr>
        <w:pStyle w:val="84"/>
        <w:adjustRightInd w:val="0"/>
        <w:snapToGrid w:val="0"/>
        <w:spacing w:line="360" w:lineRule="auto"/>
        <w:ind w:firstLine="424" w:firstLineChars="202"/>
        <w:rPr>
          <w:rFonts w:hint="eastAsia"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2</w:t>
      </w:r>
      <w:r>
        <w:rPr>
          <w:rFonts w:hint="eastAsia" w:ascii="宋体" w:hAnsi="宋体" w:cs="宋体"/>
          <w:bCs/>
          <w:color w:val="auto"/>
          <w:szCs w:val="20"/>
          <w:highlight w:val="none"/>
          <w:lang w:eastAsia="zh-CN"/>
        </w:rPr>
        <w:t>）投标人为经营企业：如所投产品为第三类医疗器械，提供监督管理部门签发的有效的《医疗器械经营许可证》复印件；（①提供在有效期内的证书复印件，如证书上未体现有效期的，需同时提供发证机构官方网站显示的有效期的截图作为证明材料；②如国家另有规定，则适用其规定，投标人提供相关证明材料，如有效的资质证书及相关政府部门的规定；）</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bCs/>
          <w:color w:val="auto"/>
          <w:szCs w:val="20"/>
          <w:highlight w:val="none"/>
        </w:rPr>
        <w:t>（三）</w:t>
      </w:r>
      <w:r>
        <w:rPr>
          <w:rFonts w:hint="eastAsia" w:ascii="宋体" w:hAnsi="宋体"/>
          <w:color w:val="auto"/>
          <w:szCs w:val="21"/>
          <w:highlight w:val="none"/>
        </w:rPr>
        <w:t>参与本项目投标前三年内，在经营活动中没有重大违法记录（由供应商在《投标人资格声明函》中作出声</w:t>
      </w:r>
      <w:r>
        <w:rPr>
          <w:rFonts w:hint="eastAsia" w:ascii="宋体" w:hAnsi="宋体"/>
          <w:color w:val="auto"/>
          <w:szCs w:val="21"/>
          <w:highlight w:val="none"/>
        </w:rPr>
        <w:t>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（四）参与本项目采购活动时不存在被有关部门禁止参与政府采购活动且在有效期内的情况（由供应商在《投标人资格声明函》中作出声明）。</w:t>
      </w:r>
    </w:p>
    <w:p>
      <w:pPr>
        <w:adjustRightInd w:val="0"/>
        <w:snapToGrid w:val="0"/>
        <w:spacing w:line="360" w:lineRule="auto"/>
        <w:ind w:firstLine="420" w:firstLineChars="200"/>
        <w:rPr>
          <w:rFonts w:ascii="宋体" w:hAnsi="宋体"/>
          <w:color w:val="auto"/>
          <w:szCs w:val="21"/>
          <w:highlight w:val="none"/>
        </w:rPr>
      </w:pPr>
      <w:bookmarkStart w:id="8" w:name="_Hlk50362743"/>
      <w:r>
        <w:rPr>
          <w:rFonts w:hint="eastAsia" w:ascii="宋体" w:hAnsi="宋体"/>
          <w:bCs/>
          <w:color w:val="auto"/>
          <w:szCs w:val="21"/>
          <w:highlight w:val="none"/>
        </w:rPr>
        <w:t>（五）为采购项目提供整体设计、规范编制或者项目管理、监理、检测等服务的供应商，不得再参加该采购项目同一合同项下的其他采购活动（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由供应商在《投标人资格声明函》中作出声明</w:t>
      </w:r>
      <w:r>
        <w:rPr>
          <w:rFonts w:hint="eastAsia" w:ascii="宋体" w:hAnsi="宋体"/>
          <w:bCs/>
          <w:color w:val="auto"/>
          <w:szCs w:val="21"/>
          <w:highlight w:val="none"/>
        </w:rPr>
        <w:t>）。</w:t>
      </w:r>
    </w:p>
    <w:p>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（六）单位负责人为同一人或者存在直接控股、管理关系的不同供应商，不得参加同一合同项下的采购活动（</w:t>
      </w:r>
      <w:r>
        <w:rPr>
          <w:rFonts w:hint="eastAsia" w:ascii="宋体" w:hAnsi="宋体"/>
          <w:color w:val="auto"/>
          <w:szCs w:val="21"/>
          <w:highlight w:val="none"/>
        </w:rPr>
        <w:t>由供应商在《投标人资格声明函》中作出声明</w:t>
      </w:r>
      <w:r>
        <w:rPr>
          <w:rFonts w:hint="eastAsia" w:ascii="宋体" w:hAnsi="宋体"/>
          <w:bCs/>
          <w:color w:val="auto"/>
          <w:szCs w:val="21"/>
          <w:highlight w:val="none"/>
        </w:rPr>
        <w:t>）。</w:t>
      </w:r>
    </w:p>
    <w:p>
      <w:pPr>
        <w:adjustRightInd w:val="0"/>
        <w:snapToGrid w:val="0"/>
        <w:spacing w:line="360" w:lineRule="auto"/>
        <w:ind w:firstLine="420" w:firstLineChars="200"/>
        <w:rPr>
          <w:rFonts w:ascii="宋体" w:hAnsi="宋体" w:cs="宋体"/>
          <w:bCs/>
          <w:color w:val="auto"/>
          <w:szCs w:val="20"/>
          <w:highlight w:val="none"/>
        </w:rPr>
      </w:pPr>
      <w:r>
        <w:rPr>
          <w:rFonts w:hint="eastAsia" w:ascii="宋体" w:hAnsi="宋体"/>
          <w:color w:val="auto"/>
          <w:szCs w:val="21"/>
          <w:highlight w:val="none"/>
        </w:rPr>
        <w:t>（七）未</w:t>
      </w:r>
      <w:bookmarkStart w:id="9" w:name="_Hlk41992259"/>
      <w:r>
        <w:rPr>
          <w:rFonts w:hint="eastAsia" w:ascii="宋体" w:hAnsi="宋体"/>
          <w:color w:val="auto"/>
          <w:szCs w:val="21"/>
          <w:highlight w:val="none"/>
        </w:rPr>
        <w:t>被列入失信被执行人、</w:t>
      </w:r>
      <w:r>
        <w:rPr>
          <w:rFonts w:ascii="宋体" w:hAnsi="宋体"/>
          <w:color w:val="auto"/>
          <w:szCs w:val="21"/>
          <w:highlight w:val="none"/>
        </w:rPr>
        <w:t>重大税收违法案件当事人名单（税收违法黑名单）</w:t>
      </w:r>
      <w:r>
        <w:rPr>
          <w:rFonts w:hint="eastAsia" w:ascii="宋体" w:hAnsi="宋体"/>
          <w:color w:val="auto"/>
          <w:szCs w:val="21"/>
          <w:highlight w:val="none"/>
        </w:rPr>
        <w:t>、政府采购严重违法失信行为记录名单（由供应商在《投标人资格声明函》中作出声明）。注：“信用中国”、“中国政府采购网”、“深圳信用网”以及“深圳市政府采购监管网”为供应商信用信息的查询渠道，相关信息以开标当日的查询结果为准。</w:t>
      </w:r>
      <w:bookmarkEnd w:id="8"/>
      <w:bookmarkEnd w:id="9"/>
    </w:p>
    <w:p>
      <w:pPr>
        <w:pStyle w:val="84"/>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（八）本项目不接受联合体投标。</w:t>
      </w:r>
    </w:p>
    <w:p>
      <w:pPr>
        <w:tabs>
          <w:tab w:val="left" w:pos="567"/>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五、</w:t>
      </w:r>
      <w:r>
        <w:rPr>
          <w:rStyle w:val="41"/>
          <w:rFonts w:hint="eastAsia" w:ascii="宋体" w:hAnsi="宋体" w:eastAsia="宋体"/>
          <w:bCs w:val="0"/>
          <w:color w:val="auto"/>
          <w:highlight w:val="none"/>
        </w:rPr>
        <w:t>报名要求</w:t>
      </w:r>
    </w:p>
    <w:p>
      <w:pPr>
        <w:adjustRightInd w:val="0"/>
        <w:snapToGrid w:val="0"/>
        <w:spacing w:line="360" w:lineRule="auto"/>
        <w:ind w:firstLine="420" w:firstLineChars="200"/>
        <w:rPr>
          <w:rFonts w:hint="default" w:ascii="宋体" w:hAnsi="宋体" w:eastAsia="宋体" w:cs="宋体"/>
          <w:bCs/>
          <w:color w:val="auto"/>
          <w:szCs w:val="20"/>
          <w:highlight w:val="none"/>
          <w:lang w:val="en-US" w:eastAsia="zh-CN"/>
        </w:rPr>
      </w:pPr>
      <w:r>
        <w:rPr>
          <w:rFonts w:hint="eastAsia" w:ascii="宋体" w:hAnsi="宋体"/>
          <w:color w:val="auto"/>
          <w:szCs w:val="21"/>
          <w:highlight w:val="none"/>
        </w:rPr>
        <w:t>（一）</w:t>
      </w:r>
      <w:r>
        <w:rPr>
          <w:rFonts w:hint="eastAsia" w:ascii="宋体" w:hAnsi="宋体" w:cs="宋体"/>
          <w:bCs/>
          <w:color w:val="auto"/>
          <w:szCs w:val="21"/>
          <w:highlight w:val="none"/>
        </w:rPr>
        <w:t>符合资格的供应商应当在</w:t>
      </w:r>
      <w:r>
        <w:rPr>
          <w:rFonts w:hint="eastAsia" w:ascii="宋体" w:hAnsi="宋体" w:cs="宋体"/>
          <w:bCs/>
          <w:color w:val="auto"/>
          <w:szCs w:val="21"/>
          <w:highlight w:val="none"/>
          <w:u w:val="single"/>
          <w:lang w:val="en-US" w:eastAsia="zh-CN"/>
        </w:rPr>
        <w:t>2024</w:t>
      </w:r>
      <w:r>
        <w:rPr>
          <w:rFonts w:hint="eastAsia" w:ascii="宋体" w:hAnsi="宋体" w:cs="宋体"/>
          <w:bCs/>
          <w:color w:val="auto"/>
          <w:szCs w:val="21"/>
          <w:highlight w:val="none"/>
        </w:rPr>
        <w:t>年</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rPr>
        <w:t>月</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rPr>
        <w:t>日至</w:t>
      </w:r>
      <w:r>
        <w:rPr>
          <w:rFonts w:hint="eastAsia" w:ascii="宋体" w:hAnsi="宋体" w:cs="宋体"/>
          <w:bCs/>
          <w:color w:val="auto"/>
          <w:szCs w:val="21"/>
          <w:highlight w:val="none"/>
          <w:u w:val="single"/>
          <w:lang w:val="en-US" w:eastAsia="zh-CN"/>
        </w:rPr>
        <w:t>2024</w:t>
      </w:r>
      <w:r>
        <w:rPr>
          <w:rFonts w:hint="eastAsia" w:ascii="宋体" w:hAnsi="宋体" w:cs="宋体"/>
          <w:bCs/>
          <w:color w:val="auto"/>
          <w:szCs w:val="21"/>
          <w:highlight w:val="none"/>
        </w:rPr>
        <w:t>年</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rPr>
        <w:t>月</w:t>
      </w:r>
      <w:r>
        <w:rPr>
          <w:rFonts w:hint="eastAsia" w:ascii="宋体" w:hAnsi="宋体" w:cs="宋体"/>
          <w:bCs/>
          <w:color w:val="auto"/>
          <w:szCs w:val="21"/>
          <w:highlight w:val="none"/>
          <w:u w:val="single"/>
          <w:lang w:val="en-US" w:eastAsia="zh-CN"/>
        </w:rPr>
        <w:t>15</w:t>
      </w:r>
      <w:r>
        <w:rPr>
          <w:rFonts w:hint="eastAsia" w:ascii="宋体" w:hAnsi="宋体" w:cs="宋体"/>
          <w:bCs/>
          <w:color w:val="auto"/>
          <w:szCs w:val="21"/>
          <w:highlight w:val="none"/>
        </w:rPr>
        <w:t>日</w:t>
      </w:r>
      <w:r>
        <w:rPr>
          <w:rFonts w:hint="eastAsia" w:ascii="宋体" w:hAnsi="宋体" w:cs="宋体"/>
          <w:bCs/>
          <w:color w:val="auto"/>
          <w:szCs w:val="21"/>
          <w:highlight w:val="none"/>
        </w:rPr>
        <w:t>期间（不少于5个工作日），在线上获取招标文件</w:t>
      </w:r>
      <w:r>
        <w:rPr>
          <w:rFonts w:hint="eastAsia" w:ascii="宋体" w:hAnsi="宋体" w:cs="宋体"/>
          <w:b/>
          <w:bCs w:val="0"/>
          <w:color w:val="auto"/>
          <w:szCs w:val="21"/>
          <w:highlight w:val="none"/>
          <w:u w:val="double"/>
          <w:lang w:eastAsia="zh-CN"/>
        </w:rPr>
        <w:t>（登录</w:t>
      </w:r>
      <w:r>
        <w:rPr>
          <w:rFonts w:hint="eastAsia" w:ascii="宋体" w:hAnsi="宋体"/>
          <w:b/>
          <w:bCs w:val="0"/>
          <w:color w:val="auto"/>
          <w:szCs w:val="21"/>
          <w:highlight w:val="none"/>
          <w:u w:val="double"/>
        </w:rPr>
        <w:t>云采链线上采购一体化平台（http://www.choicelink.cn）</w:t>
      </w:r>
      <w:r>
        <w:rPr>
          <w:rFonts w:hint="eastAsia" w:ascii="宋体" w:hAnsi="宋体" w:eastAsia="宋体"/>
          <w:b/>
          <w:bCs w:val="0"/>
          <w:color w:val="auto"/>
          <w:sz w:val="21"/>
          <w:szCs w:val="21"/>
          <w:highlight w:val="none"/>
          <w:u w:val="double"/>
        </w:rPr>
        <w:t>→</w:t>
      </w:r>
      <w:r>
        <w:rPr>
          <w:rFonts w:hint="eastAsia" w:ascii="宋体" w:hAnsi="宋体"/>
          <w:b/>
          <w:bCs w:val="0"/>
          <w:color w:val="auto"/>
          <w:sz w:val="21"/>
          <w:szCs w:val="21"/>
          <w:highlight w:val="none"/>
          <w:u w:val="double"/>
          <w:lang w:eastAsia="zh-CN"/>
        </w:rPr>
        <w:t>完成</w:t>
      </w:r>
      <w:r>
        <w:rPr>
          <w:rFonts w:hint="eastAsia" w:ascii="宋体" w:hAnsi="宋体" w:eastAsia="宋体"/>
          <w:b/>
          <w:bCs w:val="0"/>
          <w:color w:val="auto"/>
          <w:sz w:val="21"/>
          <w:szCs w:val="21"/>
          <w:highlight w:val="none"/>
          <w:u w:val="double"/>
        </w:rPr>
        <w:t>平台注册</w:t>
      </w:r>
      <w:r>
        <w:rPr>
          <w:rFonts w:hint="eastAsia" w:asciiTheme="minorEastAsia" w:hAnsiTheme="minorEastAsia" w:eastAsiaTheme="minorEastAsia"/>
          <w:b/>
          <w:bCs w:val="0"/>
          <w:color w:val="auto"/>
          <w:sz w:val="24"/>
          <w:highlight w:val="none"/>
          <w:u w:val="double"/>
        </w:rPr>
        <w:t>→</w:t>
      </w:r>
      <w:r>
        <w:rPr>
          <w:rFonts w:hint="eastAsia" w:ascii="宋体" w:hAnsi="宋体"/>
          <w:b/>
          <w:bCs w:val="0"/>
          <w:color w:val="auto"/>
          <w:szCs w:val="21"/>
          <w:highlight w:val="none"/>
          <w:u w:val="double"/>
          <w:lang w:eastAsia="zh-CN"/>
        </w:rPr>
        <w:t>搜索项目名称</w:t>
      </w:r>
      <w:r>
        <w:rPr>
          <w:rFonts w:hint="eastAsia" w:asciiTheme="minorEastAsia" w:hAnsiTheme="minorEastAsia" w:eastAsiaTheme="minorEastAsia"/>
          <w:b/>
          <w:bCs w:val="0"/>
          <w:color w:val="auto"/>
          <w:sz w:val="24"/>
          <w:highlight w:val="none"/>
          <w:u w:val="double"/>
        </w:rPr>
        <w:t>→</w:t>
      </w:r>
      <w:r>
        <w:rPr>
          <w:rFonts w:hint="eastAsia" w:ascii="宋体" w:hAnsi="宋体"/>
          <w:b/>
          <w:bCs w:val="0"/>
          <w:color w:val="auto"/>
          <w:szCs w:val="21"/>
          <w:highlight w:val="none"/>
          <w:u w:val="double"/>
          <w:lang w:val="en-US" w:eastAsia="zh-CN"/>
        </w:rPr>
        <w:t>点击</w:t>
      </w:r>
      <w:r>
        <w:rPr>
          <w:rFonts w:hint="eastAsia" w:asciiTheme="minorEastAsia" w:hAnsiTheme="minorEastAsia" w:eastAsiaTheme="minorEastAsia"/>
          <w:b/>
          <w:bCs w:val="0"/>
          <w:color w:val="auto"/>
          <w:sz w:val="24"/>
          <w:highlight w:val="none"/>
          <w:u w:val="double"/>
        </w:rPr>
        <w:t>【</w:t>
      </w:r>
      <w:r>
        <w:rPr>
          <w:rFonts w:hint="eastAsia" w:ascii="宋体" w:hAnsi="宋体"/>
          <w:b/>
          <w:bCs w:val="0"/>
          <w:color w:val="auto"/>
          <w:szCs w:val="21"/>
          <w:highlight w:val="none"/>
          <w:u w:val="double"/>
          <w:lang w:val="en-US" w:eastAsia="zh-CN"/>
        </w:rPr>
        <w:t>正在报名</w:t>
      </w:r>
      <w:r>
        <w:rPr>
          <w:rFonts w:hint="eastAsia" w:asciiTheme="minorEastAsia" w:hAnsiTheme="minorEastAsia" w:eastAsiaTheme="minorEastAsia"/>
          <w:b/>
          <w:bCs w:val="0"/>
          <w:color w:val="auto"/>
          <w:sz w:val="24"/>
          <w:highlight w:val="none"/>
          <w:u w:val="double"/>
        </w:rPr>
        <w:t>】</w:t>
      </w:r>
      <w:r>
        <w:rPr>
          <w:rFonts w:hint="eastAsia" w:ascii="宋体" w:hAnsi="宋体" w:cs="宋体"/>
          <w:b/>
          <w:bCs w:val="0"/>
          <w:color w:val="auto"/>
          <w:szCs w:val="21"/>
          <w:highlight w:val="none"/>
          <w:u w:val="double"/>
          <w:lang w:eastAsia="zh-CN"/>
        </w:rPr>
        <w:t>）</w:t>
      </w:r>
      <w:r>
        <w:rPr>
          <w:rFonts w:hint="eastAsia" w:ascii="宋体" w:hAnsi="宋体" w:cs="宋体"/>
          <w:bCs/>
          <w:color w:val="auto"/>
          <w:szCs w:val="21"/>
          <w:highlight w:val="none"/>
        </w:rPr>
        <w:t>。供应商获取招标文件、提交报名申请并通过后方可视为报名成功。</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0"/>
          <w:highlight w:val="none"/>
        </w:rPr>
        <w:t>（二）</w:t>
      </w:r>
      <w:r>
        <w:rPr>
          <w:rFonts w:hint="eastAsia" w:ascii="宋体" w:hAnsi="宋体" w:cs="宋体"/>
          <w:color w:val="auto"/>
          <w:szCs w:val="21"/>
          <w:highlight w:val="none"/>
        </w:rPr>
        <w:t>获取招标文件过程问题咨询：</w:t>
      </w:r>
      <w:r>
        <w:rPr>
          <w:rFonts w:ascii="宋体" w:hAnsi="宋体"/>
          <w:color w:val="auto"/>
          <w:highlight w:val="none"/>
        </w:rPr>
        <w:t>扫码关注微信公众号“云采链互联服务平台”，即可在线咨询相关事项</w:t>
      </w:r>
      <w:r>
        <w:rPr>
          <w:rFonts w:hint="eastAsia" w:ascii="宋体" w:hAnsi="宋体"/>
          <w:color w:val="auto"/>
          <w:highlight w:val="none"/>
        </w:rPr>
        <w:t>。</w:t>
      </w:r>
    </w:p>
    <w:p>
      <w:pPr>
        <w:adjustRightInd w:val="0"/>
        <w:snapToGrid w:val="0"/>
        <w:spacing w:line="360" w:lineRule="auto"/>
        <w:ind w:firstLine="420" w:firstLineChars="200"/>
        <w:jc w:val="center"/>
        <w:rPr>
          <w:rFonts w:hint="eastAsia" w:ascii="宋体" w:hAnsi="宋体" w:cs="宋体"/>
          <w:bCs/>
          <w:color w:val="auto"/>
          <w:szCs w:val="21"/>
          <w:highlight w:val="none"/>
        </w:rPr>
      </w:pPr>
      <w:r>
        <w:rPr>
          <w:rFonts w:hint="eastAsia" w:ascii="宋体" w:hAnsi="宋体" w:eastAsia="宋体"/>
          <w:color w:val="auto"/>
          <w:highlight w:val="none"/>
        </w:rPr>
        <w:drawing>
          <wp:inline distT="0" distB="0" distL="0" distR="0">
            <wp:extent cx="1390650" cy="1390650"/>
            <wp:effectExtent l="0" t="0" r="0" b="0"/>
            <wp:docPr id="3" name="图片 3"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360zip$Temp\360$2\智采公众号8c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numPr>
          <w:ilvl w:val="0"/>
          <w:numId w:val="1"/>
        </w:num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投标截止时间及开标时间：</w:t>
      </w:r>
      <w:r>
        <w:rPr>
          <w:rFonts w:hint="eastAsia" w:ascii="宋体" w:hAnsi="宋体" w:cs="宋体"/>
          <w:bCs/>
          <w:color w:val="auto"/>
          <w:szCs w:val="20"/>
          <w:highlight w:val="none"/>
        </w:rPr>
        <w:t>20</w:t>
      </w:r>
      <w:r>
        <w:rPr>
          <w:rFonts w:hint="eastAsia" w:ascii="宋体" w:hAnsi="宋体" w:cs="宋体"/>
          <w:bCs/>
          <w:color w:val="auto"/>
          <w:szCs w:val="20"/>
          <w:highlight w:val="none"/>
          <w:lang w:val="en-US" w:eastAsia="zh-CN"/>
        </w:rPr>
        <w:t>24</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22</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45</w:t>
      </w:r>
      <w:r>
        <w:rPr>
          <w:rFonts w:hint="eastAsia" w:ascii="宋体" w:hAnsi="宋体" w:cs="宋体"/>
          <w:bCs/>
          <w:color w:val="auto"/>
          <w:szCs w:val="20"/>
          <w:highlight w:val="none"/>
        </w:rPr>
        <w:t>分</w:t>
      </w:r>
      <w:r>
        <w:rPr>
          <w:rFonts w:hint="eastAsia" w:ascii="宋体" w:hAnsi="宋体" w:cs="宋体"/>
          <w:bCs/>
          <w:color w:val="auto"/>
          <w:szCs w:val="20"/>
          <w:highlight w:val="none"/>
        </w:rPr>
        <w:t>。</w:t>
      </w:r>
    </w:p>
    <w:p>
      <w:pPr>
        <w:pStyle w:val="2"/>
        <w:numPr>
          <w:ilvl w:val="0"/>
          <w:numId w:val="1"/>
        </w:numPr>
        <w:spacing w:line="360" w:lineRule="auto"/>
        <w:rPr>
          <w:rStyle w:val="41"/>
          <w:rFonts w:hint="eastAsia" w:hAnsi="宋体" w:eastAsia="宋体" w:cs="宋体"/>
          <w:b/>
          <w:bCs/>
          <w:color w:val="auto"/>
          <w:highlight w:val="none"/>
          <w:u w:val="double"/>
        </w:rPr>
      </w:pPr>
      <w:r>
        <w:rPr>
          <w:rFonts w:hint="eastAsia" w:hAnsi="宋体" w:eastAsia="宋体" w:cs="宋体"/>
          <w:b w:val="0"/>
          <w:bCs w:val="0"/>
          <w:color w:val="auto"/>
          <w:highlight w:val="none"/>
        </w:rPr>
        <w:t>递交投</w:t>
      </w:r>
      <w:r>
        <w:rPr>
          <w:rFonts w:hint="eastAsia" w:hAnsi="宋体" w:eastAsia="宋体" w:cs="宋体"/>
          <w:b w:val="0"/>
          <w:bCs w:val="0"/>
          <w:color w:val="auto"/>
          <w:highlight w:val="none"/>
          <w:u w:val="none"/>
        </w:rPr>
        <w:t>标文</w:t>
      </w:r>
      <w:r>
        <w:rPr>
          <w:rFonts w:hint="eastAsia" w:hAnsi="宋体" w:eastAsia="宋体" w:cs="宋体"/>
          <w:b w:val="0"/>
          <w:bCs w:val="0"/>
          <w:color w:val="auto"/>
          <w:highlight w:val="none"/>
          <w:u w:val="none"/>
        </w:rPr>
        <w:t>件</w:t>
      </w:r>
      <w:r>
        <w:rPr>
          <w:rFonts w:hint="eastAsia" w:hAnsi="宋体" w:eastAsia="宋体" w:cs="宋体"/>
          <w:b/>
          <w:bCs/>
          <w:color w:val="auto"/>
          <w:highlight w:val="none"/>
          <w:u w:val="double"/>
          <w:lang w:eastAsia="zh-CN"/>
        </w:rPr>
        <w:t>（</w:t>
      </w:r>
      <w:r>
        <w:rPr>
          <w:rStyle w:val="41"/>
          <w:rFonts w:hint="eastAsia" w:hAnsi="宋体" w:eastAsia="宋体" w:cs="宋体"/>
          <w:b/>
          <w:bCs/>
          <w:color w:val="auto"/>
          <w:highlight w:val="none"/>
          <w:u w:val="double"/>
        </w:rPr>
        <w:t>投标人</w:t>
      </w:r>
      <w:r>
        <w:rPr>
          <w:rFonts w:hint="eastAsia" w:hAnsi="宋体" w:eastAsia="宋体" w:cs="宋体"/>
          <w:b/>
          <w:bCs/>
          <w:color w:val="auto"/>
          <w:highlight w:val="none"/>
          <w:u w:val="double"/>
        </w:rPr>
        <w:t>须在</w:t>
      </w:r>
      <w:r>
        <w:rPr>
          <w:rFonts w:hint="eastAsia" w:ascii="宋体" w:hAnsi="宋体"/>
          <w:b/>
          <w:bCs/>
          <w:color w:val="auto"/>
          <w:szCs w:val="21"/>
          <w:highlight w:val="none"/>
          <w:u w:val="double"/>
        </w:rPr>
        <w:t>采链线上采购一体化平台</w:t>
      </w:r>
      <w:r>
        <w:rPr>
          <w:rFonts w:hint="eastAsia" w:hAnsi="宋体" w:eastAsia="宋体" w:cs="宋体"/>
          <w:b/>
          <w:bCs/>
          <w:color w:val="auto"/>
          <w:highlight w:val="none"/>
          <w:u w:val="double"/>
        </w:rPr>
        <w:t>报价环节上传投标文件并报价</w:t>
      </w:r>
      <w:r>
        <w:rPr>
          <w:rFonts w:hint="eastAsia" w:hAnsi="宋体" w:eastAsia="宋体" w:cs="宋体"/>
          <w:b/>
          <w:bCs/>
          <w:color w:val="auto"/>
          <w:highlight w:val="none"/>
          <w:u w:val="double"/>
          <w:lang w:eastAsia="zh-CN"/>
        </w:rPr>
        <w:t>）</w:t>
      </w:r>
      <w:r>
        <w:rPr>
          <w:rFonts w:hint="eastAsia" w:hAnsi="宋体" w:eastAsia="宋体" w:cs="宋体"/>
          <w:b/>
          <w:bCs/>
          <w:color w:val="auto"/>
          <w:highlight w:val="none"/>
          <w:u w:val="double"/>
        </w:rPr>
        <w:t>：</w:t>
      </w:r>
    </w:p>
    <w:p>
      <w:pPr>
        <w:pStyle w:val="2"/>
        <w:numPr>
          <w:ilvl w:val="-1"/>
          <w:numId w:val="0"/>
        </w:numPr>
        <w:spacing w:line="360" w:lineRule="auto"/>
        <w:ind w:firstLine="420" w:firstLineChars="200"/>
        <w:rPr>
          <w:rStyle w:val="41"/>
          <w:rFonts w:hint="eastAsia" w:hAnsi="宋体" w:eastAsia="宋体" w:cs="宋体"/>
          <w:b/>
          <w:bCs/>
          <w:color w:val="auto"/>
          <w:highlight w:val="none"/>
          <w:u w:val="double"/>
        </w:rPr>
      </w:pPr>
      <w:r>
        <w:rPr>
          <w:rStyle w:val="41"/>
          <w:rFonts w:hint="eastAsia" w:hAnsi="宋体" w:eastAsia="宋体" w:cs="宋体"/>
          <w:b w:val="0"/>
          <w:bCs w:val="0"/>
          <w:color w:val="auto"/>
          <w:highlight w:val="none"/>
          <w:u w:val="none"/>
          <w:lang w:eastAsia="zh-CN"/>
        </w:rPr>
        <w:t>（一）</w:t>
      </w:r>
      <w:r>
        <w:rPr>
          <w:rStyle w:val="41"/>
          <w:rFonts w:hint="eastAsia" w:hAnsi="宋体" w:eastAsia="宋体" w:cs="宋体"/>
          <w:b w:val="0"/>
          <w:bCs w:val="0"/>
          <w:color w:val="auto"/>
          <w:highlight w:val="none"/>
          <w:u w:val="none"/>
        </w:rPr>
        <w:t>投标人按照招标文件要求编制投标文件，在招标文件要求盖章处加盖公章后打印扫描成一个PDF</w:t>
      </w:r>
      <w:r>
        <w:rPr>
          <w:rStyle w:val="41"/>
          <w:rFonts w:hint="eastAsia" w:hAnsi="宋体" w:eastAsia="宋体" w:cs="宋体"/>
          <w:b w:val="0"/>
          <w:bCs w:val="0"/>
          <w:color w:val="auto"/>
          <w:highlight w:val="none"/>
          <w:u w:val="none"/>
          <w:lang w:eastAsia="zh-CN"/>
        </w:rPr>
        <w:t>（无病毒、无密码），在</w:t>
      </w:r>
      <w:r>
        <w:rPr>
          <w:rStyle w:val="41"/>
          <w:rFonts w:hint="eastAsia" w:hAnsi="宋体" w:eastAsia="宋体" w:cs="宋体"/>
          <w:b/>
          <w:bCs/>
          <w:color w:val="auto"/>
          <w:highlight w:val="none"/>
          <w:u w:val="none"/>
          <w:lang w:eastAsia="zh-CN"/>
        </w:rPr>
        <w:t>报名结束后至</w:t>
      </w:r>
      <w:r>
        <w:rPr>
          <w:rFonts w:hint="eastAsia" w:ascii="宋体" w:hAnsi="宋体" w:cs="宋体"/>
          <w:b/>
          <w:bCs/>
          <w:color w:val="auto"/>
          <w:szCs w:val="20"/>
          <w:highlight w:val="none"/>
          <w:u w:val="none"/>
        </w:rPr>
        <w:t>投标截止时间</w:t>
      </w:r>
      <w:r>
        <w:rPr>
          <w:rFonts w:hint="eastAsia" w:hAnsi="宋体" w:cs="宋体"/>
          <w:b/>
          <w:bCs/>
          <w:color w:val="auto"/>
          <w:szCs w:val="20"/>
          <w:highlight w:val="none"/>
          <w:u w:val="none"/>
          <w:lang w:eastAsia="zh-CN"/>
        </w:rPr>
        <w:t>前</w:t>
      </w:r>
      <w:r>
        <w:rPr>
          <w:rStyle w:val="41"/>
          <w:rFonts w:hint="eastAsia" w:hAnsi="宋体" w:eastAsia="宋体" w:cs="宋体"/>
          <w:b w:val="0"/>
          <w:bCs w:val="0"/>
          <w:color w:val="auto"/>
          <w:highlight w:val="none"/>
          <w:u w:val="none"/>
        </w:rPr>
        <w:t>上传</w:t>
      </w:r>
      <w:r>
        <w:rPr>
          <w:rStyle w:val="41"/>
          <w:rFonts w:hint="eastAsia" w:hAnsi="宋体" w:eastAsia="宋体" w:cs="宋体"/>
          <w:b w:val="0"/>
          <w:bCs w:val="0"/>
          <w:color w:val="auto"/>
          <w:highlight w:val="none"/>
          <w:u w:val="none"/>
          <w:lang w:eastAsia="zh-CN"/>
        </w:rPr>
        <w:t>至云</w:t>
      </w:r>
      <w:r>
        <w:rPr>
          <w:rFonts w:hint="eastAsia" w:ascii="宋体" w:hAnsi="宋体"/>
          <w:color w:val="auto"/>
          <w:szCs w:val="21"/>
          <w:highlight w:val="none"/>
          <w:u w:val="none"/>
        </w:rPr>
        <w:t>采链线上采购一体化平台（http://www.choicelink.cn）</w:t>
      </w:r>
      <w:r>
        <w:rPr>
          <w:rStyle w:val="41"/>
          <w:rFonts w:hint="eastAsia" w:hAnsi="宋体" w:eastAsia="宋体" w:cs="宋体"/>
          <w:b w:val="0"/>
          <w:bCs w:val="0"/>
          <w:color w:val="auto"/>
          <w:highlight w:val="none"/>
          <w:u w:val="none"/>
          <w:lang w:eastAsia="zh-CN"/>
        </w:rPr>
        <w:t>并在平台报价</w:t>
      </w:r>
      <w:r>
        <w:rPr>
          <w:rStyle w:val="41"/>
          <w:rFonts w:hint="eastAsia" w:hAnsi="宋体" w:eastAsia="宋体" w:cs="宋体"/>
          <w:b w:val="0"/>
          <w:bCs w:val="0"/>
          <w:color w:val="auto"/>
          <w:highlight w:val="none"/>
          <w:u w:val="none"/>
        </w:rPr>
        <w:t>。</w:t>
      </w:r>
      <w:r>
        <w:rPr>
          <w:rStyle w:val="41"/>
          <w:rFonts w:hint="eastAsia" w:hAnsi="宋体" w:eastAsia="宋体" w:cs="宋体"/>
          <w:b/>
          <w:bCs/>
          <w:color w:val="auto"/>
          <w:highlight w:val="none"/>
          <w:u w:val="double"/>
        </w:rPr>
        <w:t>（“报价通道”→“报价”进入项目详情页面→【我要报价】→上传投标文件、填写金额→【提交报价】。页面上的【查看出价记录】可查看报价是否已提交成功）</w:t>
      </w:r>
    </w:p>
    <w:p>
      <w:pPr>
        <w:tabs>
          <w:tab w:val="left" w:pos="567"/>
          <w:tab w:val="left" w:pos="728"/>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u w:val="none"/>
          <w:lang w:eastAsia="zh-CN"/>
        </w:rPr>
        <w:t>二）</w:t>
      </w:r>
      <w:r>
        <w:rPr>
          <w:rStyle w:val="41"/>
          <w:rFonts w:hint="eastAsia" w:hAnsi="宋体" w:eastAsia="宋体" w:cs="宋体"/>
          <w:b w:val="0"/>
          <w:bCs w:val="0"/>
          <w:color w:val="auto"/>
          <w:highlight w:val="none"/>
          <w:u w:val="none"/>
        </w:rPr>
        <w:t>投标人</w:t>
      </w:r>
      <w:r>
        <w:rPr>
          <w:color w:val="auto"/>
          <w:highlight w:val="none"/>
        </w:rPr>
        <w:t>须在系统报价结束后</w:t>
      </w:r>
      <w:r>
        <w:rPr>
          <w:rFonts w:hint="eastAsia" w:ascii="宋体" w:hAnsi="宋体" w:cs="宋体"/>
          <w:bCs/>
          <w:color w:val="auto"/>
          <w:szCs w:val="20"/>
          <w:highlight w:val="none"/>
        </w:rPr>
        <w:t>20</w:t>
      </w:r>
      <w:r>
        <w:rPr>
          <w:rFonts w:hint="eastAsia" w:ascii="宋体" w:hAnsi="宋体" w:cs="宋体"/>
          <w:bCs/>
          <w:color w:val="auto"/>
          <w:szCs w:val="20"/>
          <w:highlight w:val="none"/>
          <w:lang w:val="en-US" w:eastAsia="zh-CN"/>
        </w:rPr>
        <w:t>24</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22</w:t>
      </w:r>
      <w:r>
        <w:rPr>
          <w:rFonts w:hint="eastAsia" w:ascii="宋体" w:hAnsi="宋体" w:cs="宋体"/>
          <w:bCs/>
          <w:color w:val="auto"/>
          <w:szCs w:val="20"/>
          <w:highlight w:val="none"/>
        </w:rPr>
        <w:t>日</w:t>
      </w:r>
      <w:r>
        <w:rPr>
          <w:color w:val="auto"/>
          <w:highlight w:val="none"/>
        </w:rPr>
        <w:t>前</w:t>
      </w:r>
      <w:r>
        <w:rPr>
          <w:rFonts w:hint="eastAsia"/>
          <w:color w:val="auto"/>
          <w:highlight w:val="none"/>
          <w:lang w:eastAsia="zh-CN"/>
        </w:rPr>
        <w:t>（</w:t>
      </w:r>
      <w:r>
        <w:rPr>
          <w:rFonts w:hint="eastAsia"/>
          <w:color w:val="auto"/>
          <w:highlight w:val="none"/>
          <w:lang w:val="en-US" w:eastAsia="zh-CN"/>
        </w:rPr>
        <w:t>须在开标时间前收到</w:t>
      </w:r>
      <w:r>
        <w:rPr>
          <w:rFonts w:hint="eastAsia"/>
          <w:color w:val="auto"/>
          <w:highlight w:val="none"/>
          <w:lang w:eastAsia="zh-CN"/>
        </w:rPr>
        <w:t>）</w:t>
      </w:r>
      <w:r>
        <w:rPr>
          <w:color w:val="auto"/>
          <w:highlight w:val="none"/>
        </w:rPr>
        <w:t>提供</w:t>
      </w:r>
      <w:r>
        <w:rPr>
          <w:rFonts w:hint="eastAsia"/>
          <w:color w:val="auto"/>
          <w:highlight w:val="none"/>
          <w:lang w:eastAsia="zh-CN"/>
        </w:rPr>
        <w:t>纸质投标</w:t>
      </w:r>
      <w:r>
        <w:rPr>
          <w:color w:val="auto"/>
          <w:highlight w:val="none"/>
        </w:rPr>
        <w:t>文件</w:t>
      </w:r>
      <w:r>
        <w:rPr>
          <w:rFonts w:hint="eastAsia"/>
          <w:color w:val="auto"/>
          <w:highlight w:val="none"/>
          <w:lang w:eastAsia="zh-CN"/>
        </w:rPr>
        <w:t>（</w:t>
      </w:r>
      <w:r>
        <w:rPr>
          <w:rFonts w:ascii="宋体" w:hAnsi="宋体"/>
          <w:color w:val="auto"/>
          <w:szCs w:val="21"/>
          <w:highlight w:val="none"/>
        </w:rPr>
        <w:t>正本一份</w:t>
      </w:r>
      <w:r>
        <w:rPr>
          <w:rFonts w:hint="eastAsia"/>
          <w:color w:val="auto"/>
          <w:highlight w:val="none"/>
          <w:lang w:eastAsia="zh-CN"/>
        </w:rPr>
        <w:t>），</w:t>
      </w:r>
      <w:r>
        <w:rPr>
          <w:rFonts w:ascii="宋体" w:hAnsi="宋体" w:cs="宋体"/>
          <w:color w:val="auto"/>
          <w:szCs w:val="21"/>
          <w:highlight w:val="none"/>
        </w:rPr>
        <w:t>通过邮寄方式</w:t>
      </w:r>
      <w:r>
        <w:rPr>
          <w:rFonts w:hint="eastAsia" w:ascii="宋体" w:hAnsi="宋体" w:cs="宋体"/>
          <w:b/>
          <w:bCs/>
          <w:color w:val="auto"/>
          <w:szCs w:val="21"/>
          <w:highlight w:val="none"/>
        </w:rPr>
        <w:t>（</w:t>
      </w:r>
      <w:r>
        <w:rPr>
          <w:rFonts w:hint="eastAsia" w:ascii="宋体" w:hAnsi="宋体" w:cs="宋体"/>
          <w:b/>
          <w:bCs/>
          <w:color w:val="auto"/>
          <w:szCs w:val="21"/>
          <w:highlight w:val="none"/>
          <w:u w:val="double"/>
        </w:rPr>
        <w:t>不接受同城急送及跑腿的方式</w:t>
      </w:r>
      <w:r>
        <w:rPr>
          <w:rFonts w:hint="eastAsia" w:ascii="宋体" w:hAnsi="宋体" w:cs="宋体"/>
          <w:b/>
          <w:bCs/>
          <w:color w:val="auto"/>
          <w:szCs w:val="21"/>
          <w:highlight w:val="none"/>
        </w:rPr>
        <w:t>）</w:t>
      </w:r>
      <w:r>
        <w:rPr>
          <w:rFonts w:ascii="宋体" w:hAnsi="宋体" w:cs="宋体"/>
          <w:color w:val="auto"/>
          <w:szCs w:val="21"/>
          <w:highlight w:val="none"/>
        </w:rPr>
        <w:t>，</w:t>
      </w:r>
      <w:r>
        <w:rPr>
          <w:rFonts w:ascii="宋体" w:hAnsi="宋体" w:cs="宋体"/>
          <w:color w:val="auto"/>
          <w:szCs w:val="21"/>
          <w:highlight w:val="none"/>
        </w:rPr>
        <w:t>按照规定的时间前向我司邮寄投标文件，</w:t>
      </w:r>
      <w:r>
        <w:rPr>
          <w:rFonts w:ascii="宋体" w:hAnsi="宋体" w:cs="宋体"/>
          <w:b/>
          <w:bCs/>
          <w:color w:val="auto"/>
          <w:szCs w:val="21"/>
          <w:highlight w:val="none"/>
          <w:u w:val="double"/>
        </w:rPr>
        <w:t>快递单</w:t>
      </w:r>
      <w:r>
        <w:rPr>
          <w:rFonts w:hint="eastAsia" w:ascii="宋体" w:hAnsi="宋体" w:cs="宋体"/>
          <w:b/>
          <w:bCs/>
          <w:color w:val="auto"/>
          <w:szCs w:val="21"/>
          <w:highlight w:val="none"/>
          <w:u w:val="double"/>
        </w:rPr>
        <w:t>（或快递外包装）</w:t>
      </w:r>
      <w:r>
        <w:rPr>
          <w:rFonts w:ascii="宋体" w:hAnsi="宋体" w:cs="宋体"/>
          <w:b/>
          <w:bCs/>
          <w:color w:val="auto"/>
          <w:szCs w:val="21"/>
          <w:highlight w:val="none"/>
          <w:u w:val="double"/>
        </w:rPr>
        <w:t>上写明投标人名称、项目编号</w:t>
      </w:r>
      <w:r>
        <w:rPr>
          <w:rFonts w:hint="eastAsia" w:ascii="宋体" w:hAnsi="宋体" w:cs="宋体"/>
          <w:color w:val="auto"/>
          <w:szCs w:val="21"/>
          <w:highlight w:val="none"/>
          <w:lang w:eastAsia="zh-CN"/>
        </w:rPr>
        <w:t>，</w:t>
      </w:r>
      <w:r>
        <w:rPr>
          <w:rFonts w:ascii="宋体" w:hAnsi="宋体" w:cs="宋体"/>
          <w:color w:val="auto"/>
          <w:szCs w:val="21"/>
          <w:highlight w:val="none"/>
        </w:rPr>
        <w:t>逾期或不符合规定的投标文件不予接受。出现以下情况：寄错地址、逾期送达、未按照招标文件要求密封、邮寄过程中投标文件破损，我司将拒绝签收，由投标人自行承担相应责任与后果。</w:t>
      </w:r>
      <w:r>
        <w:rPr>
          <w:rFonts w:hint="eastAsia" w:ascii="宋体" w:hAnsi="宋体" w:cs="宋体"/>
          <w:color w:val="auto"/>
          <w:szCs w:val="21"/>
          <w:highlight w:val="none"/>
        </w:rPr>
        <w:t>邮寄地址：深圳市福田区竹子林中国经贸大厦10楼采联国际招标采购集团有限公司深圳分公司；</w:t>
      </w:r>
      <w:r>
        <w:rPr>
          <w:rFonts w:hint="eastAsia" w:ascii="宋体" w:hAnsi="宋体"/>
          <w:color w:val="auto"/>
          <w:szCs w:val="21"/>
          <w:highlight w:val="none"/>
        </w:rPr>
        <w:t>联系电话：0755-8837 7571转2334；联系人：李小姐。</w:t>
      </w:r>
    </w:p>
    <w:p>
      <w:pPr>
        <w:tabs>
          <w:tab w:val="left" w:pos="567"/>
          <w:tab w:val="left" w:pos="728"/>
        </w:tabs>
        <w:adjustRightInd w:val="0"/>
        <w:snapToGrid w:val="0"/>
        <w:spacing w:line="360" w:lineRule="auto"/>
        <w:rPr>
          <w:color w:val="auto"/>
          <w:highlight w:val="none"/>
        </w:rPr>
      </w:pPr>
      <w:r>
        <w:rPr>
          <w:rFonts w:hint="eastAsia" w:ascii="宋体" w:hAnsi="宋体" w:cs="宋体"/>
          <w:bCs/>
          <w:color w:val="auto"/>
          <w:szCs w:val="20"/>
          <w:highlight w:val="none"/>
        </w:rPr>
        <w:t>八、开标地点</w:t>
      </w:r>
      <w:r>
        <w:rPr>
          <w:rFonts w:hint="eastAsia" w:ascii="宋体" w:hAnsi="宋体" w:cs="宋体"/>
          <w:bCs/>
          <w:color w:val="auto"/>
          <w:szCs w:val="20"/>
          <w:highlight w:val="none"/>
        </w:rPr>
        <w:t>：本项目采用线上投标、开标，投标人无需到现场递交投标文件及参加开标。</w:t>
      </w:r>
    </w:p>
    <w:p>
      <w:pPr>
        <w:tabs>
          <w:tab w:val="left" w:pos="425"/>
          <w:tab w:val="left" w:pos="567"/>
          <w:tab w:val="left" w:pos="728"/>
        </w:tabs>
        <w:adjustRightInd w:val="0"/>
        <w:snapToGrid w:val="0"/>
        <w:spacing w:line="360" w:lineRule="auto"/>
        <w:rPr>
          <w:rFonts w:ascii="宋体" w:hAnsi="宋体" w:cs="宋体"/>
          <w:color w:val="auto"/>
          <w:szCs w:val="21"/>
          <w:highlight w:val="none"/>
        </w:rPr>
      </w:pPr>
      <w:r>
        <w:rPr>
          <w:rFonts w:hint="eastAsia" w:ascii="宋体" w:hAnsi="宋体" w:cs="宋体"/>
          <w:bCs/>
          <w:color w:val="auto"/>
          <w:szCs w:val="20"/>
          <w:highlight w:val="none"/>
        </w:rPr>
        <w:t>九</w:t>
      </w:r>
      <w:r>
        <w:rPr>
          <w:rFonts w:hint="eastAsia" w:ascii="宋体" w:hAnsi="宋体"/>
          <w:bCs/>
          <w:color w:val="auto"/>
          <w:szCs w:val="21"/>
          <w:highlight w:val="none"/>
        </w:rPr>
        <w:t>、本项目相关公告在以下媒体发布:</w:t>
      </w:r>
    </w:p>
    <w:p>
      <w:pPr>
        <w:pStyle w:val="84"/>
        <w:adjustRightInd w:val="0"/>
        <w:snapToGrid w:val="0"/>
        <w:spacing w:line="360" w:lineRule="auto"/>
        <w:ind w:firstLine="630" w:firstLineChars="300"/>
        <w:rPr>
          <w:rFonts w:ascii="宋体" w:hAnsi="宋体" w:cs="宋体"/>
          <w:bCs/>
          <w:color w:val="auto"/>
          <w:szCs w:val="21"/>
          <w:highlight w:val="none"/>
        </w:rPr>
      </w:pPr>
      <w:r>
        <w:rPr>
          <w:rFonts w:hint="eastAsia" w:ascii="宋体" w:hAnsi="宋体"/>
          <w:color w:val="auto"/>
          <w:szCs w:val="21"/>
          <w:highlight w:val="none"/>
        </w:rPr>
        <w:t>相关媒体：</w:t>
      </w:r>
      <w:r>
        <w:rPr>
          <w:rFonts w:hint="eastAsia" w:ascii="宋体" w:hAnsi="宋体"/>
          <w:color w:val="auto"/>
          <w:szCs w:val="21"/>
          <w:highlight w:val="none"/>
        </w:rPr>
        <w:t>深圳公共资源交易中心网站（www.szzfcg.cn）、</w:t>
      </w:r>
      <w:r>
        <w:rPr>
          <w:rFonts w:hint="eastAsia" w:ascii="宋体" w:hAnsi="宋体"/>
          <w:color w:val="auto"/>
          <w:szCs w:val="21"/>
          <w:highlight w:val="none"/>
        </w:rPr>
        <w:t>云采链线上采购一体化平台（http://www.choicelink.cn）、采购代理机构网站（www.chinapsp.cn）。相关公告在上述媒体上公布之日即视为有效送达，不再另行通知。</w:t>
      </w:r>
    </w:p>
    <w:p>
      <w:pPr>
        <w:adjustRightInd w:val="0"/>
        <w:snapToGrid w:val="0"/>
        <w:spacing w:line="360" w:lineRule="auto"/>
        <w:rPr>
          <w:rFonts w:ascii="宋体" w:hAnsi="宋体" w:cs="宋体"/>
          <w:bCs/>
          <w:color w:val="auto"/>
          <w:szCs w:val="20"/>
          <w:highlight w:val="none"/>
        </w:rPr>
      </w:pPr>
      <w:r>
        <w:rPr>
          <w:rFonts w:hint="eastAsia" w:ascii="宋体" w:hAnsi="宋体"/>
          <w:bCs/>
          <w:color w:val="auto"/>
          <w:szCs w:val="21"/>
          <w:highlight w:val="none"/>
        </w:rPr>
        <w:t>十</w:t>
      </w:r>
      <w:r>
        <w:rPr>
          <w:rFonts w:hint="eastAsia" w:ascii="宋体" w:hAnsi="宋体" w:cs="宋体"/>
          <w:bCs/>
          <w:color w:val="auto"/>
          <w:szCs w:val="20"/>
          <w:highlight w:val="none"/>
        </w:rPr>
        <w:t>、公告期限：</w:t>
      </w:r>
      <w:r>
        <w:rPr>
          <w:rFonts w:hint="eastAsia" w:ascii="宋体" w:hAnsi="宋体" w:cs="宋体"/>
          <w:color w:val="auto"/>
          <w:kern w:val="0"/>
          <w:szCs w:val="21"/>
          <w:highlight w:val="none"/>
        </w:rPr>
        <w:t>自本公告发布之日起5个工作日。</w:t>
      </w:r>
    </w:p>
    <w:p>
      <w:pPr>
        <w:tabs>
          <w:tab w:val="left" w:pos="425"/>
          <w:tab w:val="left" w:pos="567"/>
          <w:tab w:val="left" w:pos="728"/>
        </w:tabs>
        <w:spacing w:line="360" w:lineRule="auto"/>
        <w:rPr>
          <w:rFonts w:ascii="宋体" w:hAnsi="宋体" w:cs="宋体"/>
          <w:bCs/>
          <w:color w:val="auto"/>
          <w:szCs w:val="21"/>
          <w:highlight w:val="none"/>
        </w:rPr>
      </w:pPr>
      <w:r>
        <w:rPr>
          <w:rFonts w:hint="eastAsia" w:ascii="宋体" w:hAnsi="宋体" w:cs="宋体"/>
          <w:bCs/>
          <w:color w:val="auto"/>
          <w:szCs w:val="20"/>
          <w:highlight w:val="none"/>
        </w:rPr>
        <w:t>十一</w:t>
      </w:r>
      <w:r>
        <w:rPr>
          <w:rFonts w:hint="eastAsia" w:ascii="宋体" w:hAnsi="宋体" w:cs="宋体"/>
          <w:color w:val="auto"/>
          <w:szCs w:val="21"/>
          <w:highlight w:val="none"/>
        </w:rPr>
        <w:t>、联系事项：</w:t>
      </w:r>
      <w:bookmarkStart w:id="202" w:name="_GoBack"/>
      <w:bookmarkEnd w:id="202"/>
    </w:p>
    <w:p>
      <w:pPr>
        <w:pStyle w:val="70"/>
        <w:spacing w:line="360" w:lineRule="auto"/>
        <w:ind w:left="720"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深圳市疾病预防控制中心</w:t>
      </w:r>
    </w:p>
    <w:p>
      <w:pPr>
        <w:pStyle w:val="70"/>
        <w:spacing w:line="360" w:lineRule="auto"/>
        <w:ind w:left="720" w:firstLine="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eastAsia="宋体" w:cs="宋体"/>
          <w:color w:val="auto"/>
          <w:kern w:val="2"/>
          <w:sz w:val="21"/>
          <w:szCs w:val="21"/>
          <w:highlight w:val="none"/>
          <w:lang w:val="en-US" w:eastAsia="zh-CN" w:bidi="ar-SA"/>
        </w:rPr>
        <w:t>深圳市南山区龙苑路8号</w:t>
      </w:r>
    </w:p>
    <w:p>
      <w:pPr>
        <w:pStyle w:val="70"/>
        <w:spacing w:line="360" w:lineRule="auto"/>
        <w:ind w:left="720" w:firstLine="0"/>
        <w:rPr>
          <w:rFonts w:ascii="宋体" w:hAnsi="宋体" w:cs="宋体"/>
          <w:color w:val="auto"/>
          <w:szCs w:val="21"/>
          <w:highlight w:val="none"/>
        </w:rPr>
      </w:pPr>
      <w:r>
        <w:rPr>
          <w:rFonts w:hint="eastAsia" w:ascii="宋体" w:hAnsi="宋体" w:cs="宋体"/>
          <w:color w:val="auto"/>
          <w:szCs w:val="21"/>
          <w:highlight w:val="none"/>
        </w:rPr>
        <w:t>采购代理机构：采联国际招标采购集团有限公司</w:t>
      </w:r>
    </w:p>
    <w:p>
      <w:pPr>
        <w:pStyle w:val="70"/>
        <w:spacing w:line="360" w:lineRule="auto"/>
        <w:ind w:left="720" w:firstLine="0"/>
        <w:rPr>
          <w:rFonts w:ascii="宋体" w:hAnsi="宋体" w:cs="宋体"/>
          <w:color w:val="auto"/>
          <w:szCs w:val="21"/>
          <w:highlight w:val="none"/>
        </w:rPr>
      </w:pPr>
      <w:r>
        <w:rPr>
          <w:rFonts w:hint="eastAsia" w:ascii="宋体" w:hAnsi="宋体" w:cs="宋体"/>
          <w:color w:val="auto"/>
          <w:szCs w:val="21"/>
          <w:highlight w:val="none"/>
        </w:rPr>
        <w:t>地址：深圳市福田区竹子林中国经贸大厦10楼采联国际招标采购集团有限公司深圳分公司</w:t>
      </w:r>
    </w:p>
    <w:p>
      <w:pPr>
        <w:spacing w:line="360" w:lineRule="auto"/>
        <w:ind w:left="720"/>
        <w:rPr>
          <w:rFonts w:ascii="宋体" w:hAnsi="宋体" w:cs="宋体"/>
          <w:color w:val="auto"/>
          <w:szCs w:val="21"/>
          <w:highlight w:val="none"/>
        </w:rPr>
      </w:pPr>
      <w:r>
        <w:rPr>
          <w:rFonts w:hint="eastAsia" w:ascii="宋体" w:hAnsi="宋体" w:cs="宋体"/>
          <w:b/>
          <w:bCs/>
          <w:color w:val="auto"/>
          <w:szCs w:val="21"/>
          <w:highlight w:val="none"/>
          <w:u w:val="double"/>
        </w:rPr>
        <w:t>招标文件相关问题</w:t>
      </w:r>
      <w:r>
        <w:rPr>
          <w:rFonts w:hint="eastAsia" w:ascii="宋体" w:hAnsi="宋体" w:cs="宋体"/>
          <w:color w:val="auto"/>
          <w:szCs w:val="21"/>
          <w:highlight w:val="none"/>
        </w:rPr>
        <w:t>联系人：李小姐</w:t>
      </w:r>
    </w:p>
    <w:p>
      <w:pPr>
        <w:spacing w:line="360" w:lineRule="auto"/>
        <w:ind w:left="720"/>
        <w:rPr>
          <w:rFonts w:ascii="宋体" w:hAnsi="宋体"/>
          <w:color w:val="auto"/>
          <w:szCs w:val="21"/>
          <w:highlight w:val="none"/>
        </w:rPr>
      </w:pPr>
      <w:r>
        <w:rPr>
          <w:rFonts w:hint="eastAsia" w:ascii="宋体" w:hAnsi="宋体"/>
          <w:color w:val="auto"/>
          <w:szCs w:val="21"/>
          <w:highlight w:val="none"/>
        </w:rPr>
        <w:t>联系电话：0755-8837 7572转2334</w:t>
      </w:r>
    </w:p>
    <w:p>
      <w:pPr>
        <w:spacing w:line="360" w:lineRule="auto"/>
        <w:ind w:left="720"/>
        <w:rPr>
          <w:rFonts w:ascii="宋体" w:hAnsi="宋体" w:cs="宋体"/>
          <w:color w:val="auto"/>
          <w:szCs w:val="21"/>
          <w:highlight w:val="none"/>
        </w:rPr>
      </w:pPr>
      <w:r>
        <w:rPr>
          <w:rFonts w:hint="eastAsia" w:ascii="宋体" w:hAnsi="宋体" w:cs="宋体"/>
          <w:color w:val="auto"/>
          <w:szCs w:val="21"/>
          <w:highlight w:val="none"/>
        </w:rPr>
        <w:t>邮箱：</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"mailto:cailiansz@126.com"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cailiansz@126.com</w:t>
      </w:r>
      <w:r>
        <w:rPr>
          <w:rFonts w:hint="eastAsia" w:ascii="宋体" w:hAnsi="宋体" w:cs="宋体"/>
          <w:color w:val="auto"/>
          <w:szCs w:val="21"/>
          <w:highlight w:val="none"/>
        </w:rPr>
        <w:fldChar w:fldCharType="end"/>
      </w:r>
    </w:p>
    <w:p>
      <w:pPr>
        <w:spacing w:line="360" w:lineRule="auto"/>
        <w:ind w:left="720"/>
        <w:rPr>
          <w:rFonts w:ascii="宋体" w:hAnsi="宋体"/>
          <w:color w:val="auto"/>
          <w:szCs w:val="21"/>
          <w:highlight w:val="none"/>
        </w:rPr>
      </w:pPr>
      <w:r>
        <w:rPr>
          <w:rFonts w:hint="eastAsia" w:ascii="宋体" w:hAnsi="宋体"/>
          <w:b/>
          <w:bCs/>
          <w:color w:val="auto"/>
          <w:szCs w:val="21"/>
          <w:highlight w:val="none"/>
          <w:u w:val="double"/>
        </w:rPr>
        <w:t>云采链线上采购一体化平台相关问题（审核通过、报名报价、保障金等）</w:t>
      </w:r>
      <w:r>
        <w:rPr>
          <w:rFonts w:hint="eastAsia" w:ascii="宋体" w:hAnsi="宋体"/>
          <w:color w:val="auto"/>
          <w:szCs w:val="21"/>
          <w:highlight w:val="none"/>
        </w:rPr>
        <w:t>联系人：徐小姐</w:t>
      </w:r>
    </w:p>
    <w:p>
      <w:pPr>
        <w:spacing w:line="360" w:lineRule="auto"/>
        <w:ind w:left="720"/>
        <w:rPr>
          <w:rFonts w:ascii="宋体" w:hAnsi="宋体"/>
          <w:color w:val="auto"/>
          <w:szCs w:val="21"/>
          <w:highlight w:val="none"/>
        </w:rPr>
      </w:pPr>
      <w:r>
        <w:rPr>
          <w:rFonts w:hint="eastAsia" w:ascii="宋体" w:hAnsi="宋体"/>
          <w:color w:val="auto"/>
          <w:szCs w:val="21"/>
          <w:highlight w:val="none"/>
        </w:rPr>
        <w:t>联系电话：020-87622828</w:t>
      </w:r>
    </w:p>
    <w:p>
      <w:pPr>
        <w:pStyle w:val="70"/>
        <w:spacing w:line="360" w:lineRule="auto"/>
        <w:ind w:left="720" w:firstLine="0"/>
        <w:rPr>
          <w:rFonts w:hint="eastAsia" w:ascii="宋体" w:hAnsi="宋体" w:cs="宋体"/>
          <w:color w:val="auto"/>
          <w:szCs w:val="21"/>
          <w:highlight w:val="none"/>
        </w:rPr>
      </w:pPr>
      <w:r>
        <w:rPr>
          <w:rFonts w:hint="eastAsia" w:ascii="宋体" w:hAnsi="宋体" w:cs="宋体"/>
          <w:color w:val="auto"/>
          <w:szCs w:val="21"/>
          <w:highlight w:val="none"/>
        </w:rPr>
        <w:t>邮箱：service@choicelink.cn</w:t>
      </w:r>
    </w:p>
    <w:p>
      <w:pPr>
        <w:pStyle w:val="70"/>
        <w:spacing w:line="360" w:lineRule="auto"/>
        <w:ind w:left="720" w:firstLine="0"/>
        <w:rPr>
          <w:rFonts w:hint="eastAsia" w:ascii="宋体" w:hAnsi="宋体" w:cs="宋体"/>
          <w:color w:val="auto"/>
          <w:szCs w:val="21"/>
          <w:highlight w:val="none"/>
        </w:rPr>
      </w:pPr>
    </w:p>
    <w:p>
      <w:pPr>
        <w:tabs>
          <w:tab w:val="right" w:pos="9180"/>
        </w:tabs>
        <w:adjustRightInd w:val="0"/>
        <w:snapToGrid w:val="0"/>
        <w:spacing w:line="360" w:lineRule="auto"/>
        <w:ind w:firstLine="435"/>
        <w:jc w:val="right"/>
        <w:rPr>
          <w:b/>
          <w:color w:val="auto"/>
          <w:highlight w:val="none"/>
        </w:rPr>
      </w:pPr>
      <w:r>
        <w:rPr>
          <w:b/>
          <w:color w:val="auto"/>
          <w:highlight w:val="none"/>
        </w:rPr>
        <w:tab/>
      </w:r>
      <w:r>
        <w:rPr>
          <w:rFonts w:hint="eastAsia"/>
          <w:b/>
          <w:color w:val="auto"/>
          <w:highlight w:val="none"/>
        </w:rPr>
        <w:t>发布人：采联国际招标采购集团有限公司</w:t>
      </w:r>
    </w:p>
    <w:p>
      <w:pPr>
        <w:adjustRightInd w:val="0"/>
        <w:snapToGrid w:val="0"/>
        <w:spacing w:line="360" w:lineRule="auto"/>
        <w:ind w:firstLine="435"/>
        <w:jc w:val="right"/>
        <w:rPr>
          <w:rFonts w:ascii="宋体" w:hAnsi="宋体"/>
          <w:b/>
          <w:color w:val="auto"/>
          <w:highlight w:val="none"/>
        </w:rPr>
      </w:pPr>
      <w:r>
        <w:rPr>
          <w:rFonts w:hint="eastAsia" w:ascii="宋体" w:hAnsi="宋体"/>
          <w:b/>
          <w:color w:val="auto"/>
          <w:highlight w:val="none"/>
        </w:rPr>
        <w:t>发布时间：</w:t>
      </w:r>
      <w:r>
        <w:rPr>
          <w:rFonts w:hint="eastAsia" w:ascii="宋体" w:hAnsi="宋体"/>
          <w:b/>
          <w:color w:val="auto"/>
          <w:highlight w:val="none"/>
        </w:rPr>
        <w:t>20</w:t>
      </w:r>
      <w:r>
        <w:rPr>
          <w:rFonts w:hint="eastAsia" w:ascii="宋体" w:hAnsi="宋体"/>
          <w:b/>
          <w:color w:val="auto"/>
          <w:highlight w:val="none"/>
          <w:lang w:val="en-US" w:eastAsia="zh-CN"/>
        </w:rPr>
        <w:t>24</w:t>
      </w:r>
      <w:r>
        <w:rPr>
          <w:rFonts w:hint="eastAsia" w:ascii="宋体" w:hAnsi="宋体"/>
          <w:b/>
          <w:color w:val="auto"/>
          <w:highlight w:val="none"/>
        </w:rPr>
        <w:t>年</w:t>
      </w:r>
      <w:r>
        <w:rPr>
          <w:rFonts w:hint="eastAsia" w:ascii="宋体" w:hAnsi="宋体"/>
          <w:b/>
          <w:color w:val="auto"/>
          <w:highlight w:val="none"/>
          <w:lang w:val="en-US" w:eastAsia="zh-CN"/>
        </w:rPr>
        <w:t>4</w:t>
      </w:r>
      <w:r>
        <w:rPr>
          <w:rFonts w:hint="eastAsia" w:ascii="宋体" w:hAnsi="宋体"/>
          <w:b/>
          <w:color w:val="auto"/>
          <w:highlight w:val="none"/>
        </w:rPr>
        <w:t>月</w:t>
      </w:r>
      <w:r>
        <w:rPr>
          <w:rFonts w:hint="eastAsia" w:ascii="宋体" w:hAnsi="宋体"/>
          <w:b/>
          <w:color w:val="auto"/>
          <w:highlight w:val="none"/>
          <w:lang w:val="en-US" w:eastAsia="zh-CN"/>
        </w:rPr>
        <w:t>8</w:t>
      </w:r>
      <w:r>
        <w:rPr>
          <w:rFonts w:hint="eastAsia" w:ascii="宋体" w:hAnsi="宋体"/>
          <w:b/>
          <w:color w:val="auto"/>
          <w:highlight w:val="none"/>
        </w:rPr>
        <w:t>日</w:t>
      </w:r>
    </w:p>
    <w:p>
      <w:pPr>
        <w:adjustRightInd w:val="0"/>
        <w:snapToGrid w:val="0"/>
        <w:spacing w:line="360" w:lineRule="auto"/>
        <w:ind w:firstLine="435"/>
        <w:jc w:val="right"/>
        <w:rPr>
          <w:rFonts w:ascii="宋体" w:hAnsi="宋体"/>
          <w:b/>
          <w:color w:val="auto"/>
          <w:highlight w:val="none"/>
        </w:rPr>
      </w:pPr>
    </w:p>
    <w:p>
      <w:pPr>
        <w:pStyle w:val="114"/>
        <w:widowControl/>
        <w:spacing w:line="360" w:lineRule="auto"/>
        <w:ind w:left="420" w:firstLine="0" w:firstLineChars="0"/>
        <w:jc w:val="center"/>
        <w:rPr>
          <w:b/>
          <w:bCs/>
          <w:color w:val="auto"/>
          <w:sz w:val="28"/>
          <w:szCs w:val="28"/>
          <w:highlight w:val="none"/>
        </w:rPr>
      </w:pPr>
      <w:r>
        <w:rPr>
          <w:b/>
          <w:bCs/>
          <w:color w:val="auto"/>
          <w:sz w:val="28"/>
          <w:szCs w:val="28"/>
          <w:highlight w:val="none"/>
        </w:rPr>
        <w:br w:type="page"/>
      </w:r>
    </w:p>
    <w:p>
      <w:pPr>
        <w:pStyle w:val="3"/>
        <w:jc w:val="center"/>
        <w:rPr>
          <w:rFonts w:asciiTheme="majorEastAsia" w:hAnsiTheme="majorEastAsia" w:eastAsiaTheme="majorEastAsia" w:cstheme="majorEastAsia"/>
          <w:color w:val="auto"/>
          <w:sz w:val="32"/>
          <w:szCs w:val="32"/>
          <w:highlight w:val="none"/>
        </w:rPr>
      </w:pPr>
      <w:bookmarkStart w:id="10" w:name="_Toc8307300"/>
      <w:bookmarkStart w:id="11" w:name="_Toc20903"/>
      <w:bookmarkStart w:id="12" w:name="_Toc2045"/>
      <w:bookmarkStart w:id="13" w:name="_Toc9213"/>
      <w:bookmarkStart w:id="14" w:name="_Toc12489_WPSOffice_Level1"/>
      <w:r>
        <w:rPr>
          <w:rFonts w:hint="eastAsia" w:asciiTheme="majorEastAsia" w:hAnsiTheme="majorEastAsia" w:eastAsiaTheme="majorEastAsia" w:cstheme="majorEastAsia"/>
          <w:color w:val="auto"/>
          <w:sz w:val="32"/>
          <w:szCs w:val="32"/>
          <w:highlight w:val="none"/>
        </w:rPr>
        <w:t>第二章 投标资料表</w:t>
      </w:r>
      <w:bookmarkEnd w:id="6"/>
      <w:bookmarkEnd w:id="7"/>
      <w:bookmarkEnd w:id="10"/>
      <w:bookmarkEnd w:id="11"/>
      <w:bookmarkEnd w:id="12"/>
      <w:bookmarkEnd w:id="13"/>
      <w:bookmarkEnd w:id="14"/>
    </w:p>
    <w:p>
      <w:pPr>
        <w:spacing w:line="360" w:lineRule="auto"/>
        <w:ind w:right="-174" w:rightChars="-83" w:firstLine="424" w:firstLineChars="202"/>
        <w:rPr>
          <w:color w:val="auto"/>
          <w:highlight w:val="none"/>
        </w:rPr>
      </w:pPr>
      <w:r>
        <w:rPr>
          <w:rFonts w:hint="eastAsia"/>
          <w:color w:val="auto"/>
          <w:highlight w:val="none"/>
        </w:rPr>
        <w:t>说明：该资料表的条款项号是与《投标人须知》条款项号对应的条款，是对《投标人须知》补充、修改和完善，如果有矛盾的话，应以本资料表为准。</w:t>
      </w:r>
    </w:p>
    <w:tbl>
      <w:tblPr>
        <w:tblStyle w:val="38"/>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8" w:type="dxa"/>
            <w:vAlign w:val="center"/>
          </w:tcPr>
          <w:p>
            <w:pPr>
              <w:jc w:val="center"/>
              <w:rPr>
                <w:rFonts w:ascii="宋体" w:hAnsi="宋体"/>
                <w:color w:val="auto"/>
                <w:szCs w:val="21"/>
                <w:highlight w:val="none"/>
              </w:rPr>
            </w:pPr>
            <w:r>
              <w:rPr>
                <w:rFonts w:ascii="宋体" w:hAnsi="宋体"/>
                <w:color w:val="auto"/>
                <w:szCs w:val="21"/>
                <w:highlight w:val="none"/>
              </w:rPr>
              <w:t>条款</w:t>
            </w:r>
            <w:r>
              <w:rPr>
                <w:rFonts w:hint="eastAsia" w:ascii="宋体" w:hAnsi="宋体"/>
                <w:color w:val="auto"/>
                <w:szCs w:val="21"/>
                <w:highlight w:val="none"/>
              </w:rPr>
              <w:t>项</w:t>
            </w:r>
            <w:r>
              <w:rPr>
                <w:rFonts w:ascii="宋体" w:hAnsi="宋体"/>
                <w:color w:val="auto"/>
                <w:szCs w:val="21"/>
                <w:highlight w:val="none"/>
              </w:rPr>
              <w:t>号</w:t>
            </w:r>
          </w:p>
        </w:tc>
        <w:tc>
          <w:tcPr>
            <w:tcW w:w="8000" w:type="dxa"/>
            <w:vAlign w:val="center"/>
          </w:tcPr>
          <w:p>
            <w:pPr>
              <w:jc w:val="center"/>
              <w:rPr>
                <w:rFonts w:ascii="宋体" w:hAnsi="宋体"/>
                <w:b/>
                <w:color w:val="auto"/>
                <w:szCs w:val="21"/>
                <w:highlight w:val="none"/>
              </w:rPr>
            </w:pPr>
            <w:r>
              <w:rPr>
                <w:rFonts w:ascii="宋体" w:hAnsi="宋体"/>
                <w:b/>
                <w:color w:val="auto"/>
                <w:szCs w:val="21"/>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9088" w:type="dxa"/>
            <w:gridSpan w:val="2"/>
            <w:vAlign w:val="center"/>
          </w:tcPr>
          <w:p>
            <w:pPr>
              <w:jc w:val="center"/>
              <w:rPr>
                <w:rFonts w:ascii="宋体" w:hAnsi="宋体"/>
                <w:b/>
                <w:color w:val="auto"/>
                <w:szCs w:val="21"/>
                <w:highlight w:val="none"/>
              </w:rPr>
            </w:pPr>
            <w:r>
              <w:rPr>
                <w:rFonts w:ascii="宋体" w:hAnsi="宋体"/>
                <w:b/>
                <w:color w:val="auto"/>
                <w:szCs w:val="21"/>
                <w:highlight w:val="none"/>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p>
        </w:tc>
        <w:tc>
          <w:tcPr>
            <w:tcW w:w="8000" w:type="dxa"/>
            <w:vAlign w:val="center"/>
          </w:tcPr>
          <w:p>
            <w:pPr>
              <w:rPr>
                <w:rFonts w:ascii="宋体" w:hAnsi="宋体" w:cs="宋体"/>
                <w:color w:val="auto"/>
                <w:szCs w:val="21"/>
                <w:highlight w:val="none"/>
              </w:rPr>
            </w:pPr>
            <w:r>
              <w:rPr>
                <w:rFonts w:hint="eastAsia" w:ascii="宋体" w:hAnsi="宋体" w:cs="宋体"/>
                <w:color w:val="auto"/>
                <w:szCs w:val="21"/>
                <w:highlight w:val="none"/>
              </w:rPr>
              <w:t>资金来源</w:t>
            </w:r>
            <w:r>
              <w:rPr>
                <w:rFonts w:hint="eastAsia" w:ascii="宋体" w:hAnsi="宋体"/>
                <w:color w:val="auto"/>
                <w:szCs w:val="21"/>
                <w:highlight w:val="none"/>
              </w:rPr>
              <w:t>：</w:t>
            </w:r>
            <w:r>
              <w:rPr>
                <w:rFonts w:hint="eastAsia" w:ascii="宋体" w:hAnsi="宋体" w:cs="宋体"/>
                <w:color w:val="auto"/>
                <w:szCs w:val="21"/>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088" w:type="dxa"/>
            <w:gridSpan w:val="2"/>
            <w:vAlign w:val="center"/>
          </w:tcPr>
          <w:p>
            <w:pPr>
              <w:jc w:val="center"/>
              <w:rPr>
                <w:rFonts w:ascii="宋体" w:hAnsi="宋体"/>
                <w:color w:val="auto"/>
                <w:szCs w:val="21"/>
                <w:highlight w:val="none"/>
              </w:rPr>
            </w:pPr>
            <w:r>
              <w:rPr>
                <w:rFonts w:hint="eastAsia" w:ascii="宋体" w:hAnsi="宋体"/>
                <w:b/>
                <w:color w:val="auto"/>
                <w:szCs w:val="21"/>
                <w:highlight w:val="none"/>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8.1</w:t>
            </w:r>
          </w:p>
        </w:tc>
        <w:tc>
          <w:tcPr>
            <w:tcW w:w="8000" w:type="dxa"/>
            <w:vAlign w:val="center"/>
          </w:tcPr>
          <w:p>
            <w:pPr>
              <w:adjustRightInd w:val="0"/>
              <w:snapToGrid w:val="0"/>
              <w:rPr>
                <w:rFonts w:ascii="宋体" w:hAnsi="宋体"/>
                <w:color w:val="auto"/>
                <w:szCs w:val="21"/>
                <w:highlight w:val="none"/>
              </w:rPr>
            </w:pPr>
            <w:r>
              <w:rPr>
                <w:rFonts w:hint="eastAsia" w:ascii="宋体" w:hAnsi="宋体"/>
                <w:b/>
                <w:bCs/>
                <w:color w:val="auto"/>
                <w:szCs w:val="21"/>
                <w:highlight w:val="none"/>
              </w:rPr>
              <w:t>现场考察或者召开开标前答疑会</w:t>
            </w:r>
            <w:r>
              <w:rPr>
                <w:rFonts w:hint="eastAsia" w:ascii="宋体" w:hAnsi="宋体"/>
                <w:color w:val="auto"/>
                <w:szCs w:val="21"/>
                <w:highlight w:val="none"/>
              </w:rPr>
              <w:t>：不举行。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9088" w:type="dxa"/>
            <w:gridSpan w:val="2"/>
            <w:vAlign w:val="center"/>
          </w:tcPr>
          <w:p>
            <w:pPr>
              <w:jc w:val="center"/>
              <w:rPr>
                <w:rFonts w:ascii="宋体" w:hAnsi="宋体"/>
                <w:b/>
                <w:color w:val="auto"/>
                <w:szCs w:val="21"/>
                <w:highlight w:val="none"/>
              </w:rPr>
            </w:pPr>
            <w:r>
              <w:rPr>
                <w:rFonts w:ascii="宋体" w:hAnsi="宋体"/>
                <w:b/>
                <w:color w:val="auto"/>
                <w:szCs w:val="21"/>
                <w:highlight w:val="none"/>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88" w:type="dxa"/>
            <w:vAlign w:val="center"/>
          </w:tcPr>
          <w:p>
            <w:pPr>
              <w:jc w:val="center"/>
              <w:rPr>
                <w:rFonts w:ascii="宋体" w:hAnsi="宋体"/>
                <w:dstrike/>
                <w:color w:val="auto"/>
                <w:szCs w:val="21"/>
                <w:highlight w:val="none"/>
                <w:em w:val="dot"/>
              </w:rPr>
            </w:pPr>
            <w:r>
              <w:rPr>
                <w:rFonts w:hint="eastAsia" w:ascii="宋体" w:hAnsi="宋体"/>
                <w:color w:val="auto"/>
                <w:szCs w:val="21"/>
                <w:highlight w:val="none"/>
              </w:rPr>
              <w:t>12.2.1</w:t>
            </w:r>
          </w:p>
        </w:tc>
        <w:tc>
          <w:tcPr>
            <w:tcW w:w="8000" w:type="dxa"/>
            <w:vAlign w:val="center"/>
          </w:tcPr>
          <w:p>
            <w:pPr>
              <w:adjustRightInd w:val="0"/>
              <w:snapToGrid w:val="0"/>
              <w:ind w:left="210" w:hanging="210"/>
              <w:rPr>
                <w:rFonts w:ascii="宋体" w:hAnsi="宋体"/>
                <w:color w:val="auto"/>
                <w:szCs w:val="21"/>
                <w:highlight w:val="none"/>
              </w:rPr>
            </w:pPr>
            <w:r>
              <w:rPr>
                <w:rFonts w:hint="eastAsia" w:ascii="宋体" w:hAnsi="宋体"/>
                <w:color w:val="auto"/>
                <w:szCs w:val="21"/>
                <w:highlight w:val="none"/>
              </w:rPr>
              <w:t>（境外货物）</w:t>
            </w:r>
            <w:r>
              <w:rPr>
                <w:rFonts w:hint="eastAsia" w:ascii="宋体" w:hAnsi="宋体" w:cs="宋体"/>
                <w:color w:val="auto"/>
                <w:szCs w:val="21"/>
                <w:highlight w:val="none"/>
                <w:lang w:val="zh-CN"/>
              </w:rPr>
              <w:t>进口环节关税和增值税：包含。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12.3</w:t>
            </w:r>
          </w:p>
        </w:tc>
        <w:tc>
          <w:tcPr>
            <w:tcW w:w="8000" w:type="dxa"/>
            <w:vAlign w:val="center"/>
          </w:tcPr>
          <w:p>
            <w:pPr>
              <w:rPr>
                <w:rFonts w:ascii="宋体" w:hAnsi="宋体"/>
                <w:color w:val="auto"/>
                <w:szCs w:val="21"/>
                <w:highlight w:val="none"/>
              </w:rPr>
            </w:pPr>
            <w:r>
              <w:rPr>
                <w:rFonts w:hint="eastAsia" w:ascii="宋体" w:hAnsi="宋体"/>
                <w:color w:val="auto"/>
                <w:szCs w:val="21"/>
                <w:highlight w:val="none"/>
              </w:rPr>
              <w:t>投标人所报的投标价在合同执行过程中是固定不变的，不得以任何理由予以变更。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12.4</w:t>
            </w:r>
          </w:p>
        </w:tc>
        <w:tc>
          <w:tcPr>
            <w:tcW w:w="8000" w:type="dxa"/>
            <w:vAlign w:val="center"/>
          </w:tcPr>
          <w:p>
            <w:pPr>
              <w:rPr>
                <w:rFonts w:ascii="宋体" w:hAnsi="宋体" w:cs="宋体"/>
                <w:color w:val="auto"/>
                <w:szCs w:val="21"/>
                <w:highlight w:val="none"/>
              </w:rPr>
            </w:pPr>
            <w:r>
              <w:rPr>
                <w:rFonts w:hint="eastAsia" w:ascii="宋体" w:hAnsi="宋体"/>
                <w:color w:val="auto"/>
                <w:szCs w:val="21"/>
                <w:highlight w:val="none"/>
              </w:rPr>
              <w:t>1）不允许有备选方案，否则将被视为无效投标。</w:t>
            </w:r>
          </w:p>
          <w:p>
            <w:pPr>
              <w:rPr>
                <w:rFonts w:ascii="宋体" w:hAnsi="宋体"/>
                <w:color w:val="auto"/>
                <w:szCs w:val="21"/>
                <w:highlight w:val="none"/>
              </w:rPr>
            </w:pPr>
            <w:r>
              <w:rPr>
                <w:rFonts w:hint="eastAsia" w:hAnsi="宋体"/>
                <w:color w:val="auto"/>
                <w:highlight w:val="none"/>
              </w:rPr>
              <w:t>2）每项报价或每种规格货物或每项服务只允许有一个报价，否则将被视为无效投标。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12.5</w:t>
            </w:r>
          </w:p>
        </w:tc>
        <w:tc>
          <w:tcPr>
            <w:tcW w:w="8000" w:type="dxa"/>
            <w:vAlign w:val="center"/>
          </w:tcPr>
          <w:p>
            <w:pPr>
              <w:rPr>
                <w:rFonts w:ascii="宋体" w:hAnsi="宋体"/>
                <w:color w:val="auto"/>
                <w:szCs w:val="21"/>
                <w:highlight w:val="none"/>
              </w:rPr>
            </w:pPr>
            <w:r>
              <w:rPr>
                <w:rFonts w:hint="eastAsia" w:ascii="宋体" w:hAnsi="宋体"/>
                <w:color w:val="auto"/>
                <w:szCs w:val="21"/>
                <w:highlight w:val="none"/>
              </w:rPr>
              <w:t>不允许附加条件报价，</w:t>
            </w:r>
            <w:r>
              <w:rPr>
                <w:rFonts w:hint="eastAsia" w:ascii="宋体" w:hAnsi="宋体" w:cs="宋体"/>
                <w:color w:val="auto"/>
                <w:szCs w:val="21"/>
                <w:highlight w:val="none"/>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18</w:t>
            </w:r>
            <w:r>
              <w:rPr>
                <w:rFonts w:ascii="宋体" w:hAnsi="宋体"/>
                <w:color w:val="auto"/>
                <w:szCs w:val="21"/>
                <w:highlight w:val="none"/>
              </w:rPr>
              <w:t>.1</w:t>
            </w:r>
          </w:p>
        </w:tc>
        <w:tc>
          <w:tcPr>
            <w:tcW w:w="8000" w:type="dxa"/>
            <w:vAlign w:val="center"/>
          </w:tcPr>
          <w:p>
            <w:pPr>
              <w:rPr>
                <w:rFonts w:ascii="宋体" w:hAnsi="宋体"/>
                <w:color w:val="auto"/>
                <w:szCs w:val="21"/>
                <w:highlight w:val="none"/>
              </w:rPr>
            </w:pPr>
            <w:r>
              <w:rPr>
                <w:rFonts w:ascii="宋体" w:hAnsi="宋体"/>
                <w:color w:val="auto"/>
                <w:szCs w:val="21"/>
                <w:highlight w:val="none"/>
              </w:rPr>
              <w:t>投标有效期：90天</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2.1.3</w:t>
            </w:r>
          </w:p>
        </w:tc>
        <w:tc>
          <w:tcPr>
            <w:tcW w:w="8000" w:type="dxa"/>
            <w:vAlign w:val="center"/>
          </w:tcPr>
          <w:p>
            <w:pPr>
              <w:rPr>
                <w:rFonts w:ascii="宋体" w:hAnsi="宋体" w:cs="宋体"/>
                <w:color w:val="auto"/>
                <w:szCs w:val="21"/>
                <w:highlight w:val="none"/>
              </w:rPr>
            </w:pPr>
            <w:r>
              <w:rPr>
                <w:rFonts w:hint="eastAsia" w:ascii="宋体" w:hAnsi="宋体" w:cs="宋体"/>
                <w:color w:val="auto"/>
                <w:szCs w:val="21"/>
                <w:highlight w:val="none"/>
              </w:rPr>
              <w:t>质疑函接受的联系方式</w:t>
            </w:r>
          </w:p>
          <w:p>
            <w:pPr>
              <w:pStyle w:val="114"/>
              <w:tabs>
                <w:tab w:val="left" w:pos="0"/>
                <w:tab w:val="left" w:pos="99"/>
                <w:tab w:val="left" w:pos="2773"/>
              </w:tabs>
              <w:adjustRightInd w:val="0"/>
              <w:snapToGrid w:val="0"/>
              <w:ind w:firstLine="0" w:firstLine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地址：深圳市福田区竹子林中国经贸大厦10楼</w:t>
            </w:r>
            <w:r>
              <w:rPr>
                <w:rFonts w:hint="eastAsia" w:ascii="宋体" w:hAnsi="宋体" w:cs="宋体"/>
                <w:color w:val="auto"/>
                <w:szCs w:val="21"/>
                <w:highlight w:val="none"/>
              </w:rPr>
              <w:t>采联国际招标采购集团有限公司深圳分公</w:t>
            </w:r>
            <w:r>
              <w:rPr>
                <w:rFonts w:hint="eastAsia" w:ascii="宋体" w:hAnsi="宋体" w:cs="宋体"/>
                <w:color w:val="auto"/>
                <w:szCs w:val="21"/>
                <w:highlight w:val="none"/>
              </w:rPr>
              <w:t>司/云采链线上采购一体化平台</w:t>
            </w:r>
          </w:p>
          <w:p>
            <w:pPr>
              <w:pStyle w:val="114"/>
              <w:tabs>
                <w:tab w:val="left" w:pos="0"/>
                <w:tab w:val="left" w:pos="99"/>
                <w:tab w:val="left" w:pos="2773"/>
              </w:tabs>
              <w:adjustRightInd w:val="0"/>
              <w:snapToGrid w:val="0"/>
              <w:ind w:firstLine="0" w:firstLine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联系人：</w:t>
            </w:r>
            <w:r>
              <w:rPr>
                <w:rFonts w:hint="eastAsia" w:asciiTheme="minorEastAsia" w:hAnsiTheme="minorEastAsia" w:eastAsiaTheme="minorEastAsia"/>
                <w:color w:val="auto"/>
                <w:szCs w:val="21"/>
                <w:highlight w:val="none"/>
                <w:lang w:eastAsia="zh-CN"/>
              </w:rPr>
              <w:t>李</w:t>
            </w:r>
            <w:r>
              <w:rPr>
                <w:rFonts w:hint="eastAsia" w:asciiTheme="minorEastAsia" w:hAnsiTheme="minorEastAsia" w:eastAsiaTheme="minorEastAsia"/>
                <w:color w:val="auto"/>
                <w:szCs w:val="21"/>
                <w:highlight w:val="none"/>
              </w:rPr>
              <w:t>小姐/</w:t>
            </w:r>
            <w:r>
              <w:rPr>
                <w:rFonts w:hint="eastAsia" w:asciiTheme="minorEastAsia" w:hAnsiTheme="minorEastAsia" w:eastAsiaTheme="minorEastAsia"/>
                <w:color w:val="auto"/>
                <w:szCs w:val="21"/>
                <w:highlight w:val="none"/>
                <w:lang w:eastAsia="zh-CN"/>
              </w:rPr>
              <w:t>徐</w:t>
            </w:r>
            <w:r>
              <w:rPr>
                <w:rFonts w:hint="eastAsia" w:asciiTheme="minorEastAsia" w:hAnsiTheme="minorEastAsia" w:eastAsiaTheme="minorEastAsia"/>
                <w:color w:val="auto"/>
                <w:szCs w:val="21"/>
                <w:highlight w:val="none"/>
              </w:rPr>
              <w:t>小姐</w:t>
            </w:r>
          </w:p>
          <w:p>
            <w:pPr>
              <w:pStyle w:val="114"/>
              <w:tabs>
                <w:tab w:val="left" w:pos="0"/>
                <w:tab w:val="left" w:pos="99"/>
                <w:tab w:val="left" w:pos="2773"/>
              </w:tabs>
              <w:adjustRightInd w:val="0"/>
              <w:snapToGrid w:val="0"/>
              <w:ind w:firstLine="0" w:firstLine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联系电话：0755-8837 7571或7572转</w:t>
            </w:r>
            <w:r>
              <w:rPr>
                <w:rFonts w:hint="eastAsia" w:asciiTheme="minorEastAsia" w:hAnsiTheme="minorEastAsia" w:eastAsiaTheme="minorEastAsia"/>
                <w:color w:val="auto"/>
                <w:szCs w:val="21"/>
                <w:highlight w:val="none"/>
                <w:lang w:val="en-US" w:eastAsia="zh-CN"/>
              </w:rPr>
              <w:t>2334</w:t>
            </w:r>
            <w:r>
              <w:rPr>
                <w:rFonts w:asciiTheme="minorEastAsia" w:hAnsiTheme="minorEastAsia" w:eastAsiaTheme="minorEastAsia"/>
                <w:color w:val="auto"/>
                <w:szCs w:val="21"/>
                <w:highlight w:val="none"/>
              </w:rPr>
              <w:t>/</w:t>
            </w:r>
            <w:r>
              <w:rPr>
                <w:rFonts w:hint="eastAsia" w:ascii="宋体" w:hAnsi="宋体"/>
                <w:color w:val="auto"/>
                <w:szCs w:val="21"/>
                <w:highlight w:val="none"/>
              </w:rPr>
              <w:t>020-87622828</w:t>
            </w:r>
          </w:p>
          <w:p>
            <w:pPr>
              <w:tabs>
                <w:tab w:val="left" w:pos="524"/>
                <w:tab w:val="left" w:pos="601"/>
              </w:tabs>
              <w:adjustRightInd w:val="0"/>
              <w:snapToGrid w:val="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电子邮箱：</w:t>
            </w:r>
            <w:r>
              <w:rPr>
                <w:rFonts w:asciiTheme="minorEastAsia" w:hAnsiTheme="minorEastAsia" w:eastAsiaTheme="minorEastAsia"/>
                <w:bCs/>
                <w:color w:val="auto"/>
                <w:szCs w:val="21"/>
                <w:highlight w:val="none"/>
              </w:rPr>
              <w:t>szzy@chinapsp.cn/service@choicelink.cn</w:t>
            </w:r>
          </w:p>
          <w:p>
            <w:pPr>
              <w:rPr>
                <w:rFonts w:ascii="宋体" w:hAnsi="宋体"/>
                <w:color w:val="auto"/>
                <w:szCs w:val="21"/>
                <w:highlight w:val="none"/>
              </w:rPr>
            </w:pPr>
            <w:r>
              <w:rPr>
                <w:rFonts w:hint="eastAsia" w:asciiTheme="minorEastAsia" w:hAnsiTheme="minorEastAsia" w:eastAsiaTheme="minorEastAsia"/>
                <w:bCs/>
                <w:color w:val="auto"/>
                <w:szCs w:val="21"/>
                <w:highlight w:val="none"/>
              </w:rPr>
              <w:t>邮编：518040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9088" w:type="dxa"/>
            <w:gridSpan w:val="2"/>
            <w:vAlign w:val="center"/>
          </w:tcPr>
          <w:p>
            <w:pPr>
              <w:jc w:val="center"/>
              <w:rPr>
                <w:rFonts w:ascii="宋体" w:hAnsi="宋体"/>
                <w:color w:val="auto"/>
                <w:szCs w:val="21"/>
                <w:highlight w:val="none"/>
              </w:rPr>
            </w:pPr>
            <w:r>
              <w:rPr>
                <w:rFonts w:hint="eastAsia" w:ascii="宋体" w:hAnsi="宋体"/>
                <w:b/>
                <w:color w:val="auto"/>
                <w:szCs w:val="21"/>
                <w:highlight w:val="none"/>
              </w:rPr>
              <w:t>五</w:t>
            </w:r>
            <w:r>
              <w:rPr>
                <w:rFonts w:ascii="宋体" w:hAnsi="宋体"/>
                <w:b/>
                <w:color w:val="auto"/>
                <w:szCs w:val="21"/>
                <w:highlight w:val="none"/>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88"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26.1</w:t>
            </w:r>
          </w:p>
        </w:tc>
        <w:tc>
          <w:tcPr>
            <w:tcW w:w="8000" w:type="dxa"/>
            <w:vAlign w:val="center"/>
          </w:tcPr>
          <w:p>
            <w:pPr>
              <w:adjustRightInd w:val="0"/>
              <w:snapToGrid w:val="0"/>
              <w:rPr>
                <w:rFonts w:ascii="宋体" w:hAnsi="宋体"/>
                <w:color w:val="auto"/>
                <w:szCs w:val="21"/>
                <w:highlight w:val="none"/>
              </w:rPr>
            </w:pPr>
            <w:r>
              <w:rPr>
                <w:rFonts w:hint="eastAsia" w:ascii="宋体" w:hAnsi="宋体"/>
                <w:color w:val="auto"/>
                <w:szCs w:val="21"/>
                <w:highlight w:val="none"/>
              </w:rPr>
              <w:t>履约保证金：无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27</w:t>
            </w:r>
            <w:r>
              <w:rPr>
                <w:rFonts w:ascii="宋体" w:hAnsi="宋体"/>
                <w:color w:val="auto"/>
                <w:szCs w:val="21"/>
                <w:highlight w:val="none"/>
              </w:rPr>
              <w:t>.1</w:t>
            </w:r>
          </w:p>
        </w:tc>
        <w:tc>
          <w:tcPr>
            <w:tcW w:w="8000" w:type="dxa"/>
          </w:tcPr>
          <w:p>
            <w:pPr>
              <w:numPr>
                <w:ilvl w:val="0"/>
                <w:numId w:val="2"/>
              </w:numPr>
              <w:rPr>
                <w:rFonts w:ascii="宋体" w:hAnsi="宋体"/>
                <w:color w:val="auto"/>
                <w:szCs w:val="21"/>
                <w:highlight w:val="none"/>
              </w:rPr>
            </w:pPr>
            <w:r>
              <w:rPr>
                <w:rFonts w:ascii="宋体" w:hAnsi="宋体"/>
                <w:color w:val="auto"/>
                <w:szCs w:val="21"/>
                <w:highlight w:val="none"/>
              </w:rPr>
              <w:t>中标人须向采购代理机构按如下标准和规定缴纳采购代理服务费：</w:t>
            </w:r>
          </w:p>
          <w:p>
            <w:pPr>
              <w:ind w:left="523" w:leftChars="166" w:hanging="174" w:hangingChars="83"/>
              <w:rPr>
                <w:rFonts w:ascii="宋体" w:hAnsi="宋体"/>
                <w:color w:val="auto"/>
                <w:szCs w:val="21"/>
                <w:highlight w:val="none"/>
              </w:rPr>
            </w:pPr>
            <w:r>
              <w:rPr>
                <w:rFonts w:ascii="宋体" w:hAnsi="宋体"/>
                <w:color w:val="auto"/>
                <w:szCs w:val="21"/>
                <w:highlight w:val="none"/>
              </w:rPr>
              <w:t>（1）以</w:t>
            </w:r>
            <w:r>
              <w:rPr>
                <w:rFonts w:hint="eastAsia" w:ascii="宋体" w:hAnsi="宋体"/>
                <w:bCs/>
                <w:color w:val="auto"/>
                <w:highlight w:val="none"/>
              </w:rPr>
              <w:t>中标金额作为采购代理服务费的计算基数。</w:t>
            </w:r>
          </w:p>
          <w:p>
            <w:pPr>
              <w:ind w:left="420" w:leftChars="200"/>
              <w:rPr>
                <w:rFonts w:ascii="宋体" w:hAnsi="宋体"/>
                <w:color w:val="auto"/>
                <w:szCs w:val="21"/>
                <w:highlight w:val="none"/>
              </w:rPr>
            </w:pPr>
            <w:r>
              <w:rPr>
                <w:rFonts w:hint="eastAsia" w:ascii="宋体" w:hAnsi="宋体"/>
                <w:color w:val="auto"/>
                <w:szCs w:val="21"/>
                <w:highlight w:val="none"/>
              </w:rPr>
              <w:t>采购代理服务费收费采用差额定率累进法计算方式。按《</w:t>
            </w:r>
            <w:r>
              <w:rPr>
                <w:rFonts w:hint="eastAsia"/>
                <w:color w:val="auto"/>
                <w:highlight w:val="none"/>
              </w:rPr>
              <w:t>深圳市财政委员会关于规范深圳市社会采购代理机构管理有关事项的补充通知》（深财购〔2018〕27号）代理费用参考标准</w:t>
            </w:r>
            <w:r>
              <w:rPr>
                <w:rFonts w:hint="eastAsia" w:ascii="宋体" w:hAnsi="宋体"/>
                <w:color w:val="auto"/>
                <w:szCs w:val="21"/>
                <w:highlight w:val="none"/>
              </w:rPr>
              <w:t>规定的“货物类”计算,</w:t>
            </w:r>
            <w:r>
              <w:rPr>
                <w:rFonts w:hint="eastAsia" w:ascii="宋体" w:hAnsi="宋体"/>
                <w:color w:val="auto"/>
                <w:szCs w:val="21"/>
                <w:highlight w:val="none"/>
                <w:lang w:eastAsia="zh-CN"/>
              </w:rPr>
              <w:t>下</w:t>
            </w:r>
            <w:r>
              <w:rPr>
                <w:rFonts w:hint="eastAsia" w:ascii="宋体" w:hAnsi="宋体"/>
                <w:color w:val="auto"/>
                <w:szCs w:val="21"/>
                <w:highlight w:val="none"/>
              </w:rPr>
              <w:t>浮</w:t>
            </w:r>
            <w:r>
              <w:rPr>
                <w:rFonts w:hint="eastAsia" w:ascii="宋体" w:hAnsi="宋体"/>
                <w:color w:val="auto"/>
                <w:szCs w:val="21"/>
                <w:highlight w:val="none"/>
                <w:lang w:val="en-US" w:eastAsia="zh-CN"/>
              </w:rPr>
              <w:t>1</w:t>
            </w:r>
            <w:r>
              <w:rPr>
                <w:rFonts w:hint="eastAsia" w:ascii="宋体" w:hAnsi="宋体"/>
                <w:color w:val="auto"/>
                <w:szCs w:val="21"/>
                <w:highlight w:val="none"/>
              </w:rPr>
              <w:t>0%后收取。</w:t>
            </w:r>
          </w:p>
          <w:p>
            <w:pPr>
              <w:ind w:firstLine="315" w:firstLineChars="150"/>
              <w:rPr>
                <w:rFonts w:ascii="宋体" w:hAnsi="宋体" w:cs="宋体"/>
                <w:color w:val="auto"/>
                <w:szCs w:val="21"/>
                <w:highlight w:val="none"/>
              </w:rPr>
            </w:pPr>
            <w:r>
              <w:rPr>
                <w:rFonts w:hint="eastAsia" w:ascii="宋体" w:hAnsi="宋体"/>
                <w:bCs/>
                <w:color w:val="auto"/>
                <w:highlight w:val="none"/>
              </w:rPr>
              <w:t>（2）服务费</w:t>
            </w:r>
            <w:r>
              <w:rPr>
                <w:rFonts w:hint="eastAsia" w:ascii="宋体" w:hAnsi="宋体" w:cs="宋体"/>
                <w:color w:val="auto"/>
                <w:szCs w:val="21"/>
                <w:highlight w:val="none"/>
              </w:rPr>
              <w:t>按差额定率累进法计算。</w:t>
            </w:r>
          </w:p>
          <w:tbl>
            <w:tblPr>
              <w:tblStyle w:val="38"/>
              <w:tblW w:w="7394" w:type="dxa"/>
              <w:tblInd w:w="0" w:type="dxa"/>
              <w:tblLayout w:type="fixed"/>
              <w:tblCellMar>
                <w:top w:w="15" w:type="dxa"/>
                <w:left w:w="15" w:type="dxa"/>
                <w:bottom w:w="15" w:type="dxa"/>
                <w:right w:w="15" w:type="dxa"/>
              </w:tblCellMar>
            </w:tblPr>
            <w:tblGrid>
              <w:gridCol w:w="2803"/>
              <w:gridCol w:w="1530"/>
              <w:gridCol w:w="1530"/>
              <w:gridCol w:w="1531"/>
            </w:tblGrid>
            <w:tr>
              <w:tblPrEx>
                <w:tblCellMar>
                  <w:top w:w="15" w:type="dxa"/>
                  <w:left w:w="15" w:type="dxa"/>
                  <w:bottom w:w="15" w:type="dxa"/>
                  <w:right w:w="15" w:type="dxa"/>
                </w:tblCellMar>
              </w:tblPrEx>
              <w:trPr>
                <w:trHeight w:val="299" w:hRule="atLeast"/>
              </w:trPr>
              <w:tc>
                <w:tcPr>
                  <w:tcW w:w="2803" w:type="dxa"/>
                  <w:tcBorders>
                    <w:top w:val="single" w:color="auto" w:sz="8" w:space="0"/>
                    <w:left w:val="single" w:color="auto" w:sz="8" w:space="0"/>
                    <w:bottom w:val="single" w:color="auto" w:sz="8" w:space="0"/>
                    <w:right w:val="single" w:color="auto" w:sz="8" w:space="0"/>
                  </w:tcBorders>
                  <w:tcMar>
                    <w:top w:w="27" w:type="dxa"/>
                    <w:left w:w="136" w:type="dxa"/>
                    <w:bottom w:w="27" w:type="dxa"/>
                    <w:right w:w="136" w:type="dxa"/>
                  </w:tcMar>
                  <w:vAlign w:val="center"/>
                </w:tcPr>
                <w:p>
                  <w:pPr>
                    <w:widowControl/>
                    <w:jc w:val="center"/>
                    <w:rPr>
                      <w:rFonts w:ascii="宋体" w:hAnsi="宋体" w:cs="宋体"/>
                      <w:color w:val="auto"/>
                      <w:highlight w:val="none"/>
                    </w:rPr>
                  </w:pPr>
                  <w:r>
                    <w:rPr>
                      <w:rFonts w:hint="eastAsia" w:ascii="宋体" w:hAnsi="宋体" w:cs="宋体"/>
                      <w:b/>
                      <w:bCs/>
                      <w:color w:val="auto"/>
                      <w:highlight w:val="none"/>
                    </w:rPr>
                    <w:t>服务费率类型</w:t>
                  </w:r>
                </w:p>
                <w:p>
                  <w:pPr>
                    <w:widowControl/>
                    <w:wordWrap w:val="0"/>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中标金额</w:t>
                  </w:r>
                </w:p>
              </w:tc>
              <w:tc>
                <w:tcPr>
                  <w:tcW w:w="1530" w:type="dxa"/>
                  <w:tcBorders>
                    <w:top w:val="single" w:color="auto" w:sz="8" w:space="0"/>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货物采购</w:t>
                  </w:r>
                </w:p>
              </w:tc>
              <w:tc>
                <w:tcPr>
                  <w:tcW w:w="1530" w:type="dxa"/>
                  <w:tcBorders>
                    <w:top w:val="single" w:color="auto" w:sz="8" w:space="0"/>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服务采购</w:t>
                  </w:r>
                </w:p>
              </w:tc>
              <w:tc>
                <w:tcPr>
                  <w:tcW w:w="1531" w:type="dxa"/>
                  <w:tcBorders>
                    <w:top w:val="single" w:color="auto" w:sz="8" w:space="0"/>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工程采购</w:t>
                  </w:r>
                </w:p>
              </w:tc>
            </w:tr>
            <w:tr>
              <w:tblPrEx>
                <w:tblCellMar>
                  <w:top w:w="15" w:type="dxa"/>
                  <w:left w:w="15" w:type="dxa"/>
                  <w:bottom w:w="15" w:type="dxa"/>
                  <w:right w:w="15" w:type="dxa"/>
                </w:tblCellMar>
              </w:tblPrEx>
              <w:trPr>
                <w:trHeight w:val="299" w:hRule="atLeast"/>
              </w:trPr>
              <w:tc>
                <w:tcPr>
                  <w:tcW w:w="2803"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100万元以下</w:t>
                  </w:r>
                </w:p>
              </w:tc>
              <w:tc>
                <w:tcPr>
                  <w:tcW w:w="153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1.5%</w:t>
                  </w:r>
                </w:p>
              </w:tc>
              <w:tc>
                <w:tcPr>
                  <w:tcW w:w="153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1.5%</w:t>
                  </w:r>
                </w:p>
              </w:tc>
              <w:tc>
                <w:tcPr>
                  <w:tcW w:w="1531"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1.0%</w:t>
                  </w:r>
                </w:p>
              </w:tc>
            </w:tr>
            <w:tr>
              <w:tblPrEx>
                <w:tblCellMar>
                  <w:top w:w="15" w:type="dxa"/>
                  <w:left w:w="15" w:type="dxa"/>
                  <w:bottom w:w="15" w:type="dxa"/>
                  <w:right w:w="15" w:type="dxa"/>
                </w:tblCellMar>
              </w:tblPrEx>
              <w:trPr>
                <w:trHeight w:val="299" w:hRule="atLeast"/>
              </w:trPr>
              <w:tc>
                <w:tcPr>
                  <w:tcW w:w="2803"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100万元（含）-500万元</w:t>
                  </w:r>
                </w:p>
              </w:tc>
              <w:tc>
                <w:tcPr>
                  <w:tcW w:w="153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1.1%</w:t>
                  </w:r>
                </w:p>
              </w:tc>
              <w:tc>
                <w:tcPr>
                  <w:tcW w:w="153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0.8%</w:t>
                  </w:r>
                </w:p>
              </w:tc>
              <w:tc>
                <w:tcPr>
                  <w:tcW w:w="1531"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0.7%</w:t>
                  </w:r>
                </w:p>
              </w:tc>
            </w:tr>
            <w:tr>
              <w:tblPrEx>
                <w:tblCellMar>
                  <w:top w:w="15" w:type="dxa"/>
                  <w:left w:w="15" w:type="dxa"/>
                  <w:bottom w:w="15" w:type="dxa"/>
                  <w:right w:w="15" w:type="dxa"/>
                </w:tblCellMar>
              </w:tblPrEx>
              <w:trPr>
                <w:trHeight w:val="299" w:hRule="atLeast"/>
              </w:trPr>
              <w:tc>
                <w:tcPr>
                  <w:tcW w:w="2803"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500万元（含）-1000万元</w:t>
                  </w:r>
                </w:p>
              </w:tc>
              <w:tc>
                <w:tcPr>
                  <w:tcW w:w="153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0.8%</w:t>
                  </w:r>
                </w:p>
              </w:tc>
              <w:tc>
                <w:tcPr>
                  <w:tcW w:w="153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0.45%</w:t>
                  </w:r>
                </w:p>
              </w:tc>
              <w:tc>
                <w:tcPr>
                  <w:tcW w:w="1531"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0.55%</w:t>
                  </w:r>
                </w:p>
              </w:tc>
            </w:tr>
          </w:tbl>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例如：某货物招标中标金额为850万元，计算招标代理服务收费额如下：</w:t>
            </w:r>
          </w:p>
          <w:p>
            <w:pPr>
              <w:snapToGrid w:val="0"/>
              <w:spacing w:line="360" w:lineRule="auto"/>
              <w:ind w:left="332" w:leftChars="158" w:firstLine="1470" w:firstLineChars="700"/>
              <w:rPr>
                <w:rFonts w:ascii="宋体" w:hAnsi="宋体" w:cs="宋体"/>
                <w:color w:val="auto"/>
                <w:szCs w:val="21"/>
                <w:highlight w:val="none"/>
              </w:rPr>
            </w:pPr>
            <w:r>
              <w:rPr>
                <w:rFonts w:hint="eastAsia" w:ascii="宋体" w:hAnsi="宋体" w:cs="宋体"/>
                <w:color w:val="auto"/>
                <w:szCs w:val="21"/>
                <w:highlight w:val="none"/>
              </w:rPr>
              <w:t>100万元×1.5%=1.5万元</w:t>
            </w:r>
          </w:p>
          <w:p>
            <w:pPr>
              <w:snapToGrid w:val="0"/>
              <w:spacing w:line="360" w:lineRule="auto"/>
              <w:ind w:left="332" w:leftChars="158" w:firstLine="1260" w:firstLineChars="600"/>
              <w:rPr>
                <w:rFonts w:ascii="宋体" w:hAnsi="宋体" w:cs="宋体"/>
                <w:color w:val="auto"/>
                <w:szCs w:val="21"/>
                <w:highlight w:val="none"/>
              </w:rPr>
            </w:pPr>
            <w:r>
              <w:rPr>
                <w:rFonts w:hint="eastAsia" w:ascii="宋体" w:hAnsi="宋体" w:cs="宋体"/>
                <w:color w:val="auto"/>
                <w:szCs w:val="21"/>
                <w:highlight w:val="none"/>
              </w:rPr>
              <w:t>（500-100）万元×1.1%=4.4万元</w:t>
            </w:r>
          </w:p>
          <w:p>
            <w:pPr>
              <w:snapToGrid w:val="0"/>
              <w:spacing w:line="360" w:lineRule="auto"/>
              <w:ind w:left="332" w:leftChars="158" w:firstLine="1155" w:firstLineChars="550"/>
              <w:rPr>
                <w:rFonts w:ascii="宋体" w:hAnsi="宋体" w:cs="宋体"/>
                <w:color w:val="auto"/>
                <w:szCs w:val="21"/>
                <w:highlight w:val="none"/>
              </w:rPr>
            </w:pPr>
            <w:r>
              <w:rPr>
                <w:rFonts w:hint="eastAsia" w:ascii="宋体" w:hAnsi="宋体" w:cs="宋体"/>
                <w:color w:val="auto"/>
                <w:szCs w:val="21"/>
                <w:highlight w:val="none"/>
              </w:rPr>
              <w:t>（850-500）万元×0.8%=2.8万元</w:t>
            </w:r>
          </w:p>
          <w:p>
            <w:pPr>
              <w:ind w:firstLine="1365" w:firstLineChars="650"/>
              <w:rPr>
                <w:rFonts w:ascii="宋体" w:hAnsi="宋体"/>
                <w:bCs/>
                <w:color w:val="auto"/>
                <w:highlight w:val="none"/>
              </w:rPr>
            </w:pPr>
            <w:r>
              <w:rPr>
                <w:rFonts w:hint="eastAsia" w:ascii="宋体" w:hAnsi="宋体" w:cs="宋体"/>
                <w:color w:val="auto"/>
                <w:szCs w:val="21"/>
                <w:highlight w:val="none"/>
              </w:rPr>
              <w:t>合计收费=1.5+4.4+2.8=8.7（万元）</w:t>
            </w:r>
          </w:p>
          <w:p>
            <w:pPr>
              <w:ind w:left="363" w:leftChars="173"/>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）采购代理服务费的缴纳形式：</w:t>
            </w:r>
          </w:p>
          <w:p>
            <w:pPr>
              <w:ind w:left="363" w:leftChars="173"/>
              <w:rPr>
                <w:rFonts w:ascii="宋体" w:hAnsi="宋体"/>
                <w:color w:val="auto"/>
                <w:szCs w:val="21"/>
                <w:highlight w:val="none"/>
              </w:rPr>
            </w:pPr>
            <w:r>
              <w:rPr>
                <w:rFonts w:ascii="宋体" w:hAnsi="宋体"/>
                <w:color w:val="auto"/>
                <w:szCs w:val="21"/>
                <w:highlight w:val="none"/>
              </w:rPr>
              <w:t>向采购代理机构直接缴纳采购代理服务费。可用支票、汇票、电汇等付款方式；</w:t>
            </w:r>
          </w:p>
          <w:p>
            <w:pPr>
              <w:numPr>
                <w:ilvl w:val="0"/>
                <w:numId w:val="2"/>
              </w:numPr>
              <w:rPr>
                <w:rFonts w:ascii="宋体" w:hAnsi="宋体"/>
                <w:color w:val="auto"/>
                <w:szCs w:val="21"/>
                <w:highlight w:val="none"/>
              </w:rPr>
            </w:pPr>
            <w:r>
              <w:rPr>
                <w:rFonts w:ascii="宋体" w:hAnsi="宋体"/>
                <w:color w:val="auto"/>
                <w:szCs w:val="21"/>
                <w:highlight w:val="none"/>
              </w:rPr>
              <w:t>投标人应签署</w:t>
            </w:r>
            <w:r>
              <w:rPr>
                <w:rFonts w:hint="eastAsia" w:ascii="宋体" w:hAnsi="宋体"/>
                <w:color w:val="auto"/>
                <w:szCs w:val="21"/>
                <w:highlight w:val="none"/>
              </w:rPr>
              <w:t>第六</w:t>
            </w:r>
            <w:r>
              <w:rPr>
                <w:rFonts w:ascii="宋体" w:hAnsi="宋体"/>
                <w:color w:val="auto"/>
                <w:szCs w:val="21"/>
                <w:highlight w:val="none"/>
              </w:rPr>
              <w:t>章所附格式的采购代理服务费承诺书，作为投标文件的一部分。</w:t>
            </w:r>
          </w:p>
          <w:p>
            <w:pPr>
              <w:numPr>
                <w:ilvl w:val="0"/>
                <w:numId w:val="2"/>
              </w:numPr>
              <w:rPr>
                <w:rFonts w:ascii="宋体" w:hAnsi="宋体"/>
                <w:color w:val="auto"/>
                <w:szCs w:val="21"/>
                <w:highlight w:val="none"/>
              </w:rPr>
            </w:pPr>
            <w:r>
              <w:rPr>
                <w:rFonts w:hint="eastAsia" w:ascii="宋体" w:hAnsi="宋体"/>
                <w:color w:val="auto"/>
                <w:szCs w:val="21"/>
                <w:highlight w:val="none"/>
              </w:rPr>
              <w:t>中标人在领取《中标通知书》前应向采购代理机构缴纳采购代理服务费。</w:t>
            </w:r>
            <w:r>
              <w:rPr>
                <w:rFonts w:hint="eastAsia" w:ascii="宋体" w:cs="宋体"/>
                <w:color w:val="auto"/>
                <w:szCs w:val="21"/>
                <w:highlight w:val="none"/>
              </w:rPr>
              <w:t>凭领取人身份证复印件并加盖公章领取《中标通知书》。如采用电汇或银行转账，须同时递交采购代理服务费缴费凭证复印件并加盖公章。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088" w:type="dxa"/>
            <w:gridSpan w:val="2"/>
            <w:vAlign w:val="center"/>
          </w:tcPr>
          <w:p>
            <w:pPr>
              <w:jc w:val="center"/>
              <w:rPr>
                <w:rFonts w:ascii="宋体" w:hAnsi="宋体"/>
                <w:b/>
                <w:color w:val="auto"/>
                <w:szCs w:val="21"/>
                <w:highlight w:val="none"/>
              </w:rPr>
            </w:pPr>
            <w:r>
              <w:rPr>
                <w:rFonts w:hint="eastAsia" w:ascii="宋体" w:hAnsi="宋体"/>
                <w:b/>
                <w:color w:val="auto"/>
                <w:szCs w:val="21"/>
                <w:highlight w:val="none"/>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w:t>
            </w:r>
          </w:p>
        </w:tc>
        <w:tc>
          <w:tcPr>
            <w:tcW w:w="8000" w:type="dxa"/>
            <w:vAlign w:val="center"/>
          </w:tcPr>
          <w:p>
            <w:pPr>
              <w:rPr>
                <w:rFonts w:ascii="宋体" w:hAnsi="宋体"/>
                <w:color w:val="auto"/>
                <w:szCs w:val="21"/>
                <w:highlight w:val="none"/>
              </w:rPr>
            </w:pPr>
            <w:r>
              <w:rPr>
                <w:rFonts w:hint="eastAsia" w:ascii="宋体" w:hAnsi="宋体"/>
                <w:bCs/>
                <w:color w:val="auto"/>
                <w:highlight w:val="none"/>
              </w:rPr>
              <w:t>评标</w:t>
            </w:r>
            <w:r>
              <w:rPr>
                <w:rFonts w:hint="eastAsia" w:ascii="宋体" w:hAnsi="宋体"/>
                <w:bCs/>
                <w:color w:val="auto"/>
                <w:highlight w:val="none"/>
              </w:rPr>
              <w:t>方法：采用综合评分法。</w:t>
            </w:r>
          </w:p>
        </w:tc>
      </w:tr>
    </w:tbl>
    <w:p>
      <w:pPr>
        <w:rPr>
          <w:rStyle w:val="46"/>
          <w:rFonts w:asciiTheme="minorHAnsi" w:hAnsiTheme="minorHAnsi" w:eastAsiaTheme="minorEastAsia" w:cstheme="minorBidi"/>
          <w:color w:val="auto"/>
          <w:highlight w:val="none"/>
        </w:rPr>
      </w:pPr>
      <w:bookmarkStart w:id="15" w:name="_Toc8307303"/>
      <w:bookmarkStart w:id="16" w:name="_Toc435514849"/>
      <w:bookmarkStart w:id="17" w:name="_Toc435115054"/>
      <w:bookmarkStart w:id="18" w:name="_Toc8307302"/>
      <w:r>
        <w:rPr>
          <w:rStyle w:val="46"/>
          <w:rFonts w:asciiTheme="minorHAnsi" w:hAnsiTheme="minorHAnsi" w:eastAsiaTheme="minorEastAsia" w:cstheme="minorBidi"/>
          <w:color w:val="auto"/>
          <w:highlight w:val="none"/>
        </w:rPr>
        <w:br w:type="page"/>
      </w:r>
    </w:p>
    <w:p>
      <w:pPr>
        <w:pStyle w:val="3"/>
        <w:jc w:val="center"/>
        <w:rPr>
          <w:rFonts w:asciiTheme="majorEastAsia" w:hAnsiTheme="majorEastAsia" w:eastAsiaTheme="majorEastAsia" w:cstheme="majorEastAsia"/>
          <w:color w:val="auto"/>
          <w:sz w:val="32"/>
          <w:szCs w:val="32"/>
          <w:highlight w:val="none"/>
        </w:rPr>
      </w:pPr>
      <w:bookmarkStart w:id="19" w:name="_Toc22038"/>
      <w:bookmarkStart w:id="20" w:name="_Toc13175"/>
      <w:bookmarkStart w:id="21" w:name="_Toc24913_WPSOffice_Level1"/>
      <w:bookmarkStart w:id="22" w:name="_Toc20351"/>
      <w:r>
        <w:rPr>
          <w:rFonts w:hint="eastAsia" w:asciiTheme="majorEastAsia" w:hAnsiTheme="majorEastAsia" w:eastAsiaTheme="majorEastAsia" w:cstheme="majorEastAsia"/>
          <w:color w:val="auto"/>
          <w:sz w:val="32"/>
          <w:szCs w:val="32"/>
          <w:highlight w:val="none"/>
        </w:rPr>
        <w:t>第三章 用户需求书</w:t>
      </w:r>
      <w:bookmarkEnd w:id="15"/>
      <w:bookmarkEnd w:id="16"/>
      <w:bookmarkEnd w:id="17"/>
      <w:bookmarkEnd w:id="19"/>
      <w:bookmarkEnd w:id="20"/>
      <w:bookmarkEnd w:id="21"/>
      <w:bookmarkEnd w:id="22"/>
    </w:p>
    <w:p>
      <w:pPr>
        <w:snapToGrid w:val="0"/>
        <w:spacing w:line="360" w:lineRule="auto"/>
        <w:rPr>
          <w:rFonts w:ascii="宋体"/>
          <w:b/>
          <w:bCs/>
          <w:color w:val="auto"/>
          <w:szCs w:val="20"/>
          <w:highlight w:val="none"/>
        </w:rPr>
      </w:pPr>
      <w:r>
        <w:rPr>
          <w:rFonts w:hint="eastAsia" w:ascii="宋体"/>
          <w:b/>
          <w:bCs/>
          <w:color w:val="auto"/>
          <w:szCs w:val="20"/>
          <w:highlight w:val="none"/>
        </w:rPr>
        <w:t>说明：</w:t>
      </w:r>
    </w:p>
    <w:p>
      <w:pPr>
        <w:numPr>
          <w:ilvl w:val="0"/>
          <w:numId w:val="3"/>
        </w:numPr>
        <w:snapToGrid w:val="0"/>
        <w:spacing w:line="360" w:lineRule="auto"/>
        <w:ind w:left="422" w:hanging="422" w:hangingChars="200"/>
        <w:rPr>
          <w:rFonts w:ascii="宋体"/>
          <w:b/>
          <w:bCs/>
          <w:color w:val="auto"/>
          <w:szCs w:val="20"/>
          <w:highlight w:val="none"/>
        </w:rPr>
      </w:pPr>
      <w:r>
        <w:rPr>
          <w:rFonts w:hint="eastAsia" w:ascii="宋体"/>
          <w:b/>
          <w:bCs/>
          <w:color w:val="auto"/>
          <w:szCs w:val="20"/>
          <w:highlight w:val="none"/>
        </w:rPr>
        <w:t>投标人须对本项目的</w:t>
      </w:r>
      <w:r>
        <w:rPr>
          <w:rFonts w:hint="eastAsia" w:asciiTheme="minorEastAsia" w:hAnsiTheme="minorEastAsia" w:eastAsiaTheme="minorEastAsia"/>
          <w:b/>
          <w:bCs/>
          <w:color w:val="auto"/>
          <w:szCs w:val="21"/>
          <w:highlight w:val="none"/>
        </w:rPr>
        <w:t>采购标的或服务内容</w:t>
      </w:r>
      <w:r>
        <w:rPr>
          <w:rFonts w:hint="eastAsia" w:ascii="宋体"/>
          <w:b/>
          <w:bCs/>
          <w:color w:val="auto"/>
          <w:szCs w:val="20"/>
          <w:highlight w:val="none"/>
        </w:rPr>
        <w:t>进行整体响应，任何只对</w:t>
      </w:r>
      <w:r>
        <w:rPr>
          <w:rFonts w:hint="eastAsia" w:asciiTheme="minorEastAsia" w:hAnsiTheme="minorEastAsia" w:eastAsiaTheme="minorEastAsia"/>
          <w:b/>
          <w:bCs/>
          <w:color w:val="auto"/>
          <w:szCs w:val="21"/>
          <w:highlight w:val="none"/>
        </w:rPr>
        <w:t>采购标的或服务内容</w:t>
      </w:r>
      <w:r>
        <w:rPr>
          <w:rFonts w:hint="eastAsia" w:ascii="宋体"/>
          <w:b/>
          <w:bCs/>
          <w:color w:val="auto"/>
          <w:szCs w:val="20"/>
          <w:highlight w:val="none"/>
        </w:rPr>
        <w:t>其中一部分内容进行的响应都被视为无效投标。</w:t>
      </w:r>
    </w:p>
    <w:p>
      <w:pPr>
        <w:numPr>
          <w:ilvl w:val="0"/>
          <w:numId w:val="3"/>
        </w:numPr>
        <w:snapToGrid w:val="0"/>
        <w:spacing w:line="360" w:lineRule="auto"/>
        <w:ind w:left="422" w:hanging="422" w:hangingChars="200"/>
        <w:rPr>
          <w:rFonts w:ascii="宋体"/>
          <w:b/>
          <w:bCs/>
          <w:color w:val="auto"/>
          <w:szCs w:val="20"/>
          <w:highlight w:val="none"/>
        </w:rPr>
      </w:pPr>
      <w:r>
        <w:rPr>
          <w:rFonts w:hint="eastAsia" w:asciiTheme="minorEastAsia" w:hAnsiTheme="minorEastAsia" w:eastAsiaTheme="minorEastAsia"/>
          <w:b/>
          <w:bCs/>
          <w:color w:val="auto"/>
          <w:szCs w:val="21"/>
          <w:highlight w:val="none"/>
        </w:rPr>
        <w:t>用户需求书中打</w:t>
      </w:r>
      <w:r>
        <w:rPr>
          <w:rFonts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rPr>
        <w:t>号条款为实质性条款，有任何一条负偏离则导致无效投标。</w:t>
      </w:r>
    </w:p>
    <w:p>
      <w:pPr>
        <w:pStyle w:val="2"/>
        <w:numPr>
          <w:ilvl w:val="0"/>
          <w:numId w:val="4"/>
        </w:numPr>
        <w:tabs>
          <w:tab w:val="left" w:pos="540"/>
        </w:tabs>
        <w:adjustRightInd w:val="0"/>
        <w:snapToGrid w:val="0"/>
        <w:spacing w:line="360" w:lineRule="auto"/>
        <w:rPr>
          <w:rFonts w:hAnsi="宋体"/>
          <w:b/>
          <w:color w:val="auto"/>
          <w:highlight w:val="none"/>
        </w:rPr>
      </w:pPr>
      <w:r>
        <w:rPr>
          <w:rFonts w:hint="eastAsia" w:hAnsi="宋体"/>
          <w:b/>
          <w:color w:val="auto"/>
          <w:highlight w:val="none"/>
        </w:rPr>
        <w:t>项目一览表:</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849"/>
        <w:gridCol w:w="2470"/>
        <w:gridCol w:w="2286"/>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739" w:type="pct"/>
            <w:shd w:val="clear" w:color="auto" w:fill="EEECE1"/>
            <w:vAlign w:val="center"/>
          </w:tcPr>
          <w:p>
            <w:pPr>
              <w:jc w:val="center"/>
              <w:rPr>
                <w:rFonts w:ascii="宋体"/>
                <w:b/>
                <w:color w:val="auto"/>
                <w:szCs w:val="21"/>
                <w:highlight w:val="none"/>
              </w:rPr>
            </w:pPr>
            <w:r>
              <w:rPr>
                <w:rFonts w:hint="eastAsia" w:ascii="宋体"/>
                <w:b/>
                <w:color w:val="auto"/>
                <w:szCs w:val="21"/>
                <w:highlight w:val="none"/>
              </w:rPr>
              <w:t>采购内容</w:t>
            </w:r>
          </w:p>
        </w:tc>
        <w:tc>
          <w:tcPr>
            <w:tcW w:w="452" w:type="pct"/>
            <w:shd w:val="clear" w:color="auto" w:fill="EEECE1"/>
            <w:vAlign w:val="center"/>
          </w:tcPr>
          <w:p>
            <w:pPr>
              <w:jc w:val="center"/>
              <w:rPr>
                <w:rFonts w:ascii="宋体"/>
                <w:b/>
                <w:color w:val="auto"/>
                <w:szCs w:val="21"/>
                <w:highlight w:val="none"/>
              </w:rPr>
            </w:pPr>
            <w:r>
              <w:rPr>
                <w:rFonts w:hint="eastAsia" w:ascii="宋体"/>
                <w:b/>
                <w:color w:val="auto"/>
                <w:szCs w:val="21"/>
                <w:highlight w:val="none"/>
              </w:rPr>
              <w:t>数量</w:t>
            </w:r>
          </w:p>
        </w:tc>
        <w:tc>
          <w:tcPr>
            <w:tcW w:w="1315" w:type="pct"/>
            <w:shd w:val="clear" w:color="auto" w:fill="EEECE1"/>
            <w:vAlign w:val="center"/>
          </w:tcPr>
          <w:p>
            <w:pPr>
              <w:jc w:val="center"/>
              <w:rPr>
                <w:rFonts w:ascii="宋体"/>
                <w:b/>
                <w:color w:val="auto"/>
                <w:szCs w:val="21"/>
                <w:highlight w:val="none"/>
              </w:rPr>
            </w:pPr>
            <w:r>
              <w:rPr>
                <w:rFonts w:hint="eastAsia" w:ascii="宋体"/>
                <w:b/>
                <w:color w:val="auto"/>
                <w:szCs w:val="21"/>
                <w:highlight w:val="none"/>
              </w:rPr>
              <w:t>交货期</w:t>
            </w:r>
          </w:p>
        </w:tc>
        <w:tc>
          <w:tcPr>
            <w:tcW w:w="1217" w:type="pct"/>
            <w:shd w:val="clear" w:color="auto" w:fill="EEECE1"/>
            <w:vAlign w:val="center"/>
          </w:tcPr>
          <w:p>
            <w:pPr>
              <w:jc w:val="center"/>
              <w:rPr>
                <w:rFonts w:ascii="宋体"/>
                <w:b/>
                <w:color w:val="auto"/>
                <w:szCs w:val="21"/>
                <w:highlight w:val="none"/>
              </w:rPr>
            </w:pPr>
            <w:r>
              <w:rPr>
                <w:rFonts w:hint="eastAsia" w:ascii="宋体"/>
                <w:b/>
                <w:color w:val="auto"/>
                <w:szCs w:val="21"/>
                <w:highlight w:val="none"/>
              </w:rPr>
              <w:t>预算金额</w:t>
            </w:r>
          </w:p>
        </w:tc>
        <w:tc>
          <w:tcPr>
            <w:tcW w:w="1274" w:type="pct"/>
            <w:shd w:val="clear" w:color="auto" w:fill="EEECE1"/>
            <w:vAlign w:val="center"/>
          </w:tcPr>
          <w:p>
            <w:pPr>
              <w:jc w:val="center"/>
              <w:rPr>
                <w:rFonts w:ascii="宋体"/>
                <w:b/>
                <w:color w:val="auto"/>
                <w:szCs w:val="21"/>
                <w:highlight w:val="none"/>
              </w:rPr>
            </w:pPr>
            <w:r>
              <w:rPr>
                <w:rFonts w:hint="eastAsia" w:ascii="宋体"/>
                <w:b/>
                <w:color w:val="auto"/>
                <w:szCs w:val="21"/>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39" w:type="pct"/>
            <w:vAlign w:val="center"/>
          </w:tcPr>
          <w:p>
            <w:pPr>
              <w:jc w:val="center"/>
              <w:rPr>
                <w:rFonts w:hint="eastAsia" w:ascii="宋体" w:eastAsia="宋体"/>
                <w:bCs/>
                <w:color w:val="auto"/>
                <w:szCs w:val="21"/>
                <w:highlight w:val="none"/>
                <w:lang w:eastAsia="zh-CN"/>
              </w:rPr>
            </w:pPr>
            <w:r>
              <w:rPr>
                <w:rFonts w:hint="eastAsia" w:ascii="宋体" w:hAnsi="宋体" w:cs="宋体"/>
                <w:bCs/>
                <w:color w:val="auto"/>
                <w:szCs w:val="21"/>
                <w:highlight w:val="none"/>
                <w:lang w:eastAsia="zh-CN"/>
              </w:rPr>
              <w:t>深圳市疾病预防控制中心艾防硒标耗材一批</w:t>
            </w:r>
          </w:p>
        </w:tc>
        <w:tc>
          <w:tcPr>
            <w:tcW w:w="452" w:type="pct"/>
            <w:vAlign w:val="center"/>
          </w:tcPr>
          <w:p>
            <w:pPr>
              <w:jc w:val="center"/>
              <w:rPr>
                <w:rFonts w:ascii="宋体"/>
                <w:bCs/>
                <w:color w:val="auto"/>
                <w:szCs w:val="21"/>
                <w:highlight w:val="none"/>
              </w:rPr>
            </w:pPr>
            <w:r>
              <w:rPr>
                <w:rFonts w:hint="eastAsia" w:ascii="宋体" w:hAnsi="宋体" w:cs="宋体"/>
                <w:bCs/>
                <w:color w:val="auto"/>
                <w:szCs w:val="21"/>
                <w:highlight w:val="none"/>
                <w:lang w:val="en-US" w:eastAsia="zh-CN"/>
              </w:rPr>
              <w:t>1批</w:t>
            </w:r>
          </w:p>
        </w:tc>
        <w:tc>
          <w:tcPr>
            <w:tcW w:w="1315" w:type="pct"/>
            <w:vAlign w:val="center"/>
          </w:tcPr>
          <w:p>
            <w:pPr>
              <w:pStyle w:val="76"/>
              <w:spacing w:line="240" w:lineRule="auto"/>
              <w:rPr>
                <w:snapToGrid/>
                <w:color w:val="auto"/>
                <w:spacing w:val="0"/>
                <w:kern w:val="2"/>
                <w:sz w:val="21"/>
                <w:szCs w:val="24"/>
                <w:highlight w:val="none"/>
              </w:rPr>
            </w:pPr>
            <w:r>
              <w:rPr>
                <w:rFonts w:hint="eastAsia" w:ascii="宋体" w:hAnsi="宋体" w:eastAsia="宋体" w:cs="宋体"/>
                <w:bCs/>
                <w:snapToGrid/>
                <w:color w:val="auto"/>
                <w:spacing w:val="0"/>
                <w:kern w:val="2"/>
                <w:sz w:val="21"/>
                <w:szCs w:val="21"/>
                <w:highlight w:val="none"/>
                <w:lang w:val="en-US" w:eastAsia="zh-CN" w:bidi="ar-SA"/>
              </w:rPr>
              <w:t>按采购人实际需求供货，供货最后期限不能超过</w:t>
            </w:r>
            <w:r>
              <w:rPr>
                <w:rFonts w:hint="default" w:ascii="宋体" w:hAnsi="宋体" w:eastAsia="宋体" w:cs="宋体"/>
                <w:bCs/>
                <w:snapToGrid/>
                <w:color w:val="auto"/>
                <w:spacing w:val="0"/>
                <w:kern w:val="2"/>
                <w:sz w:val="21"/>
                <w:szCs w:val="21"/>
                <w:highlight w:val="none"/>
                <w:lang w:val="en-US" w:eastAsia="zh-CN" w:bidi="ar-SA"/>
              </w:rPr>
              <w:t>2024年</w:t>
            </w:r>
            <w:r>
              <w:rPr>
                <w:rFonts w:hint="eastAsia" w:ascii="宋体" w:hAnsi="宋体" w:eastAsia="宋体" w:cs="宋体"/>
                <w:bCs/>
                <w:snapToGrid/>
                <w:color w:val="auto"/>
                <w:spacing w:val="0"/>
                <w:kern w:val="2"/>
                <w:sz w:val="21"/>
                <w:szCs w:val="21"/>
                <w:highlight w:val="none"/>
                <w:lang w:val="en-US" w:eastAsia="zh-CN" w:bidi="ar-SA"/>
              </w:rPr>
              <w:t>11月30日</w:t>
            </w:r>
          </w:p>
        </w:tc>
        <w:tc>
          <w:tcPr>
            <w:tcW w:w="1217" w:type="pct"/>
            <w:vAlign w:val="center"/>
          </w:tcPr>
          <w:p>
            <w:pPr>
              <w:pStyle w:val="76"/>
              <w:spacing w:line="240" w:lineRule="auto"/>
              <w:rPr>
                <w:snapToGrid/>
                <w:color w:val="auto"/>
                <w:spacing w:val="0"/>
                <w:kern w:val="2"/>
                <w:sz w:val="21"/>
                <w:szCs w:val="24"/>
                <w:highlight w:val="none"/>
              </w:rPr>
            </w:pPr>
            <w:r>
              <w:rPr>
                <w:rFonts w:hint="eastAsia" w:ascii="宋体" w:hAnsi="宋体" w:cs="宋体"/>
                <w:snapToGrid/>
                <w:color w:val="auto"/>
                <w:spacing w:val="0"/>
                <w:kern w:val="2"/>
                <w:sz w:val="21"/>
                <w:szCs w:val="21"/>
                <w:highlight w:val="none"/>
              </w:rPr>
              <w:t>人民币</w:t>
            </w:r>
            <w:r>
              <w:rPr>
                <w:rFonts w:hint="eastAsia" w:ascii="宋体" w:hAnsi="宋体" w:cs="宋体"/>
                <w:snapToGrid/>
                <w:color w:val="auto"/>
                <w:spacing w:val="0"/>
                <w:kern w:val="2"/>
                <w:sz w:val="21"/>
                <w:szCs w:val="21"/>
                <w:highlight w:val="none"/>
                <w:lang w:val="en-US" w:eastAsia="zh-CN"/>
              </w:rPr>
              <w:t>266,000.00</w:t>
            </w:r>
            <w:r>
              <w:rPr>
                <w:rFonts w:hint="eastAsia" w:ascii="宋体" w:hAnsi="宋体" w:cs="宋体"/>
                <w:snapToGrid/>
                <w:color w:val="auto"/>
                <w:spacing w:val="0"/>
                <w:kern w:val="2"/>
                <w:sz w:val="21"/>
                <w:szCs w:val="21"/>
                <w:highlight w:val="none"/>
              </w:rPr>
              <w:t>元</w:t>
            </w:r>
          </w:p>
        </w:tc>
        <w:tc>
          <w:tcPr>
            <w:tcW w:w="1274" w:type="pct"/>
            <w:vAlign w:val="center"/>
          </w:tcPr>
          <w:p>
            <w:pPr>
              <w:pStyle w:val="76"/>
              <w:spacing w:line="240" w:lineRule="auto"/>
              <w:ind w:firstLine="120"/>
              <w:rPr>
                <w:snapToGrid/>
                <w:color w:val="auto"/>
                <w:spacing w:val="0"/>
                <w:kern w:val="2"/>
                <w:sz w:val="21"/>
                <w:szCs w:val="24"/>
                <w:highlight w:val="none"/>
              </w:rPr>
            </w:pPr>
            <w:r>
              <w:rPr>
                <w:rFonts w:hint="eastAsia" w:ascii="宋体" w:hAnsi="宋体" w:cs="宋体"/>
                <w:snapToGrid/>
                <w:color w:val="auto"/>
                <w:spacing w:val="0"/>
                <w:kern w:val="2"/>
                <w:sz w:val="21"/>
                <w:szCs w:val="21"/>
                <w:highlight w:val="none"/>
              </w:rPr>
              <w:t>人民币</w:t>
            </w:r>
            <w:r>
              <w:rPr>
                <w:rFonts w:hint="eastAsia" w:ascii="宋体" w:hAnsi="宋体" w:cs="宋体"/>
                <w:snapToGrid/>
                <w:color w:val="auto"/>
                <w:spacing w:val="0"/>
                <w:kern w:val="2"/>
                <w:sz w:val="21"/>
                <w:szCs w:val="21"/>
                <w:highlight w:val="none"/>
                <w:lang w:val="en-US" w:eastAsia="zh-CN"/>
              </w:rPr>
              <w:t>266,000.00</w:t>
            </w:r>
            <w:r>
              <w:rPr>
                <w:rFonts w:hint="eastAsia" w:ascii="宋体" w:hAnsi="宋体" w:cs="宋体"/>
                <w:snapToGrid/>
                <w:color w:val="auto"/>
                <w:spacing w:val="0"/>
                <w:kern w:val="2"/>
                <w:sz w:val="21"/>
                <w:szCs w:val="21"/>
                <w:highlight w:val="none"/>
              </w:rPr>
              <w:t>元</w:t>
            </w:r>
          </w:p>
        </w:tc>
      </w:tr>
    </w:tbl>
    <w:p>
      <w:pPr>
        <w:pStyle w:val="2"/>
        <w:numPr>
          <w:ilvl w:val="0"/>
          <w:numId w:val="4"/>
        </w:numPr>
        <w:tabs>
          <w:tab w:val="left" w:pos="540"/>
        </w:tabs>
        <w:adjustRightInd w:val="0"/>
        <w:snapToGrid w:val="0"/>
        <w:spacing w:line="360" w:lineRule="auto"/>
        <w:rPr>
          <w:rFonts w:hAnsi="宋体"/>
          <w:b/>
          <w:color w:val="auto"/>
          <w:highlight w:val="none"/>
        </w:rPr>
      </w:pPr>
      <w:r>
        <w:rPr>
          <w:rFonts w:hint="eastAsia" w:hAnsi="宋体"/>
          <w:b/>
          <w:color w:val="auto"/>
          <w:highlight w:val="none"/>
        </w:rPr>
        <w:t>项目采购标的清单：</w:t>
      </w:r>
    </w:p>
    <w:tbl>
      <w:tblPr>
        <w:tblStyle w:val="38"/>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8"/>
        <w:gridCol w:w="3165"/>
        <w:gridCol w:w="1601"/>
        <w:gridCol w:w="1125"/>
        <w:gridCol w:w="738"/>
        <w:gridCol w:w="2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序号</w:t>
            </w:r>
          </w:p>
        </w:tc>
        <w:tc>
          <w:tcPr>
            <w:tcW w:w="1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商品名称</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规格型号</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计量单位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数量</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最高单价限价（元）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人类免疫缺陷病毒p24抗原及抗体检测试剂盒（胶体硒法）</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color w:val="auto"/>
                <w:highlight w:val="none"/>
                <w:lang w:eastAsia="zh-CN"/>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100人份/袋</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2660</w:t>
            </w:r>
          </w:p>
        </w:tc>
      </w:tr>
    </w:tbl>
    <w:p>
      <w:pPr>
        <w:pStyle w:val="2"/>
        <w:numPr>
          <w:ilvl w:val="0"/>
          <w:numId w:val="4"/>
        </w:numPr>
        <w:tabs>
          <w:tab w:val="left" w:pos="540"/>
        </w:tabs>
        <w:adjustRightInd w:val="0"/>
        <w:snapToGrid w:val="0"/>
        <w:spacing w:line="360" w:lineRule="auto"/>
        <w:rPr>
          <w:rFonts w:hAnsi="宋体"/>
          <w:b/>
          <w:color w:val="auto"/>
          <w:highlight w:val="none"/>
        </w:rPr>
      </w:pPr>
      <w:r>
        <w:rPr>
          <w:rFonts w:hint="eastAsia" w:hAnsi="宋体"/>
          <w:b/>
          <w:color w:val="auto"/>
          <w:highlight w:val="none"/>
        </w:rPr>
        <w:t>技术要求：</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lang w:eastAsia="zh-CN"/>
        </w:rPr>
        <w:t>★投标人为生产企业：如所投产品为</w:t>
      </w:r>
      <w:r>
        <w:rPr>
          <w:rFonts w:hint="eastAsia" w:ascii="宋体" w:hAnsi="宋体" w:eastAsia="宋体" w:cs="宋体"/>
          <w:b/>
          <w:bCs/>
          <w:color w:val="auto"/>
          <w:szCs w:val="21"/>
          <w:highlight w:val="none"/>
          <w:lang w:eastAsia="zh-CN"/>
        </w:rPr>
        <w:t>第一类医疗器械，提供监督管理部门签发的有效的备案证明复印件，或承诺供货时提供监督管理部门签发的有效的备案证明复印件（提供承诺书，不提供视为不响应）。</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lang w:eastAsia="zh-CN"/>
        </w:rPr>
        <w:t>★投标人为经营企业：如所投产品属于第一类医疗器械，则在投标时提供有效的医疗器械备案证明复印件，或承诺供货时提供有效的医疗器械备案证明复印件（提供承诺书，不提供视为不响应）。</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lang w:eastAsia="zh-CN"/>
        </w:rPr>
        <w:t>★投标人为经营企业：如所投产品为第二类医疗器械，投标时具有监督管理部门签发的有效的《医疗器械经营备案凭证》复印件，或承诺供货时提供监督管理部门签发的有效的《医疗器械经营备案凭证》复印件（提供承诺书，不提供视为不响应）。</w:t>
      </w:r>
    </w:p>
    <w:p>
      <w:pPr>
        <w:pStyle w:val="2"/>
        <w:tabs>
          <w:tab w:val="left" w:pos="420"/>
          <w:tab w:val="left" w:pos="540"/>
        </w:tabs>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eastAsia="zh-CN"/>
        </w:rPr>
        <w:t>★如所投产品属于第二类或第三类医疗器</w:t>
      </w:r>
      <w:r>
        <w:rPr>
          <w:rFonts w:hint="eastAsia" w:ascii="宋体" w:hAnsi="宋体" w:eastAsia="宋体" w:cs="宋体"/>
          <w:b/>
          <w:bCs/>
          <w:color w:val="auto"/>
          <w:szCs w:val="21"/>
          <w:highlight w:val="none"/>
          <w:lang w:eastAsia="zh-CN"/>
        </w:rPr>
        <w:t>械，则在投标时必须提供有效的医疗器械注册证明复印件。</w:t>
      </w:r>
    </w:p>
    <w:p>
      <w:pPr>
        <w:pStyle w:val="2"/>
        <w:tabs>
          <w:tab w:val="left" w:pos="420"/>
          <w:tab w:val="left" w:pos="540"/>
        </w:tabs>
        <w:spacing w:line="360" w:lineRule="auto"/>
        <w:ind w:firstLine="422" w:firstLineChars="200"/>
        <w:rPr>
          <w:rFonts w:hint="eastAsia" w:hAnsi="宋体" w:cs="宋体"/>
          <w:b/>
          <w:bCs/>
          <w:color w:val="auto"/>
          <w:highlight w:val="none"/>
        </w:rPr>
      </w:pPr>
      <w:r>
        <w:rPr>
          <w:rFonts w:hint="eastAsia" w:ascii="宋体" w:hAnsi="宋体" w:eastAsia="宋体" w:cs="宋体"/>
          <w:b/>
          <w:bCs/>
          <w:color w:val="auto"/>
          <w:szCs w:val="21"/>
          <w:highlight w:val="none"/>
          <w:lang w:eastAsia="zh-CN"/>
        </w:rPr>
        <w:t>以上</w:t>
      </w:r>
      <w:r>
        <w:rPr>
          <w:rFonts w:hint="eastAsia" w:ascii="宋体" w:hAnsi="宋体" w:eastAsia="宋体" w:cs="宋体"/>
          <w:b/>
          <w:bCs/>
          <w:color w:val="auto"/>
          <w:szCs w:val="21"/>
          <w:highlight w:val="none"/>
          <w:lang w:val="en-US" w:eastAsia="zh-CN"/>
        </w:rPr>
        <w:t>1-4点：</w:t>
      </w:r>
      <w:r>
        <w:rPr>
          <w:rFonts w:hint="eastAsia" w:ascii="宋体" w:hAnsi="宋体" w:eastAsia="宋体" w:cs="宋体"/>
          <w:b/>
          <w:bCs/>
          <w:color w:val="auto"/>
          <w:szCs w:val="21"/>
          <w:highlight w:val="none"/>
          <w:lang w:eastAsia="zh-CN"/>
        </w:rPr>
        <w:t>①提供在有效期内的证书复印件，如证书上未体现有效期的，需同时提供发证机构官方网站显示的有效期的截图作为证明材料；②如国家另有规定，则适用其规定，投标人提供相关证明材料，如有效的资质证书及相关政府部门的规定。</w:t>
      </w:r>
    </w:p>
    <w:p>
      <w:pPr>
        <w:pStyle w:val="2"/>
        <w:tabs>
          <w:tab w:val="left" w:pos="420"/>
          <w:tab w:val="left" w:pos="540"/>
        </w:tabs>
        <w:spacing w:line="360" w:lineRule="auto"/>
        <w:ind w:firstLine="422" w:firstLineChars="200"/>
        <w:rPr>
          <w:rFonts w:hint="eastAsia" w:hAnsi="宋体" w:cs="宋体"/>
          <w:b/>
          <w:bCs/>
          <w:color w:val="auto"/>
          <w:highlight w:val="none"/>
        </w:rPr>
      </w:pPr>
      <w:r>
        <w:rPr>
          <w:rFonts w:hint="eastAsia" w:hAnsi="宋体" w:cs="宋体"/>
          <w:b/>
          <w:bCs/>
          <w:color w:val="auto"/>
          <w:highlight w:val="none"/>
          <w:lang w:val="en-US" w:eastAsia="zh-CN"/>
        </w:rPr>
        <w:t>5、</w:t>
      </w:r>
      <w:r>
        <w:rPr>
          <w:rFonts w:hint="eastAsia" w:hAnsi="宋体" w:cs="宋体"/>
          <w:b/>
          <w:bCs/>
          <w:color w:val="auto"/>
          <w:highlight w:val="none"/>
        </w:rPr>
        <w:t>★中标</w:t>
      </w:r>
      <w:r>
        <w:rPr>
          <w:rFonts w:hint="eastAsia" w:hAnsi="宋体" w:cs="宋体"/>
          <w:b/>
          <w:bCs/>
          <w:color w:val="auto"/>
          <w:highlight w:val="none"/>
          <w:lang w:eastAsia="zh-CN"/>
        </w:rPr>
        <w:t>人</w:t>
      </w:r>
      <w:r>
        <w:rPr>
          <w:rFonts w:hint="eastAsia" w:hAnsi="宋体" w:cs="宋体"/>
          <w:b/>
          <w:bCs/>
          <w:color w:val="auto"/>
          <w:highlight w:val="none"/>
        </w:rPr>
        <w:t>必须保证送货上门，送至指定地点，当面验收，采购</w:t>
      </w:r>
      <w:r>
        <w:rPr>
          <w:rFonts w:hint="eastAsia" w:hAnsi="宋体" w:cs="宋体"/>
          <w:b/>
          <w:bCs/>
          <w:color w:val="auto"/>
          <w:highlight w:val="none"/>
          <w:lang w:eastAsia="zh-CN"/>
        </w:rPr>
        <w:t>人</w:t>
      </w:r>
      <w:r>
        <w:rPr>
          <w:rFonts w:hint="eastAsia" w:hAnsi="宋体" w:cs="宋体"/>
          <w:b/>
          <w:bCs/>
          <w:color w:val="auto"/>
          <w:highlight w:val="none"/>
        </w:rPr>
        <w:t>不接受快递方式送货。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hAnsi="宋体" w:cs="宋体"/>
          <w:b/>
          <w:bCs/>
          <w:color w:val="auto"/>
          <w:highlight w:val="none"/>
          <w:lang w:val="en-US" w:eastAsia="zh-CN"/>
        </w:rPr>
        <w:t>6、</w:t>
      </w:r>
      <w:r>
        <w:rPr>
          <w:rFonts w:hint="eastAsia" w:hAnsi="宋体" w:cs="宋体"/>
          <w:b/>
          <w:bCs/>
          <w:color w:val="auto"/>
          <w:highlight w:val="none"/>
        </w:rPr>
        <w:t>★</w:t>
      </w:r>
      <w:r>
        <w:rPr>
          <w:rFonts w:hint="eastAsia" w:hAnsi="宋体" w:cs="宋体"/>
          <w:b/>
          <w:bCs/>
          <w:color w:val="auto"/>
          <w:highlight w:val="none"/>
          <w:lang w:eastAsia="zh-CN"/>
        </w:rPr>
        <w:t>投标人必须承诺</w:t>
      </w:r>
      <w:r>
        <w:rPr>
          <w:rFonts w:hint="eastAsia" w:hAnsi="宋体" w:cs="宋体"/>
          <w:b/>
          <w:bCs/>
          <w:color w:val="auto"/>
          <w:highlight w:val="none"/>
          <w:u w:val="double"/>
          <w:lang w:eastAsia="zh-CN"/>
        </w:rPr>
        <w:t>（投标时提供承诺函，格式自拟，不提供则</w:t>
      </w:r>
      <w:r>
        <w:rPr>
          <w:rFonts w:hint="eastAsia" w:ascii="宋体" w:hAnsi="宋体"/>
          <w:b/>
          <w:bCs/>
          <w:color w:val="auto"/>
          <w:szCs w:val="21"/>
          <w:highlight w:val="none"/>
          <w:u w:val="double"/>
        </w:rPr>
        <w:t>无效投标</w:t>
      </w:r>
      <w:r>
        <w:rPr>
          <w:rFonts w:hint="eastAsia" w:hAnsi="宋体" w:cs="宋体"/>
          <w:b/>
          <w:bCs/>
          <w:color w:val="auto"/>
          <w:highlight w:val="none"/>
          <w:u w:val="double"/>
          <w:lang w:eastAsia="zh-CN"/>
        </w:rPr>
        <w:t>）</w:t>
      </w:r>
      <w:r>
        <w:rPr>
          <w:rFonts w:hint="eastAsia" w:hAnsi="宋体" w:cs="宋体"/>
          <w:b/>
          <w:bCs/>
          <w:color w:val="auto"/>
          <w:highlight w:val="none"/>
        </w:rPr>
        <w:t>：本次投标的试剂耗材价格不高于深圳医用耗材阳光交易和监管平台指导价或供应深圳市其他医疗卫生机构（公卫）同种产品的价格。</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cstheme="minorEastAsia"/>
          <w:b w:val="0"/>
          <w:bCs/>
          <w:color w:val="auto"/>
          <w:highlight w:val="none"/>
          <w:lang w:val="en-US" w:eastAsia="zh-CN"/>
        </w:rPr>
        <w:t>7、</w:t>
      </w:r>
      <w:r>
        <w:rPr>
          <w:rFonts w:hint="eastAsia" w:asciiTheme="minorEastAsia" w:hAnsiTheme="minorEastAsia" w:eastAsiaTheme="minorEastAsia" w:cstheme="minorEastAsia"/>
          <w:b w:val="0"/>
          <w:bCs/>
          <w:color w:val="auto"/>
          <w:highlight w:val="none"/>
        </w:rPr>
        <w:t>方法原理：免疫层析（胶体硒法）</w:t>
      </w:r>
      <w:r>
        <w:rPr>
          <w:rFonts w:hint="eastAsia" w:asciiTheme="minorEastAsia" w:hAnsiTheme="minorEastAsia" w:cstheme="minorEastAsia"/>
          <w:b w:val="0"/>
          <w:bCs/>
          <w:color w:val="auto"/>
          <w:highlight w:val="none"/>
          <w:lang w:eastAsia="zh-CN"/>
        </w:rPr>
        <w:t>。</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cstheme="minorEastAsia"/>
          <w:b w:val="0"/>
          <w:bCs/>
          <w:color w:val="auto"/>
          <w:highlight w:val="none"/>
          <w:lang w:val="en-US" w:eastAsia="zh-CN"/>
        </w:rPr>
        <w:t>8、</w:t>
      </w:r>
      <w:r>
        <w:rPr>
          <w:rFonts w:hint="eastAsia" w:asciiTheme="minorEastAsia" w:hAnsiTheme="minorEastAsia" w:eastAsiaTheme="minorEastAsia" w:cstheme="minorEastAsia"/>
          <w:b w:val="0"/>
          <w:bCs/>
          <w:color w:val="auto"/>
          <w:highlight w:val="none"/>
        </w:rPr>
        <w:t>储存温度：2－30℃</w:t>
      </w:r>
      <w:r>
        <w:rPr>
          <w:rFonts w:hint="eastAsia" w:asciiTheme="minorEastAsia" w:hAnsiTheme="minorEastAsia" w:cstheme="minorEastAsia"/>
          <w:b w:val="0"/>
          <w:bCs/>
          <w:color w:val="auto"/>
          <w:highlight w:val="none"/>
          <w:lang w:eastAsia="zh-CN"/>
        </w:rPr>
        <w:t>。</w:t>
      </w:r>
      <w:r>
        <w:rPr>
          <w:rFonts w:hint="eastAsia" w:asciiTheme="minorEastAsia" w:hAnsiTheme="minorEastAsia" w:cstheme="minorEastAsia"/>
          <w:b/>
          <w:bCs w:val="0"/>
          <w:color w:val="auto"/>
          <w:highlight w:val="none"/>
          <w:u w:val="double"/>
          <w:lang w:eastAsia="zh-CN"/>
        </w:rPr>
        <w:t>产品参数区间与招标要求不一致的均视为负偏离。</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cstheme="minorEastAsia"/>
          <w:b w:val="0"/>
          <w:bCs/>
          <w:color w:val="auto"/>
          <w:highlight w:val="none"/>
          <w:lang w:val="en-US" w:eastAsia="zh-CN"/>
        </w:rPr>
        <w:t>9、</w:t>
      </w:r>
      <w:r>
        <w:rPr>
          <w:rFonts w:hint="eastAsia" w:asciiTheme="minorEastAsia" w:hAnsiTheme="minorEastAsia" w:eastAsiaTheme="minorEastAsia" w:cstheme="minorEastAsia"/>
          <w:b w:val="0"/>
          <w:bCs/>
          <w:color w:val="auto"/>
          <w:highlight w:val="none"/>
        </w:rPr>
        <w:t>包装方式：每条测试条均有独立包装，采用薄膜叠加层压技术，密封性好</w:t>
      </w:r>
      <w:r>
        <w:rPr>
          <w:rFonts w:hint="eastAsia" w:asciiTheme="minorEastAsia" w:hAnsiTheme="minorEastAsia" w:cstheme="minorEastAsia"/>
          <w:b w:val="0"/>
          <w:bCs/>
          <w:color w:val="auto"/>
          <w:highlight w:val="none"/>
          <w:lang w:eastAsia="zh-CN"/>
        </w:rPr>
        <w:t>。</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highlight w:val="none"/>
        </w:rPr>
      </w:pPr>
      <w:r>
        <w:rPr>
          <w:rFonts w:hint="eastAsia" w:asciiTheme="minorEastAsia" w:hAnsiTheme="minorEastAsia" w:cstheme="minorEastAsia"/>
          <w:b w:val="0"/>
          <w:bCs/>
          <w:color w:val="auto"/>
          <w:highlight w:val="none"/>
          <w:lang w:val="en-US" w:eastAsia="zh-CN"/>
        </w:rPr>
        <w:t>10、</w:t>
      </w:r>
      <w:r>
        <w:rPr>
          <w:rFonts w:hint="eastAsia" w:asciiTheme="minorEastAsia" w:hAnsiTheme="minorEastAsia" w:eastAsiaTheme="minorEastAsia" w:cstheme="minorEastAsia"/>
          <w:b w:val="0"/>
          <w:bCs/>
          <w:color w:val="auto"/>
          <w:highlight w:val="none"/>
        </w:rPr>
        <w:t>检测内容：</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cstheme="minorEastAsia"/>
          <w:b w:val="0"/>
          <w:bCs/>
          <w:color w:val="auto"/>
          <w:highlight w:val="none"/>
          <w:lang w:eastAsia="zh-CN"/>
        </w:rPr>
        <w:t>（</w:t>
      </w:r>
      <w:r>
        <w:rPr>
          <w:rFonts w:hint="eastAsia" w:asciiTheme="minorEastAsia" w:hAnsiTheme="minorEastAsia" w:cstheme="minorEastAsia"/>
          <w:b w:val="0"/>
          <w:bCs/>
          <w:color w:val="auto"/>
          <w:highlight w:val="none"/>
          <w:lang w:val="en-US" w:eastAsia="zh-CN"/>
        </w:rPr>
        <w:t>1</w:t>
      </w:r>
      <w:r>
        <w:rPr>
          <w:rFonts w:hint="eastAsia" w:asciiTheme="minorEastAsia" w:hAnsiTheme="minorEastAsia" w:cstheme="minorEastAsia"/>
          <w:b w:val="0"/>
          <w:bCs/>
          <w:color w:val="auto"/>
          <w:highlight w:val="none"/>
          <w:lang w:eastAsia="zh-CN"/>
        </w:rPr>
        <w:t>）</w:t>
      </w:r>
      <w:r>
        <w:rPr>
          <w:rFonts w:hint="eastAsia" w:asciiTheme="minorEastAsia" w:hAnsiTheme="minorEastAsia" w:eastAsiaTheme="minorEastAsia" w:cstheme="minorEastAsia"/>
          <w:b w:val="0"/>
          <w:bCs/>
          <w:color w:val="auto"/>
          <w:highlight w:val="none"/>
        </w:rPr>
        <w:t>抗体：可检测HIV-1型、HIV-2型抗体及O亚型抗体</w:t>
      </w:r>
      <w:r>
        <w:rPr>
          <w:rFonts w:hint="eastAsia" w:asciiTheme="minorEastAsia" w:hAnsiTheme="minorEastAsia" w:cstheme="minorEastAsia"/>
          <w:b w:val="0"/>
          <w:bCs/>
          <w:color w:val="auto"/>
          <w:highlight w:val="none"/>
          <w:lang w:eastAsia="zh-CN"/>
        </w:rPr>
        <w:t>。</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highlight w:val="none"/>
        </w:rPr>
      </w:pPr>
      <w:r>
        <w:rPr>
          <w:rFonts w:hint="eastAsia" w:asciiTheme="minorEastAsia" w:hAnsiTheme="minorEastAsia" w:cstheme="minorEastAsia"/>
          <w:b w:val="0"/>
          <w:bCs/>
          <w:color w:val="auto"/>
          <w:highlight w:val="none"/>
          <w:lang w:eastAsia="zh-CN"/>
        </w:rPr>
        <w:t>（</w:t>
      </w:r>
      <w:r>
        <w:rPr>
          <w:rFonts w:hint="eastAsia" w:asciiTheme="minorEastAsia" w:hAnsiTheme="minorEastAsia" w:cstheme="minorEastAsia"/>
          <w:b w:val="0"/>
          <w:bCs/>
          <w:color w:val="auto"/>
          <w:highlight w:val="none"/>
          <w:lang w:val="en-US" w:eastAsia="zh-CN"/>
        </w:rPr>
        <w:t>2</w:t>
      </w:r>
      <w:r>
        <w:rPr>
          <w:rFonts w:hint="eastAsia" w:asciiTheme="minorEastAsia" w:hAnsiTheme="minorEastAsia" w:cstheme="minorEastAsia"/>
          <w:b w:val="0"/>
          <w:bCs/>
          <w:color w:val="auto"/>
          <w:highlight w:val="none"/>
          <w:lang w:eastAsia="zh-CN"/>
        </w:rPr>
        <w:t>）</w:t>
      </w:r>
      <w:r>
        <w:rPr>
          <w:rFonts w:hint="eastAsia" w:asciiTheme="minorEastAsia" w:hAnsiTheme="minorEastAsia" w:eastAsiaTheme="minorEastAsia" w:cstheme="minorEastAsia"/>
          <w:b w:val="0"/>
          <w:bCs/>
          <w:color w:val="auto"/>
          <w:highlight w:val="none"/>
        </w:rPr>
        <w:t>抗原：可检测HIV-1p24抗原。</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cstheme="minorEastAsia"/>
          <w:b w:val="0"/>
          <w:bCs/>
          <w:color w:val="auto"/>
          <w:highlight w:val="none"/>
          <w:lang w:val="en-US" w:eastAsia="zh-CN"/>
        </w:rPr>
        <w:t>11、</w:t>
      </w:r>
      <w:r>
        <w:rPr>
          <w:rFonts w:hint="eastAsia" w:asciiTheme="minorEastAsia" w:hAnsiTheme="minorEastAsia" w:eastAsiaTheme="minorEastAsia" w:cstheme="minorEastAsia"/>
          <w:b w:val="0"/>
          <w:bCs/>
          <w:color w:val="auto"/>
          <w:highlight w:val="none"/>
        </w:rPr>
        <w:t>样品用量：</w:t>
      </w:r>
      <w:r>
        <w:rPr>
          <w:rFonts w:hint="eastAsia"/>
          <w:color w:val="auto"/>
          <w:highlight w:val="none"/>
          <w:lang w:eastAsia="zh-CN"/>
        </w:rPr>
        <w:t>≤</w:t>
      </w:r>
      <w:r>
        <w:rPr>
          <w:rFonts w:hint="eastAsia" w:asciiTheme="minorEastAsia" w:hAnsiTheme="minorEastAsia" w:eastAsiaTheme="minorEastAsia" w:cstheme="minorEastAsia"/>
          <w:b w:val="0"/>
          <w:bCs/>
          <w:color w:val="auto"/>
          <w:highlight w:val="none"/>
        </w:rPr>
        <w:t>50微升</w:t>
      </w:r>
      <w:r>
        <w:rPr>
          <w:rFonts w:hint="eastAsia" w:asciiTheme="minorEastAsia" w:hAnsiTheme="minorEastAsia" w:cstheme="minorEastAsia"/>
          <w:b w:val="0"/>
          <w:bCs/>
          <w:color w:val="auto"/>
          <w:highlight w:val="none"/>
          <w:lang w:eastAsia="zh-CN"/>
        </w:rPr>
        <w:t>。</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cstheme="minorEastAsia"/>
          <w:b w:val="0"/>
          <w:bCs/>
          <w:color w:val="auto"/>
          <w:highlight w:val="none"/>
          <w:lang w:val="en-US" w:eastAsia="zh-CN"/>
        </w:rPr>
        <w:t>12、</w:t>
      </w:r>
      <w:r>
        <w:rPr>
          <w:rFonts w:hint="eastAsia" w:asciiTheme="minorEastAsia" w:hAnsiTheme="minorEastAsia" w:eastAsiaTheme="minorEastAsia" w:cstheme="minorEastAsia"/>
          <w:b w:val="0"/>
          <w:bCs/>
          <w:color w:val="auto"/>
          <w:highlight w:val="none"/>
        </w:rPr>
        <w:t>出结果时间：</w:t>
      </w:r>
      <w:r>
        <w:rPr>
          <w:rFonts w:hint="eastAsia"/>
          <w:color w:val="auto"/>
          <w:highlight w:val="none"/>
          <w:lang w:eastAsia="zh-CN"/>
        </w:rPr>
        <w:t>≤</w:t>
      </w:r>
      <w:r>
        <w:rPr>
          <w:rFonts w:hint="eastAsia" w:asciiTheme="minorEastAsia" w:hAnsiTheme="minorEastAsia" w:eastAsiaTheme="minorEastAsia" w:cstheme="minorEastAsia"/>
          <w:b w:val="0"/>
          <w:bCs/>
          <w:color w:val="auto"/>
          <w:highlight w:val="none"/>
        </w:rPr>
        <w:t>20分钟</w:t>
      </w:r>
      <w:r>
        <w:rPr>
          <w:rFonts w:hint="eastAsia" w:asciiTheme="minorEastAsia" w:hAnsiTheme="minorEastAsia" w:cstheme="minorEastAsia"/>
          <w:b w:val="0"/>
          <w:bCs/>
          <w:color w:val="auto"/>
          <w:highlight w:val="none"/>
          <w:lang w:eastAsia="zh-CN"/>
        </w:rPr>
        <w:t>。</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cstheme="minorEastAsia"/>
          <w:b w:val="0"/>
          <w:bCs/>
          <w:color w:val="auto"/>
          <w:highlight w:val="none"/>
          <w:lang w:val="en-US" w:eastAsia="zh-CN"/>
        </w:rPr>
        <w:t>13、</w:t>
      </w:r>
      <w:r>
        <w:rPr>
          <w:rFonts w:hint="eastAsia" w:asciiTheme="minorEastAsia" w:hAnsiTheme="minorEastAsia" w:eastAsiaTheme="minorEastAsia" w:cstheme="minorEastAsia"/>
          <w:b w:val="0"/>
          <w:bCs/>
          <w:color w:val="auto"/>
          <w:highlight w:val="none"/>
        </w:rPr>
        <w:t>阳性结果稳定时间：≥20－40分钟</w:t>
      </w:r>
      <w:r>
        <w:rPr>
          <w:rFonts w:hint="eastAsia" w:asciiTheme="minorEastAsia" w:hAnsiTheme="minorEastAsia" w:cstheme="minorEastAsia"/>
          <w:b w:val="0"/>
          <w:bCs/>
          <w:color w:val="auto"/>
          <w:highlight w:val="none"/>
          <w:lang w:eastAsia="zh-CN"/>
        </w:rPr>
        <w:t>。</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cstheme="minorEastAsia"/>
          <w:b w:val="0"/>
          <w:bCs/>
          <w:color w:val="auto"/>
          <w:highlight w:val="none"/>
          <w:lang w:val="en-US" w:eastAsia="zh-CN"/>
        </w:rPr>
        <w:t>14、</w:t>
      </w:r>
      <w:r>
        <w:rPr>
          <w:rFonts w:hint="eastAsia" w:asciiTheme="minorEastAsia" w:hAnsiTheme="minorEastAsia" w:eastAsiaTheme="minorEastAsia" w:cstheme="minorEastAsia"/>
          <w:b w:val="0"/>
          <w:bCs/>
          <w:color w:val="auto"/>
          <w:highlight w:val="none"/>
        </w:rPr>
        <w:t>产品效期：</w:t>
      </w:r>
      <w:r>
        <w:rPr>
          <w:rFonts w:hint="eastAsia"/>
          <w:color w:val="auto"/>
          <w:highlight w:val="none"/>
          <w:lang w:eastAsia="zh-CN"/>
        </w:rPr>
        <w:t>≥</w:t>
      </w:r>
      <w:r>
        <w:rPr>
          <w:rFonts w:hint="eastAsia" w:asciiTheme="minorEastAsia" w:hAnsiTheme="minorEastAsia" w:eastAsiaTheme="minorEastAsia" w:cstheme="minorEastAsia"/>
          <w:b w:val="0"/>
          <w:bCs/>
          <w:color w:val="auto"/>
          <w:highlight w:val="none"/>
        </w:rPr>
        <w:t>18个月</w:t>
      </w:r>
      <w:r>
        <w:rPr>
          <w:rFonts w:hint="eastAsia" w:asciiTheme="minorEastAsia" w:hAnsiTheme="minorEastAsia" w:cstheme="minorEastAsia"/>
          <w:b w:val="0"/>
          <w:bCs/>
          <w:color w:val="auto"/>
          <w:highlight w:val="none"/>
          <w:lang w:eastAsia="zh-CN"/>
        </w:rPr>
        <w:t>。</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highlight w:val="none"/>
        </w:rPr>
      </w:pPr>
      <w:r>
        <w:rPr>
          <w:rFonts w:hint="eastAsia" w:asciiTheme="minorEastAsia" w:hAnsiTheme="minorEastAsia" w:cstheme="minorEastAsia"/>
          <w:b w:val="0"/>
          <w:bCs/>
          <w:color w:val="auto"/>
          <w:highlight w:val="none"/>
          <w:lang w:val="en-US" w:eastAsia="zh-CN"/>
        </w:rPr>
        <w:t>15、</w:t>
      </w:r>
      <w:r>
        <w:rPr>
          <w:rFonts w:hint="eastAsia" w:asciiTheme="minorEastAsia" w:hAnsiTheme="minorEastAsia" w:eastAsiaTheme="minorEastAsia" w:cstheme="minorEastAsia"/>
          <w:b w:val="0"/>
          <w:bCs/>
          <w:color w:val="auto"/>
          <w:highlight w:val="none"/>
        </w:rPr>
        <w:t>敏感性: HIV抗体，100％；p24抗原，100%。</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highlight w:val="none"/>
        </w:rPr>
      </w:pPr>
      <w:r>
        <w:rPr>
          <w:rFonts w:hint="eastAsia" w:asciiTheme="minorEastAsia" w:hAnsiTheme="minorEastAsia" w:cstheme="minorEastAsia"/>
          <w:b w:val="0"/>
          <w:bCs/>
          <w:color w:val="auto"/>
          <w:highlight w:val="none"/>
          <w:lang w:val="en-US" w:eastAsia="zh-CN"/>
        </w:rPr>
        <w:t>16、</w:t>
      </w:r>
      <w:r>
        <w:rPr>
          <w:rFonts w:hint="eastAsia" w:asciiTheme="minorEastAsia" w:hAnsiTheme="minorEastAsia" w:eastAsiaTheme="minorEastAsia" w:cstheme="minorEastAsia"/>
          <w:b w:val="0"/>
          <w:bCs/>
          <w:color w:val="auto"/>
          <w:highlight w:val="none"/>
        </w:rPr>
        <w:t>特异性：HIV抗体，99.96%；p24抗原，99.76%。</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cstheme="minorEastAsia"/>
          <w:b w:val="0"/>
          <w:bCs/>
          <w:color w:val="auto"/>
          <w:highlight w:val="none"/>
          <w:lang w:val="en-US" w:eastAsia="zh-CN"/>
        </w:rPr>
        <w:t>17、</w:t>
      </w:r>
      <w:r>
        <w:rPr>
          <w:rFonts w:hint="eastAsia" w:asciiTheme="minorEastAsia" w:hAnsiTheme="minorEastAsia" w:eastAsiaTheme="minorEastAsia" w:cstheme="minorEastAsia"/>
          <w:b w:val="0"/>
          <w:bCs/>
          <w:color w:val="auto"/>
          <w:highlight w:val="none"/>
        </w:rPr>
        <w:t>测试标本类型：血清</w:t>
      </w:r>
      <w:r>
        <w:rPr>
          <w:rFonts w:hint="eastAsia" w:asciiTheme="minorEastAsia" w:hAnsiTheme="minorEastAsia" w:cstheme="minorEastAsia"/>
          <w:b w:val="0"/>
          <w:bCs/>
          <w:color w:val="auto"/>
          <w:highlight w:val="none"/>
          <w:lang w:eastAsia="zh-CN"/>
        </w:rPr>
        <w:t>或</w:t>
      </w:r>
      <w:r>
        <w:rPr>
          <w:rFonts w:hint="eastAsia" w:asciiTheme="minorEastAsia" w:hAnsiTheme="minorEastAsia" w:eastAsiaTheme="minorEastAsia" w:cstheme="minorEastAsia"/>
          <w:b w:val="0"/>
          <w:bCs/>
          <w:color w:val="auto"/>
          <w:highlight w:val="none"/>
        </w:rPr>
        <w:t>血浆</w:t>
      </w:r>
      <w:r>
        <w:rPr>
          <w:rFonts w:hint="eastAsia" w:asciiTheme="minorEastAsia" w:hAnsiTheme="minorEastAsia" w:cstheme="minorEastAsia"/>
          <w:b w:val="0"/>
          <w:bCs/>
          <w:color w:val="auto"/>
          <w:highlight w:val="none"/>
          <w:lang w:eastAsia="zh-CN"/>
        </w:rPr>
        <w:t>或</w:t>
      </w:r>
      <w:r>
        <w:rPr>
          <w:rFonts w:hint="eastAsia" w:asciiTheme="minorEastAsia" w:hAnsiTheme="minorEastAsia" w:eastAsiaTheme="minorEastAsia" w:cstheme="minorEastAsia"/>
          <w:b w:val="0"/>
          <w:bCs/>
          <w:color w:val="auto"/>
          <w:highlight w:val="none"/>
        </w:rPr>
        <w:t>全血</w:t>
      </w:r>
      <w:r>
        <w:rPr>
          <w:rFonts w:hint="eastAsia" w:asciiTheme="minorEastAsia" w:hAnsiTheme="minorEastAsia" w:cstheme="minorEastAsia"/>
          <w:b w:val="0"/>
          <w:bCs/>
          <w:color w:val="auto"/>
          <w:highlight w:val="none"/>
          <w:lang w:eastAsia="zh-CN"/>
        </w:rPr>
        <w:t>。</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highlight w:val="none"/>
        </w:rPr>
      </w:pPr>
      <w:r>
        <w:rPr>
          <w:rFonts w:hint="eastAsia" w:asciiTheme="minorEastAsia" w:hAnsiTheme="minorEastAsia" w:cstheme="minorEastAsia"/>
          <w:b w:val="0"/>
          <w:bCs/>
          <w:color w:val="auto"/>
          <w:highlight w:val="none"/>
          <w:lang w:val="en-US" w:eastAsia="zh-CN"/>
        </w:rPr>
        <w:t>18、</w:t>
      </w:r>
      <w:r>
        <w:rPr>
          <w:rFonts w:hint="eastAsia" w:asciiTheme="minorEastAsia" w:hAnsiTheme="minorEastAsia" w:eastAsiaTheme="minorEastAsia" w:cstheme="minorEastAsia"/>
          <w:b w:val="0"/>
          <w:bCs/>
          <w:color w:val="auto"/>
          <w:highlight w:val="none"/>
        </w:rPr>
        <w:t>试剂规格:100人份/</w:t>
      </w:r>
      <w:r>
        <w:rPr>
          <w:rFonts w:hint="eastAsia" w:asciiTheme="minorEastAsia" w:hAnsiTheme="minorEastAsia" w:cstheme="minorEastAsia"/>
          <w:b w:val="0"/>
          <w:bCs/>
          <w:color w:val="auto"/>
          <w:highlight w:val="none"/>
          <w:lang w:eastAsia="zh-CN"/>
        </w:rPr>
        <w:t>袋</w:t>
      </w:r>
      <w:r>
        <w:rPr>
          <w:rFonts w:hint="eastAsia" w:asciiTheme="minorEastAsia" w:hAnsiTheme="minorEastAsia" w:eastAsiaTheme="minorEastAsia" w:cstheme="minorEastAsia"/>
          <w:b w:val="0"/>
          <w:bCs/>
          <w:color w:val="auto"/>
          <w:highlight w:val="none"/>
        </w:rPr>
        <w:t>（10人份/卡）</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cstheme="minorEastAsia"/>
          <w:b w:val="0"/>
          <w:bCs/>
          <w:color w:val="auto"/>
          <w:highlight w:val="none"/>
          <w:lang w:eastAsia="zh-CN"/>
        </w:rPr>
      </w:pPr>
      <w:r>
        <w:rPr>
          <w:rFonts w:hint="eastAsia" w:asciiTheme="minorEastAsia" w:hAnsiTheme="minorEastAsia" w:cstheme="minorEastAsia"/>
          <w:b w:val="0"/>
          <w:bCs/>
          <w:color w:val="auto"/>
          <w:highlight w:val="none"/>
          <w:lang w:val="en-US" w:eastAsia="zh-CN"/>
        </w:rPr>
        <w:t>19、</w:t>
      </w:r>
      <w:r>
        <w:rPr>
          <w:rFonts w:hint="eastAsia" w:asciiTheme="minorEastAsia" w:hAnsiTheme="minorEastAsia" w:eastAsiaTheme="minorEastAsia" w:cstheme="minorEastAsia"/>
          <w:b w:val="0"/>
          <w:bCs/>
          <w:color w:val="auto"/>
          <w:highlight w:val="none"/>
        </w:rPr>
        <w:t>试剂条宽度：≥3mm</w:t>
      </w:r>
      <w:r>
        <w:rPr>
          <w:rFonts w:hint="eastAsia" w:asciiTheme="minorEastAsia" w:hAnsiTheme="minorEastAsia" w:cstheme="minorEastAsia"/>
          <w:b w:val="0"/>
          <w:bCs/>
          <w:color w:val="auto"/>
          <w:highlight w:val="none"/>
          <w:lang w:eastAsia="zh-CN"/>
        </w:rPr>
        <w:t>。</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cstheme="minorEastAsia"/>
          <w:b/>
          <w:bCs/>
          <w:color w:val="auto"/>
          <w:highlight w:val="none"/>
          <w:lang w:eastAsia="zh-CN"/>
        </w:rPr>
      </w:pPr>
      <w:r>
        <w:rPr>
          <w:rFonts w:hint="eastAsia" w:hAnsi="宋体" w:eastAsia="宋体" w:cs="宋体"/>
          <w:b/>
          <w:bCs/>
          <w:color w:val="auto"/>
          <w:szCs w:val="21"/>
          <w:highlight w:val="none"/>
          <w:u w:val="double"/>
          <w:lang w:val="en-US" w:eastAsia="zh-CN"/>
        </w:rPr>
        <w:t>20、</w:t>
      </w:r>
      <w:r>
        <w:rPr>
          <w:rFonts w:hint="eastAsia" w:ascii="宋体" w:hAnsi="宋体" w:eastAsia="宋体" w:cs="宋体"/>
          <w:b/>
          <w:bCs/>
          <w:color w:val="auto"/>
          <w:szCs w:val="21"/>
          <w:highlight w:val="none"/>
          <w:u w:val="double"/>
          <w:lang w:eastAsia="zh-CN"/>
        </w:rPr>
        <w:t>★</w:t>
      </w:r>
      <w:r>
        <w:rPr>
          <w:rFonts w:hint="eastAsia" w:asciiTheme="minorEastAsia" w:hAnsiTheme="minorEastAsia" w:eastAsiaTheme="minorEastAsia" w:cstheme="minorEastAsia"/>
          <w:b/>
          <w:bCs/>
          <w:color w:val="auto"/>
          <w:sz w:val="21"/>
          <w:szCs w:val="21"/>
          <w:highlight w:val="none"/>
          <w:u w:val="double"/>
        </w:rPr>
        <w:t>投标人须获得</w:t>
      </w:r>
      <w:r>
        <w:rPr>
          <w:rFonts w:hint="eastAsia" w:asciiTheme="minorEastAsia" w:hAnsiTheme="minorEastAsia" w:cstheme="minorEastAsia"/>
          <w:b/>
          <w:bCs/>
          <w:color w:val="auto"/>
          <w:sz w:val="21"/>
          <w:szCs w:val="21"/>
          <w:highlight w:val="none"/>
          <w:u w:val="double"/>
          <w:lang w:eastAsia="zh-CN"/>
        </w:rPr>
        <w:t>所投标产品</w:t>
      </w:r>
      <w:r>
        <w:rPr>
          <w:rFonts w:hint="eastAsia" w:asciiTheme="minorEastAsia" w:hAnsiTheme="minorEastAsia" w:eastAsiaTheme="minorEastAsia" w:cstheme="minorEastAsia"/>
          <w:b/>
          <w:bCs/>
          <w:color w:val="auto"/>
          <w:sz w:val="21"/>
          <w:szCs w:val="21"/>
          <w:highlight w:val="none"/>
          <w:u w:val="double"/>
        </w:rPr>
        <w:t>生产厂家或者国内代理商出具的有效的产品授权书</w:t>
      </w:r>
      <w:r>
        <w:rPr>
          <w:rFonts w:hint="eastAsia"/>
          <w:b/>
          <w:bCs/>
          <w:color w:val="auto"/>
          <w:highlight w:val="none"/>
          <w:u w:val="double"/>
          <w:lang w:eastAsia="zh-CN"/>
        </w:rPr>
        <w:t>（提供授权书复印件加盖投标人公章）</w:t>
      </w:r>
      <w:r>
        <w:rPr>
          <w:rFonts w:hint="eastAsia" w:asciiTheme="minorEastAsia" w:hAnsiTheme="minorEastAsia" w:eastAsiaTheme="minorEastAsia" w:cstheme="minorEastAsia"/>
          <w:b/>
          <w:bCs/>
          <w:color w:val="auto"/>
          <w:sz w:val="21"/>
          <w:szCs w:val="21"/>
          <w:highlight w:val="none"/>
          <w:u w:val="double"/>
        </w:rPr>
        <w:t>。</w:t>
      </w:r>
    </w:p>
    <w:p>
      <w:pPr>
        <w:pStyle w:val="2"/>
        <w:numPr>
          <w:ilvl w:val="0"/>
          <w:numId w:val="4"/>
        </w:numPr>
        <w:tabs>
          <w:tab w:val="left" w:pos="540"/>
        </w:tabs>
        <w:adjustRightInd w:val="0"/>
        <w:snapToGrid w:val="0"/>
        <w:spacing w:line="360" w:lineRule="auto"/>
        <w:rPr>
          <w:rFonts w:hAnsi="宋体"/>
          <w:b/>
          <w:color w:val="auto"/>
          <w:highlight w:val="none"/>
        </w:rPr>
      </w:pPr>
      <w:r>
        <w:rPr>
          <w:rFonts w:hint="eastAsia" w:hAnsi="宋体"/>
          <w:b/>
          <w:color w:val="auto"/>
          <w:highlight w:val="none"/>
        </w:rPr>
        <w:t>商务要求：</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both"/>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lang w:eastAsia="zh-CN"/>
        </w:rPr>
        <w:t>（一）</w:t>
      </w:r>
      <w:r>
        <w:rPr>
          <w:rFonts w:hint="eastAsia" w:asciiTheme="minorEastAsia" w:hAnsiTheme="minorEastAsia" w:eastAsiaTheme="minorEastAsia" w:cstheme="minorEastAsia"/>
          <w:b/>
          <w:color w:val="auto"/>
          <w:szCs w:val="21"/>
          <w:highlight w:val="none"/>
        </w:rPr>
        <w:t>交货要求</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lang w:val="en-US" w:eastAsia="zh-CN"/>
        </w:rPr>
        <w:t>交货</w:t>
      </w:r>
      <w:r>
        <w:rPr>
          <w:rFonts w:hint="eastAsia" w:asciiTheme="minorEastAsia" w:hAnsiTheme="minorEastAsia" w:eastAsiaTheme="minorEastAsia" w:cstheme="minorEastAsia"/>
          <w:bCs/>
          <w:color w:val="auto"/>
          <w:szCs w:val="21"/>
          <w:highlight w:val="none"/>
        </w:rPr>
        <w:t>期：</w:t>
      </w:r>
      <w:r>
        <w:rPr>
          <w:rFonts w:hint="eastAsia" w:ascii="宋体" w:hAnsi="宋体" w:eastAsia="宋体" w:cs="宋体"/>
          <w:bCs/>
          <w:snapToGrid/>
          <w:color w:val="auto"/>
          <w:spacing w:val="0"/>
          <w:kern w:val="2"/>
          <w:sz w:val="21"/>
          <w:szCs w:val="21"/>
          <w:highlight w:val="none"/>
          <w:lang w:val="en-US" w:eastAsia="zh-CN" w:bidi="ar-SA"/>
        </w:rPr>
        <w:t>按采购人实际需求供货，供货最后期限不能超过</w:t>
      </w:r>
      <w:r>
        <w:rPr>
          <w:rFonts w:hint="default" w:ascii="宋体" w:hAnsi="宋体" w:eastAsia="宋体" w:cs="宋体"/>
          <w:bCs/>
          <w:snapToGrid/>
          <w:color w:val="auto"/>
          <w:spacing w:val="0"/>
          <w:kern w:val="2"/>
          <w:sz w:val="21"/>
          <w:szCs w:val="21"/>
          <w:highlight w:val="none"/>
          <w:lang w:val="en-US" w:eastAsia="zh-CN" w:bidi="ar-SA"/>
        </w:rPr>
        <w:t>2024年</w:t>
      </w:r>
      <w:r>
        <w:rPr>
          <w:rFonts w:hint="eastAsia" w:ascii="宋体" w:hAnsi="宋体" w:eastAsia="宋体" w:cs="宋体"/>
          <w:bCs/>
          <w:snapToGrid/>
          <w:color w:val="auto"/>
          <w:spacing w:val="0"/>
          <w:kern w:val="2"/>
          <w:sz w:val="21"/>
          <w:szCs w:val="21"/>
          <w:highlight w:val="none"/>
          <w:lang w:val="en-US" w:eastAsia="zh-CN" w:bidi="ar-SA"/>
        </w:rPr>
        <w:t>11月30日</w:t>
      </w:r>
      <w:r>
        <w:rPr>
          <w:rFonts w:hint="eastAsia" w:asciiTheme="minorEastAsia" w:hAnsiTheme="minorEastAsia" w:eastAsiaTheme="minorEastAsia" w:cstheme="minorEastAsia"/>
          <w:bCs/>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2、</w:t>
      </w:r>
      <w:r>
        <w:rPr>
          <w:rFonts w:hint="eastAsia" w:asciiTheme="minorEastAsia" w:hAnsiTheme="minorEastAsia" w:eastAsiaTheme="minorEastAsia" w:cstheme="minorEastAsia"/>
          <w:bCs/>
          <w:color w:val="auto"/>
          <w:szCs w:val="21"/>
          <w:highlight w:val="none"/>
        </w:rPr>
        <w:t>投标人须承担的设备运输、验收检测等其他类似的义务。</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both"/>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eastAsia="zh-CN"/>
        </w:rPr>
        <w:t>（二）</w:t>
      </w:r>
      <w:r>
        <w:rPr>
          <w:rFonts w:hint="eastAsia" w:asciiTheme="minorEastAsia" w:hAnsiTheme="minorEastAsia" w:eastAsiaTheme="minorEastAsia" w:cstheme="minorEastAsia"/>
          <w:b/>
          <w:color w:val="auto"/>
          <w:szCs w:val="21"/>
          <w:highlight w:val="none"/>
        </w:rPr>
        <w:t>售后服务的要求</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1、</w:t>
      </w:r>
      <w:r>
        <w:rPr>
          <w:rFonts w:hint="eastAsia" w:asciiTheme="minorEastAsia" w:hAnsiTheme="minorEastAsia" w:eastAsiaTheme="minorEastAsia" w:cstheme="minorEastAsia"/>
          <w:bCs/>
          <w:color w:val="auto"/>
          <w:szCs w:val="21"/>
          <w:highlight w:val="none"/>
        </w:rPr>
        <w:t>货物免费保修期</w:t>
      </w:r>
      <w:r>
        <w:rPr>
          <w:rFonts w:hint="eastAsia" w:asciiTheme="minorEastAsia" w:hAnsiTheme="minorEastAsia" w:eastAsiaTheme="minorEastAsia" w:cstheme="minorEastAsia"/>
          <w:bCs/>
          <w:color w:val="auto"/>
          <w:szCs w:val="21"/>
          <w:highlight w:val="none"/>
          <w:lang w:val="en-US" w:eastAsia="zh-CN"/>
        </w:rPr>
        <w:t>1</w:t>
      </w:r>
      <w:r>
        <w:rPr>
          <w:rFonts w:hint="eastAsia" w:asciiTheme="minorEastAsia" w:hAnsiTheme="minorEastAsia" w:eastAsiaTheme="minorEastAsia" w:cstheme="minorEastAsia"/>
          <w:bCs/>
          <w:color w:val="auto"/>
          <w:szCs w:val="21"/>
          <w:highlight w:val="none"/>
        </w:rPr>
        <w:t>年，时间自最终验收合格并交付使用之日起计算。在保修期内，一旦发生质量问题，投标人保证在接到通知24小时内赶到现场进行修理或更换。</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2、</w:t>
      </w:r>
      <w:r>
        <w:rPr>
          <w:rFonts w:hint="eastAsia" w:asciiTheme="minorEastAsia" w:hAnsiTheme="minorEastAsia" w:eastAsiaTheme="minorEastAsia" w:cstheme="minorEastAsia"/>
          <w:bCs/>
          <w:color w:val="auto"/>
          <w:szCs w:val="21"/>
          <w:highlight w:val="none"/>
        </w:rPr>
        <w:t>投标人应按其投标文件中的承诺，进行其他售后服务工作。</w:t>
      </w:r>
    </w:p>
    <w:p>
      <w:pPr>
        <w:keepNext w:val="0"/>
        <w:keepLines w:val="0"/>
        <w:pageBreakBefore w:val="0"/>
        <w:widowControl w:val="0"/>
        <w:tabs>
          <w:tab w:val="left" w:pos="2355"/>
        </w:tabs>
        <w:kinsoku/>
        <w:wordWrap/>
        <w:overflowPunct/>
        <w:topLinePunct w:val="0"/>
        <w:autoSpaceDE/>
        <w:autoSpaceDN/>
        <w:bidi w:val="0"/>
        <w:adjustRightInd/>
        <w:snapToGrid/>
        <w:spacing w:line="360" w:lineRule="auto"/>
        <w:ind w:left="0" w:firstLine="422" w:firstLineChars="200"/>
        <w:jc w:val="both"/>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eastAsia="zh-CN"/>
        </w:rPr>
        <w:t>（三）</w:t>
      </w:r>
      <w:r>
        <w:rPr>
          <w:rFonts w:hint="eastAsia" w:asciiTheme="minorEastAsia" w:hAnsiTheme="minorEastAsia" w:eastAsiaTheme="minorEastAsia" w:cstheme="minorEastAsia"/>
          <w:b/>
          <w:bCs/>
          <w:color w:val="auto"/>
          <w:szCs w:val="21"/>
          <w:highlight w:val="none"/>
        </w:rPr>
        <w:t>货款支付：</w:t>
      </w:r>
      <w:r>
        <w:rPr>
          <w:rFonts w:hint="eastAsia" w:asciiTheme="minorEastAsia" w:hAnsiTheme="minorEastAsia" w:eastAsiaTheme="minorEastAsia" w:cstheme="minorEastAsia"/>
          <w:b/>
          <w:bCs/>
          <w:color w:val="auto"/>
          <w:szCs w:val="21"/>
          <w:highlight w:val="none"/>
        </w:rPr>
        <w:tab/>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按实结算，货到付款，</w:t>
      </w:r>
      <w:r>
        <w:rPr>
          <w:rFonts w:hint="eastAsia" w:asciiTheme="minorEastAsia" w:hAnsiTheme="minorEastAsia" w:eastAsiaTheme="minorEastAsia" w:cstheme="minorEastAsia"/>
          <w:color w:val="auto"/>
          <w:szCs w:val="21"/>
          <w:highlight w:val="none"/>
          <w:lang w:val="zh-CN"/>
        </w:rPr>
        <w:t>具体方式由供需双方在合同中约定</w:t>
      </w:r>
      <w:r>
        <w:rPr>
          <w:rFonts w:hint="eastAsia" w:asciiTheme="minorEastAsia" w:hAnsiTheme="minorEastAsia" w:eastAsiaTheme="minorEastAsia" w:cs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both"/>
        <w:textAlignment w:val="auto"/>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color w:val="auto"/>
          <w:szCs w:val="21"/>
          <w:highlight w:val="none"/>
          <w:lang w:eastAsia="zh-CN"/>
        </w:rPr>
        <w:t>（四）</w:t>
      </w:r>
      <w:r>
        <w:rPr>
          <w:rFonts w:hint="eastAsia" w:asciiTheme="minorEastAsia" w:hAnsiTheme="minorEastAsia" w:eastAsiaTheme="minorEastAsia" w:cstheme="minorEastAsia"/>
          <w:b/>
          <w:color w:val="auto"/>
          <w:szCs w:val="21"/>
          <w:highlight w:val="none"/>
        </w:rPr>
        <w:t>其他要求</w:t>
      </w:r>
      <w:r>
        <w:rPr>
          <w:rFonts w:hint="eastAsia" w:asciiTheme="minorEastAsia" w:hAnsiTheme="minorEastAsia" w:eastAsiaTheme="minorEastAsia" w:cstheme="minorEastAsia"/>
          <w:b/>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确保所供货物来源合法性及中标人的资格能力。</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360" w:lineRule="auto"/>
        <w:ind w:left="0" w:firstLine="422" w:firstLineChars="200"/>
        <w:jc w:val="both"/>
        <w:textAlignment w:val="auto"/>
        <w:rPr>
          <w:rFonts w:hint="eastAsia" w:asciiTheme="minorEastAsia" w:hAnsiTheme="minorEastAsia" w:eastAsiaTheme="minorEastAsia" w:cstheme="minorEastAsia"/>
          <w:b/>
          <w:color w:val="auto"/>
          <w:highlight w:val="none"/>
        </w:rPr>
      </w:pPr>
      <w:r>
        <w:rPr>
          <w:rFonts w:hint="eastAsia" w:asciiTheme="minorEastAsia" w:hAnsiTheme="minorEastAsia" w:cstheme="minorEastAsia"/>
          <w:b/>
          <w:color w:val="auto"/>
          <w:highlight w:val="none"/>
          <w:lang w:eastAsia="zh-CN"/>
        </w:rPr>
        <w:t>（五）</w:t>
      </w:r>
      <w:r>
        <w:rPr>
          <w:rFonts w:hint="eastAsia" w:asciiTheme="minorEastAsia" w:hAnsiTheme="minorEastAsia" w:eastAsiaTheme="minorEastAsia" w:cstheme="minorEastAsia"/>
          <w:b/>
          <w:color w:val="auto"/>
          <w:highlight w:val="none"/>
        </w:rPr>
        <w:t>报价要求：</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360" w:lineRule="auto"/>
        <w:ind w:left="0" w:firstLine="420" w:firstLineChars="200"/>
        <w:jc w:val="both"/>
        <w:textAlignment w:val="auto"/>
        <w:rPr>
          <w:rFonts w:hint="eastAsia" w:asciiTheme="minorEastAsia" w:hAnsiTheme="minorEastAsia" w:eastAsiaTheme="minorEastAsia" w:cstheme="minorEastAsia"/>
          <w:bCs/>
          <w:color w:val="auto"/>
          <w:highlight w:val="none"/>
        </w:rPr>
      </w:pPr>
      <w:r>
        <w:rPr>
          <w:rFonts w:hint="eastAsia" w:asciiTheme="minorEastAsia" w:hAnsiTheme="minorEastAsia" w:cstheme="minorEastAsia"/>
          <w:bCs/>
          <w:color w:val="auto"/>
          <w:highlight w:val="none"/>
          <w:lang w:val="en-US" w:eastAsia="zh-CN"/>
        </w:rPr>
        <w:t>1、</w:t>
      </w:r>
      <w:r>
        <w:rPr>
          <w:rFonts w:hint="eastAsia" w:asciiTheme="minorEastAsia" w:hAnsiTheme="minorEastAsia" w:eastAsiaTheme="minorEastAsia" w:cstheme="minorEastAsia"/>
          <w:bCs/>
          <w:color w:val="auto"/>
          <w:highlight w:val="none"/>
        </w:rPr>
        <w:t>报价要求：本项目据实结算，由投标人根据招标文件所提供的资料自行测算投标报价，一经中标，投标单价作为中标单位与采购单位签定的合同金额。采购人按照实际采购数量进行结算，对实际结算金额未达到预算金额不承担相关责任。</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360" w:lineRule="auto"/>
        <w:ind w:left="0" w:firstLine="420" w:firstLineChars="200"/>
        <w:jc w:val="both"/>
        <w:textAlignment w:val="auto"/>
        <w:rPr>
          <w:rFonts w:hint="eastAsia" w:asciiTheme="minorEastAsia" w:hAnsiTheme="minorEastAsia" w:eastAsiaTheme="minorEastAsia" w:cstheme="minorEastAsia"/>
          <w:bCs/>
          <w:color w:val="auto"/>
          <w:highlight w:val="none"/>
        </w:rPr>
      </w:pPr>
      <w:r>
        <w:rPr>
          <w:rFonts w:hint="eastAsia" w:asciiTheme="minorEastAsia" w:hAnsiTheme="minorEastAsia" w:cstheme="minorEastAsia"/>
          <w:bCs/>
          <w:color w:val="auto"/>
          <w:highlight w:val="none"/>
          <w:lang w:val="en-US" w:eastAsia="zh-CN"/>
        </w:rPr>
        <w:t>2、</w:t>
      </w:r>
      <w:r>
        <w:rPr>
          <w:rFonts w:hint="eastAsia" w:asciiTheme="minorEastAsia" w:hAnsiTheme="minorEastAsia" w:eastAsiaTheme="minorEastAsia" w:cstheme="minorEastAsia"/>
          <w:bCs/>
          <w:color w:val="auto"/>
          <w:highlight w:val="none"/>
        </w:rPr>
        <w:t>本项目价格采用包干制，应包括服务成本、法定税费和企业的利润。由投标人根据招标文件所提供的资料自行测算投标报价；一经中标，投标报价总价作为中标人与采购人签定的合同金额，合同期限内不做调整；投标人应根据本企业的成本自行决定报价，但不得以低于其企业成本的报价投标，投标人的投标报价不得超过预算限额。</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both"/>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eastAsia="zh-CN"/>
        </w:rPr>
        <w:t>（六）</w:t>
      </w:r>
      <w:r>
        <w:rPr>
          <w:rFonts w:hint="eastAsia" w:asciiTheme="minorEastAsia" w:hAnsiTheme="minorEastAsia" w:eastAsiaTheme="minorEastAsia" w:cstheme="minorEastAsia"/>
          <w:b/>
          <w:color w:val="auto"/>
          <w:szCs w:val="21"/>
          <w:highlight w:val="none"/>
        </w:rPr>
        <w:t>关于验收</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1、</w:t>
      </w:r>
      <w:r>
        <w:rPr>
          <w:rFonts w:hint="eastAsia" w:asciiTheme="minorEastAsia" w:hAnsiTheme="minorEastAsia" w:eastAsiaTheme="minorEastAsia" w:cstheme="minorEastAsia"/>
          <w:bCs/>
          <w:color w:val="auto"/>
          <w:szCs w:val="21"/>
          <w:highlight w:val="none"/>
        </w:rPr>
        <w:t>投标人货物经过双方检验认可后，签署验收报告，产品保修期自验收合格之日起算，由投标人提供产品保修文件。</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2、</w:t>
      </w:r>
      <w:r>
        <w:rPr>
          <w:rFonts w:hint="eastAsia" w:asciiTheme="minorEastAsia" w:hAnsiTheme="minorEastAsia" w:eastAsiaTheme="minorEastAsia" w:cstheme="minorEastAsia"/>
          <w:bCs/>
          <w:color w:val="auto"/>
          <w:szCs w:val="21"/>
          <w:highlight w:val="none"/>
        </w:rPr>
        <w:t>当满足以下条件时，采购人才向中标人签发货物验收报告：</w:t>
      </w:r>
    </w:p>
    <w:p>
      <w:pPr>
        <w:keepNext w:val="0"/>
        <w:keepLines w:val="0"/>
        <w:pageBreakBefore w:val="0"/>
        <w:widowControl w:val="0"/>
        <w:tabs>
          <w:tab w:val="left" w:pos="1260"/>
        </w:tabs>
        <w:kinsoku/>
        <w:wordWrap/>
        <w:overflowPunct/>
        <w:topLinePunct w:val="0"/>
        <w:autoSpaceDE/>
        <w:autoSpaceDN/>
        <w:bidi w:val="0"/>
        <w:adjustRightInd/>
        <w:snapToGrid/>
        <w:spacing w:line="360" w:lineRule="auto"/>
        <w:ind w:left="0" w:firstLine="420" w:firstLineChars="200"/>
        <w:jc w:val="both"/>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（1）货物符合招标文件技术规格书的要求，性能满足要求。</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360" w:lineRule="auto"/>
        <w:ind w:left="0" w:firstLine="420" w:firstLineChars="200"/>
        <w:jc w:val="both"/>
        <w:textAlignment w:val="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kern w:val="0"/>
          <w:highlight w:val="none"/>
        </w:rPr>
        <w:t>（2）货物具备产品合格证。</w:t>
      </w:r>
    </w:p>
    <w:p>
      <w:pPr>
        <w:pStyle w:val="2"/>
        <w:numPr>
          <w:ilvl w:val="0"/>
          <w:numId w:val="4"/>
        </w:numPr>
        <w:tabs>
          <w:tab w:val="left" w:pos="540"/>
        </w:tabs>
        <w:adjustRightInd w:val="0"/>
        <w:snapToGrid w:val="0"/>
        <w:spacing w:line="360" w:lineRule="auto"/>
        <w:rPr>
          <w:rFonts w:hint="eastAsia" w:hAnsi="宋体"/>
          <w:b/>
          <w:color w:val="auto"/>
          <w:highlight w:val="none"/>
        </w:rPr>
      </w:pPr>
      <w:r>
        <w:rPr>
          <w:rFonts w:hint="eastAsia" w:hAnsi="宋体"/>
          <w:b/>
          <w:color w:val="auto"/>
          <w:highlight w:val="none"/>
        </w:rPr>
        <w:t>其他商务要求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both"/>
        <w:textAlignment w:val="auto"/>
        <w:rPr>
          <w:rFonts w:hint="eastAsia" w:asciiTheme="minorEastAsia" w:hAnsiTheme="minorEastAsia" w:eastAsiaTheme="minorEastAsia" w:cstheme="minorEastAsia"/>
          <w:b/>
          <w:bCs/>
          <w:color w:val="auto"/>
          <w:kern w:val="0"/>
          <w:highlight w:val="none"/>
        </w:rPr>
      </w:pPr>
      <w:r>
        <w:rPr>
          <w:rFonts w:hint="eastAsia" w:asciiTheme="minorEastAsia" w:hAnsiTheme="minorEastAsia" w:cstheme="minorEastAsia"/>
          <w:b/>
          <w:bCs/>
          <w:color w:val="auto"/>
          <w:kern w:val="0"/>
          <w:highlight w:val="none"/>
          <w:lang w:eastAsia="zh-CN"/>
        </w:rPr>
        <w:t>（一）</w:t>
      </w:r>
      <w:r>
        <w:rPr>
          <w:rFonts w:hint="eastAsia" w:asciiTheme="minorEastAsia" w:hAnsiTheme="minorEastAsia" w:eastAsiaTheme="minorEastAsia" w:cstheme="minorEastAsia"/>
          <w:b/>
          <w:bCs/>
          <w:color w:val="auto"/>
          <w:kern w:val="0"/>
          <w:highlight w:val="none"/>
        </w:rPr>
        <w:t>质量标准和保证</w:t>
      </w:r>
      <w:r>
        <w:rPr>
          <w:rFonts w:hint="eastAsia" w:asciiTheme="minorEastAsia" w:hAnsiTheme="minorEastAsia" w:eastAsiaTheme="minorEastAsia" w:cstheme="minorEastAsia"/>
          <w:b/>
          <w:bCs/>
          <w:color w:val="auto"/>
          <w:kern w:val="0"/>
          <w:highlight w:val="none"/>
        </w:rPr>
        <w:tab/>
      </w:r>
    </w:p>
    <w:p>
      <w:pPr>
        <w:pStyle w:val="2"/>
        <w:keepNext w:val="0"/>
        <w:keepLines w:val="0"/>
        <w:pageBreakBefore w:val="0"/>
        <w:widowControl w:val="0"/>
        <w:numPr>
          <w:ilvl w:val="1"/>
          <w:numId w:val="0"/>
        </w:numPr>
        <w:kinsoku/>
        <w:wordWrap/>
        <w:overflowPunct/>
        <w:topLinePunct w:val="0"/>
        <w:autoSpaceDE/>
        <w:autoSpaceDN/>
        <w:bidi w:val="0"/>
        <w:adjustRightInd/>
        <w:snapToGrid/>
        <w:spacing w:line="360" w:lineRule="auto"/>
        <w:ind w:left="-2" w:leftChars="0" w:firstLine="422" w:firstLineChars="0"/>
        <w:jc w:val="both"/>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sz w:val="21"/>
          <w:szCs w:val="21"/>
          <w:highlight w:val="none"/>
          <w:lang w:val="en-US" w:eastAsia="zh-CN" w:bidi="ar-SA"/>
        </w:rPr>
        <w:t>1</w:t>
      </w:r>
      <w:r>
        <w:rPr>
          <w:rFonts w:hint="eastAsia" w:asciiTheme="minorEastAsia" w:hAnsiTheme="minorEastAsia" w:cstheme="minorEastAsia"/>
          <w:color w:val="auto"/>
          <w:kern w:val="0"/>
          <w:sz w:val="21"/>
          <w:szCs w:val="21"/>
          <w:highlight w:val="none"/>
          <w:lang w:val="en-US" w:eastAsia="zh-CN" w:bidi="ar-SA"/>
        </w:rPr>
        <w:t>、</w:t>
      </w:r>
      <w:r>
        <w:rPr>
          <w:rFonts w:hint="eastAsia" w:asciiTheme="minorEastAsia" w:hAnsiTheme="minorEastAsia" w:eastAsiaTheme="minorEastAsia" w:cstheme="minorEastAsia"/>
          <w:color w:val="auto"/>
          <w:kern w:val="0"/>
          <w:highlight w:val="none"/>
        </w:rPr>
        <w:t>中标人需提供完好、全新的原包装产品（包括零配件），全部产品技术资料齐全。产品符合国家质量检测标准，必须具有质量合格说明。中标人所交付的产品品种、型号、规格、质量不符合合同规定标准的，采购人有权拒绝收货。合同项下交付的货物应符合技术规格所述标准。如果没有提及适用标准，则应符合现行国家标准。这些标准必须是有关权威机构发布的最新有效版本。没有国家标准的，按照通常标准或者符合合同目的的特定标准确定。</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360" w:lineRule="auto"/>
        <w:ind w:left="-2" w:leftChars="0" w:firstLine="422" w:firstLineChars="0"/>
        <w:jc w:val="both"/>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sz w:val="21"/>
          <w:szCs w:val="21"/>
          <w:highlight w:val="none"/>
          <w:lang w:val="en-US" w:eastAsia="zh-CN" w:bidi="ar-SA"/>
        </w:rPr>
        <w:t>2</w:t>
      </w:r>
      <w:r>
        <w:rPr>
          <w:rFonts w:hint="eastAsia" w:asciiTheme="minorEastAsia" w:hAnsiTheme="minorEastAsia" w:cstheme="minorEastAsia"/>
          <w:color w:val="auto"/>
          <w:kern w:val="0"/>
          <w:sz w:val="21"/>
          <w:szCs w:val="21"/>
          <w:highlight w:val="none"/>
          <w:lang w:val="en-US" w:eastAsia="zh-CN" w:bidi="ar-SA"/>
        </w:rPr>
        <w:t>、</w:t>
      </w:r>
      <w:r>
        <w:rPr>
          <w:rFonts w:hint="eastAsia" w:asciiTheme="minorEastAsia" w:hAnsiTheme="minorEastAsia" w:eastAsiaTheme="minorEastAsia" w:cstheme="minorEastAsia"/>
          <w:color w:val="auto"/>
          <w:kern w:val="0"/>
          <w:highlight w:val="none"/>
        </w:rPr>
        <w:t>中标人所出售的货物还应符合国家有关安全、环保、卫生等强制性规定。</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360" w:lineRule="auto"/>
        <w:ind w:left="-2" w:leftChars="0" w:firstLine="422" w:firstLineChars="0"/>
        <w:jc w:val="both"/>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sz w:val="21"/>
          <w:szCs w:val="21"/>
          <w:highlight w:val="none"/>
          <w:lang w:val="en-US" w:eastAsia="zh-CN" w:bidi="ar-SA"/>
        </w:rPr>
        <w:t>3</w:t>
      </w:r>
      <w:r>
        <w:rPr>
          <w:rFonts w:hint="eastAsia" w:asciiTheme="minorEastAsia" w:hAnsiTheme="minorEastAsia" w:cstheme="minorEastAsia"/>
          <w:color w:val="auto"/>
          <w:kern w:val="0"/>
          <w:sz w:val="21"/>
          <w:szCs w:val="21"/>
          <w:highlight w:val="none"/>
          <w:lang w:val="en-US" w:eastAsia="zh-CN" w:bidi="ar-SA"/>
        </w:rPr>
        <w:t>、</w:t>
      </w:r>
      <w:r>
        <w:rPr>
          <w:rFonts w:hint="eastAsia" w:asciiTheme="minorEastAsia" w:hAnsiTheme="minorEastAsia" w:eastAsiaTheme="minorEastAsia" w:cstheme="minorEastAsia"/>
          <w:color w:val="auto"/>
          <w:kern w:val="0"/>
          <w:highlight w:val="none"/>
        </w:rPr>
        <w:t>中标人在约定的时间内未能弥补缺陷，采购人可采取必要的补救措施，但其风险和费用将由中标人承担，采购人根据合同规定对中标人行使的其他权利不受影响。</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360" w:lineRule="auto"/>
        <w:ind w:left="-2" w:leftChars="0" w:firstLine="422" w:firstLineChars="0"/>
        <w:jc w:val="both"/>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sz w:val="21"/>
          <w:szCs w:val="21"/>
          <w:highlight w:val="none"/>
          <w:lang w:val="en-US" w:eastAsia="zh-CN" w:bidi="ar-SA"/>
        </w:rPr>
        <w:t>4</w:t>
      </w:r>
      <w:r>
        <w:rPr>
          <w:rFonts w:hint="eastAsia" w:asciiTheme="minorEastAsia" w:hAnsiTheme="minorEastAsia" w:cstheme="minorEastAsia"/>
          <w:color w:val="auto"/>
          <w:kern w:val="0"/>
          <w:sz w:val="21"/>
          <w:szCs w:val="21"/>
          <w:highlight w:val="none"/>
          <w:lang w:val="en-US" w:eastAsia="zh-CN" w:bidi="ar-SA"/>
        </w:rPr>
        <w:t>、</w:t>
      </w:r>
      <w:r>
        <w:rPr>
          <w:rFonts w:hint="eastAsia" w:asciiTheme="minorEastAsia" w:hAnsiTheme="minorEastAsia" w:eastAsiaTheme="minorEastAsia" w:cstheme="minorEastAsia"/>
          <w:color w:val="auto"/>
          <w:kern w:val="0"/>
          <w:highlight w:val="none"/>
        </w:rPr>
        <w:t>采购人在正常使用货物过程中，因产品缺陷给他人造成的人身或财产损害的损害赔偿责任均由中标人承担，采购人基于维护自身声誉先行代垫的，有权从质保金中预先扣除，不足以扣除的，可向中标人追偿。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both"/>
        <w:textAlignment w:val="auto"/>
        <w:rPr>
          <w:rFonts w:hint="eastAsia" w:asciiTheme="minorEastAsia" w:hAnsiTheme="minorEastAsia" w:eastAsiaTheme="minorEastAsia" w:cstheme="minorEastAsia"/>
          <w:b/>
          <w:bCs/>
          <w:color w:val="auto"/>
          <w:kern w:val="0"/>
          <w:highlight w:val="none"/>
        </w:rPr>
      </w:pPr>
      <w:r>
        <w:rPr>
          <w:rFonts w:hint="eastAsia" w:asciiTheme="minorEastAsia" w:hAnsiTheme="minorEastAsia" w:cstheme="minorEastAsia"/>
          <w:b/>
          <w:bCs/>
          <w:color w:val="auto"/>
          <w:kern w:val="0"/>
          <w:highlight w:val="none"/>
          <w:lang w:eastAsia="zh-CN"/>
        </w:rPr>
        <w:t>（二）</w:t>
      </w:r>
      <w:r>
        <w:rPr>
          <w:rFonts w:hint="eastAsia" w:asciiTheme="minorEastAsia" w:hAnsiTheme="minorEastAsia" w:eastAsiaTheme="minorEastAsia" w:cstheme="minorEastAsia"/>
          <w:b/>
          <w:bCs/>
          <w:color w:val="auto"/>
          <w:kern w:val="0"/>
          <w:highlight w:val="none"/>
        </w:rPr>
        <w:t>保密义务</w:t>
      </w:r>
      <w:r>
        <w:rPr>
          <w:rFonts w:hint="eastAsia" w:asciiTheme="minorEastAsia" w:hAnsiTheme="minorEastAsia" w:eastAsiaTheme="minorEastAsia" w:cstheme="minorEastAsia"/>
          <w:b/>
          <w:bCs/>
          <w:color w:val="auto"/>
          <w:kern w:val="0"/>
          <w:highlight w:val="none"/>
        </w:rPr>
        <w:tab/>
      </w:r>
    </w:p>
    <w:p>
      <w:pPr>
        <w:pStyle w:val="2"/>
        <w:keepNext w:val="0"/>
        <w:keepLines w:val="0"/>
        <w:pageBreakBefore w:val="0"/>
        <w:widowControl w:val="0"/>
        <w:numPr>
          <w:ilvl w:val="1"/>
          <w:numId w:val="0"/>
        </w:numPr>
        <w:kinsoku/>
        <w:wordWrap/>
        <w:overflowPunct/>
        <w:topLinePunct w:val="0"/>
        <w:autoSpaceDE/>
        <w:autoSpaceDN/>
        <w:bidi w:val="0"/>
        <w:adjustRightInd/>
        <w:snapToGrid/>
        <w:spacing w:line="360" w:lineRule="auto"/>
        <w:ind w:left="-2" w:leftChars="0" w:firstLine="422" w:firstLineChars="0"/>
        <w:jc w:val="both"/>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采购人、中标人双方在采购和履行合同过程中所获悉的所有信息都属于保密的内容，采购人中标人双方均有保密义务。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both"/>
        <w:textAlignment w:val="auto"/>
        <w:rPr>
          <w:rFonts w:hint="eastAsia" w:asciiTheme="minorEastAsia" w:hAnsiTheme="minorEastAsia" w:eastAsiaTheme="minorEastAsia" w:cstheme="minorEastAsia"/>
          <w:b/>
          <w:bCs/>
          <w:color w:val="auto"/>
          <w:kern w:val="0"/>
          <w:highlight w:val="none"/>
        </w:rPr>
      </w:pPr>
      <w:r>
        <w:rPr>
          <w:rFonts w:hint="eastAsia" w:asciiTheme="minorEastAsia" w:hAnsiTheme="minorEastAsia" w:cstheme="minorEastAsia"/>
          <w:b/>
          <w:bCs/>
          <w:color w:val="auto"/>
          <w:kern w:val="0"/>
          <w:highlight w:val="none"/>
          <w:lang w:eastAsia="zh-CN"/>
        </w:rPr>
        <w:t>（三）</w:t>
      </w:r>
      <w:r>
        <w:rPr>
          <w:rFonts w:hint="eastAsia" w:asciiTheme="minorEastAsia" w:hAnsiTheme="minorEastAsia" w:eastAsiaTheme="minorEastAsia" w:cstheme="minorEastAsia"/>
          <w:b/>
          <w:bCs/>
          <w:color w:val="auto"/>
          <w:kern w:val="0"/>
          <w:highlight w:val="none"/>
        </w:rPr>
        <w:t>违约责任</w:t>
      </w:r>
      <w:r>
        <w:rPr>
          <w:rFonts w:hint="eastAsia" w:asciiTheme="minorEastAsia" w:hAnsiTheme="minorEastAsia" w:eastAsiaTheme="minorEastAsia" w:cstheme="minorEastAsia"/>
          <w:b/>
          <w:bCs/>
          <w:color w:val="auto"/>
          <w:kern w:val="0"/>
          <w:highlight w:val="none"/>
        </w:rPr>
        <w:tab/>
      </w:r>
    </w:p>
    <w:p>
      <w:pPr>
        <w:pStyle w:val="2"/>
        <w:keepNext w:val="0"/>
        <w:keepLines w:val="0"/>
        <w:pageBreakBefore w:val="0"/>
        <w:widowControl w:val="0"/>
        <w:numPr>
          <w:ilvl w:val="1"/>
          <w:numId w:val="0"/>
        </w:numPr>
        <w:kinsoku/>
        <w:wordWrap/>
        <w:overflowPunct/>
        <w:topLinePunct w:val="0"/>
        <w:autoSpaceDE/>
        <w:autoSpaceDN/>
        <w:bidi w:val="0"/>
        <w:adjustRightInd/>
        <w:snapToGrid/>
        <w:spacing w:line="360" w:lineRule="auto"/>
        <w:ind w:left="-2" w:leftChars="0" w:firstLine="422" w:firstLineChars="0"/>
        <w:jc w:val="both"/>
        <w:textAlignment w:val="auto"/>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bidi="ar-SA"/>
        </w:rPr>
        <w:t>1</w:t>
      </w:r>
      <w:r>
        <w:rPr>
          <w:rFonts w:hint="eastAsia" w:asciiTheme="minorEastAsia" w:hAnsiTheme="minorEastAsia" w:cstheme="minorEastAsia"/>
          <w:color w:val="auto"/>
          <w:kern w:val="0"/>
          <w:sz w:val="21"/>
          <w:szCs w:val="21"/>
          <w:highlight w:val="none"/>
          <w:lang w:val="en-US" w:eastAsia="zh-CN" w:bidi="ar-SA"/>
        </w:rPr>
        <w:t>、</w:t>
      </w:r>
      <w:r>
        <w:rPr>
          <w:rFonts w:hint="eastAsia" w:asciiTheme="minorEastAsia" w:hAnsiTheme="minorEastAsia" w:eastAsiaTheme="minorEastAsia" w:cstheme="minorEastAsia"/>
          <w:color w:val="auto"/>
          <w:kern w:val="0"/>
          <w:highlight w:val="none"/>
        </w:rPr>
        <w:t>质量瑕疵的补救措施和索赔</w:t>
      </w:r>
      <w:r>
        <w:rPr>
          <w:rFonts w:hint="eastAsia" w:asciiTheme="minorEastAsia" w:hAnsiTheme="minorEastAsia" w:cstheme="minorEastAsia"/>
          <w:color w:val="auto"/>
          <w:kern w:val="0"/>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中标人提供的货物不符合质量标准或存在货物质量缺陷，采购人有权根据法定质量检测部门出具的检验证书向中标人提出索赔。</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360" w:lineRule="auto"/>
        <w:ind w:left="-2" w:leftChars="0" w:firstLine="422" w:firstLineChars="0"/>
        <w:jc w:val="both"/>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sz w:val="21"/>
          <w:szCs w:val="21"/>
          <w:highlight w:val="none"/>
          <w:lang w:val="en-US" w:eastAsia="zh-CN" w:bidi="ar-SA"/>
        </w:rPr>
        <w:t>2</w:t>
      </w:r>
      <w:r>
        <w:rPr>
          <w:rFonts w:hint="eastAsia" w:asciiTheme="minorEastAsia" w:hAnsiTheme="minorEastAsia" w:cstheme="minorEastAsia"/>
          <w:color w:val="auto"/>
          <w:kern w:val="0"/>
          <w:sz w:val="21"/>
          <w:szCs w:val="21"/>
          <w:highlight w:val="none"/>
          <w:lang w:val="en-US" w:eastAsia="zh-CN" w:bidi="ar-SA"/>
        </w:rPr>
        <w:t>、</w:t>
      </w:r>
      <w:r>
        <w:rPr>
          <w:rFonts w:hint="eastAsia" w:asciiTheme="minorEastAsia" w:hAnsiTheme="minorEastAsia" w:eastAsiaTheme="minorEastAsia" w:cstheme="minorEastAsia"/>
          <w:color w:val="auto"/>
          <w:kern w:val="0"/>
          <w:highlight w:val="none"/>
        </w:rPr>
        <w:t>在质量保证期内，如果中标人对缺陷货物负有责任而采购人提出索赔，中标人应按照采购人同意的下列一种或多种方式解决索赔事宜：</w:t>
      </w:r>
    </w:p>
    <w:p>
      <w:pPr>
        <w:pStyle w:val="2"/>
        <w:keepNext w:val="0"/>
        <w:keepLines w:val="0"/>
        <w:pageBreakBefore w:val="0"/>
        <w:widowControl w:val="0"/>
        <w:numPr>
          <w:ilvl w:val="2"/>
          <w:numId w:val="0"/>
        </w:numPr>
        <w:kinsoku/>
        <w:wordWrap/>
        <w:overflowPunct/>
        <w:topLinePunct w:val="0"/>
        <w:autoSpaceDE/>
        <w:autoSpaceDN/>
        <w:bidi w:val="0"/>
        <w:adjustRightInd/>
        <w:snapToGrid/>
        <w:spacing w:line="360" w:lineRule="auto"/>
        <w:ind w:left="-2" w:leftChars="0" w:firstLine="422" w:firstLineChars="0"/>
        <w:jc w:val="both"/>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sz w:val="21"/>
          <w:szCs w:val="21"/>
          <w:highlight w:val="none"/>
          <w:lang w:val="en-US" w:eastAsia="zh-CN" w:bidi="ar-SA"/>
        </w:rPr>
        <w:t>2.1</w:t>
      </w:r>
      <w:r>
        <w:rPr>
          <w:rFonts w:hint="eastAsia" w:asciiTheme="minorEastAsia" w:hAnsiTheme="minorEastAsia" w:eastAsiaTheme="minorEastAsia" w:cstheme="minorEastAsia"/>
          <w:color w:val="auto"/>
          <w:kern w:val="0"/>
          <w:highlight w:val="none"/>
        </w:rPr>
        <w:t>中标人同意退货并将货款退还给采购人，由此发生的一切费用和损失由中标人承担。</w:t>
      </w:r>
    </w:p>
    <w:p>
      <w:pPr>
        <w:pStyle w:val="2"/>
        <w:keepNext w:val="0"/>
        <w:keepLines w:val="0"/>
        <w:pageBreakBefore w:val="0"/>
        <w:widowControl w:val="0"/>
        <w:numPr>
          <w:ilvl w:val="2"/>
          <w:numId w:val="0"/>
        </w:numPr>
        <w:kinsoku/>
        <w:wordWrap/>
        <w:overflowPunct/>
        <w:topLinePunct w:val="0"/>
        <w:autoSpaceDE/>
        <w:autoSpaceDN/>
        <w:bidi w:val="0"/>
        <w:adjustRightInd/>
        <w:snapToGrid/>
        <w:spacing w:line="360" w:lineRule="auto"/>
        <w:ind w:left="-2" w:leftChars="0" w:firstLine="422" w:firstLineChars="0"/>
        <w:jc w:val="both"/>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sz w:val="21"/>
          <w:szCs w:val="21"/>
          <w:highlight w:val="none"/>
          <w:lang w:val="en-US" w:eastAsia="zh-CN" w:bidi="ar-SA"/>
        </w:rPr>
        <w:t>2.2</w:t>
      </w:r>
      <w:r>
        <w:rPr>
          <w:rFonts w:hint="eastAsia" w:asciiTheme="minorEastAsia" w:hAnsiTheme="minorEastAsia" w:eastAsiaTheme="minorEastAsia" w:cstheme="minorEastAsia"/>
          <w:color w:val="auto"/>
          <w:kern w:val="0"/>
          <w:highlight w:val="none"/>
        </w:rPr>
        <w:t>根据货物的质量状况以及采购人所遭受的损失，经过双方商定降低货物的价格。</w:t>
      </w:r>
    </w:p>
    <w:p>
      <w:pPr>
        <w:pStyle w:val="2"/>
        <w:keepNext w:val="0"/>
        <w:keepLines w:val="0"/>
        <w:pageBreakBefore w:val="0"/>
        <w:widowControl w:val="0"/>
        <w:numPr>
          <w:ilvl w:val="2"/>
          <w:numId w:val="0"/>
        </w:numPr>
        <w:kinsoku/>
        <w:wordWrap/>
        <w:overflowPunct/>
        <w:topLinePunct w:val="0"/>
        <w:autoSpaceDE/>
        <w:autoSpaceDN/>
        <w:bidi w:val="0"/>
        <w:adjustRightInd/>
        <w:snapToGrid/>
        <w:spacing w:line="360" w:lineRule="auto"/>
        <w:ind w:left="-2" w:leftChars="0" w:firstLine="422" w:firstLineChars="0"/>
        <w:jc w:val="both"/>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sz w:val="21"/>
          <w:szCs w:val="21"/>
          <w:highlight w:val="none"/>
          <w:lang w:val="en-US" w:eastAsia="zh-CN" w:bidi="ar-SA"/>
        </w:rPr>
        <w:t>2.3</w:t>
      </w:r>
      <w:r>
        <w:rPr>
          <w:rFonts w:hint="eastAsia" w:asciiTheme="minorEastAsia" w:hAnsiTheme="minorEastAsia" w:eastAsiaTheme="minorEastAsia" w:cstheme="minorEastAsia"/>
          <w:color w:val="auto"/>
          <w:kern w:val="0"/>
          <w:highlight w:val="none"/>
        </w:rPr>
        <w:t>中标人应在接到采购人通知后七天内负责采用符合合同规定的规格、质量和性能要求的新零件、部件和设备来替换有缺陷的部分或修补缺陷部分，其费用由中标人负担。同时，中标人应在约定的质量保证期基础上相应延长修补和/或替换件的质量保证期。</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360" w:lineRule="auto"/>
        <w:ind w:left="-2" w:leftChars="0" w:firstLine="422" w:firstLineChars="0"/>
        <w:jc w:val="both"/>
        <w:textAlignment w:val="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kern w:val="0"/>
          <w:sz w:val="21"/>
          <w:szCs w:val="21"/>
          <w:highlight w:val="none"/>
          <w:lang w:val="en-US" w:eastAsia="zh-CN" w:bidi="ar-SA"/>
        </w:rPr>
        <w:t>3</w:t>
      </w:r>
      <w:r>
        <w:rPr>
          <w:rFonts w:hint="eastAsia" w:asciiTheme="minorEastAsia" w:hAnsiTheme="minorEastAsia" w:cstheme="minorEastAsia"/>
          <w:color w:val="auto"/>
          <w:kern w:val="0"/>
          <w:sz w:val="21"/>
          <w:szCs w:val="21"/>
          <w:highlight w:val="none"/>
          <w:lang w:val="en-US" w:eastAsia="zh-CN" w:bidi="ar-SA"/>
        </w:rPr>
        <w:t>、</w:t>
      </w:r>
      <w:r>
        <w:rPr>
          <w:rFonts w:hint="eastAsia" w:asciiTheme="minorEastAsia" w:hAnsiTheme="minorEastAsia" w:eastAsiaTheme="minorEastAsia" w:cstheme="minorEastAsia"/>
          <w:color w:val="auto"/>
          <w:kern w:val="0"/>
          <w:highlight w:val="none"/>
        </w:rPr>
        <w:t>如果在采购人发出索赔通知后十天内中标人未作答复，上述索赔应视为已被中标人接受。如果中标人未能在采购人发出索赔通知后十天内或采购人同意延长的期限内，按照上述规定的任何一种方法采取补救措施，采购人有权从应付货款中扣除索赔金额或者没收质量保证金，如不足以弥补采购人损失的，采购人有权进一步要求中标人赔偿。</w:t>
      </w:r>
    </w:p>
    <w:p>
      <w:pPr>
        <w:pStyle w:val="2"/>
        <w:numPr>
          <w:ilvl w:val="0"/>
          <w:numId w:val="4"/>
        </w:numPr>
        <w:tabs>
          <w:tab w:val="left" w:pos="540"/>
        </w:tabs>
        <w:adjustRightInd w:val="0"/>
        <w:snapToGrid w:val="0"/>
        <w:spacing w:line="360" w:lineRule="auto"/>
        <w:rPr>
          <w:rFonts w:hint="eastAsia" w:hAnsi="宋体"/>
          <w:b/>
          <w:color w:val="auto"/>
          <w:highlight w:val="none"/>
        </w:rPr>
      </w:pPr>
      <w:r>
        <w:rPr>
          <w:rFonts w:hint="eastAsia" w:hAnsi="宋体"/>
          <w:b/>
          <w:color w:val="auto"/>
          <w:highlight w:val="none"/>
        </w:rPr>
        <w:t>保险</w:t>
      </w:r>
    </w:p>
    <w:p>
      <w:pPr>
        <w:pStyle w:val="2"/>
        <w:tabs>
          <w:tab w:val="left" w:pos="540"/>
        </w:tabs>
        <w:adjustRightInd w:val="0"/>
        <w:snapToGrid w:val="0"/>
        <w:spacing w:line="360" w:lineRule="auto"/>
        <w:rPr>
          <w:rFonts w:hAnsi="宋体"/>
          <w:b/>
          <w:color w:val="auto"/>
          <w:highlight w:val="none"/>
        </w:rPr>
      </w:pPr>
      <w:r>
        <w:rPr>
          <w:rFonts w:hint="eastAsia" w:asciiTheme="minorEastAsia" w:hAnsiTheme="minorEastAsia" w:eastAsiaTheme="minorEastAsia" w:cstheme="minorEastAsia"/>
          <w:color w:val="auto"/>
          <w:highlight w:val="none"/>
        </w:rPr>
        <w:t>货物交付运输前，采购人已经支付部分或全部款项的，中标人应当办理以采购人为受益人的货物“一切险”，投保金额不少于采购人已经支付款项总额，保险保至项目最终交货地点。</w:t>
      </w:r>
    </w:p>
    <w:p>
      <w:pPr>
        <w:rPr>
          <w:b/>
          <w:bCs/>
          <w:color w:val="auto"/>
          <w:sz w:val="28"/>
          <w:szCs w:val="28"/>
          <w:highlight w:val="none"/>
        </w:rPr>
      </w:pPr>
      <w:r>
        <w:rPr>
          <w:rFonts w:hint="eastAsia"/>
          <w:b/>
          <w:bCs/>
          <w:color w:val="auto"/>
          <w:sz w:val="28"/>
          <w:szCs w:val="28"/>
          <w:highlight w:val="none"/>
        </w:rPr>
        <w:br w:type="page"/>
      </w:r>
    </w:p>
    <w:p>
      <w:pPr>
        <w:pStyle w:val="3"/>
        <w:jc w:val="center"/>
        <w:rPr>
          <w:rFonts w:asciiTheme="majorEastAsia" w:hAnsiTheme="majorEastAsia" w:eastAsiaTheme="majorEastAsia" w:cstheme="majorEastAsia"/>
          <w:color w:val="auto"/>
          <w:sz w:val="32"/>
          <w:szCs w:val="32"/>
          <w:highlight w:val="none"/>
        </w:rPr>
      </w:pPr>
      <w:bookmarkStart w:id="23" w:name="_Toc7253"/>
      <w:bookmarkStart w:id="24" w:name="_Toc2987"/>
      <w:bookmarkStart w:id="25" w:name="_Toc5667_WPSOffice_Level1"/>
      <w:bookmarkStart w:id="26" w:name="_Toc4019"/>
      <w:r>
        <w:rPr>
          <w:rFonts w:hint="eastAsia" w:asciiTheme="majorEastAsia" w:hAnsiTheme="majorEastAsia" w:eastAsiaTheme="majorEastAsia" w:cstheme="majorEastAsia"/>
          <w:color w:val="auto"/>
          <w:sz w:val="32"/>
          <w:szCs w:val="32"/>
          <w:highlight w:val="none"/>
        </w:rPr>
        <w:t>第四章 开标、评标、定标</w:t>
      </w:r>
      <w:bookmarkEnd w:id="18"/>
      <w:bookmarkEnd w:id="23"/>
      <w:bookmarkEnd w:id="24"/>
      <w:bookmarkEnd w:id="25"/>
      <w:bookmarkEnd w:id="26"/>
      <w:bookmarkStart w:id="27" w:name="_Toc435514846"/>
    </w:p>
    <w:p>
      <w:pPr>
        <w:pStyle w:val="4"/>
        <w:numPr>
          <w:ilvl w:val="0"/>
          <w:numId w:val="5"/>
        </w:numPr>
        <w:spacing w:line="240" w:lineRule="auto"/>
        <w:jc w:val="center"/>
        <w:rPr>
          <w:rFonts w:asciiTheme="majorEastAsia" w:hAnsiTheme="majorEastAsia" w:eastAsiaTheme="majorEastAsia"/>
          <w:color w:val="auto"/>
          <w:sz w:val="30"/>
          <w:szCs w:val="30"/>
          <w:highlight w:val="none"/>
        </w:rPr>
      </w:pPr>
      <w:bookmarkStart w:id="28" w:name="_Toc15209"/>
      <w:bookmarkStart w:id="29" w:name="_Toc32316"/>
      <w:r>
        <w:rPr>
          <w:rFonts w:hint="eastAsia" w:asciiTheme="majorEastAsia" w:hAnsiTheme="majorEastAsia" w:eastAsiaTheme="majorEastAsia"/>
          <w:color w:val="auto"/>
          <w:sz w:val="30"/>
          <w:szCs w:val="30"/>
          <w:highlight w:val="none"/>
        </w:rPr>
        <w:t>资格性审查表</w:t>
      </w:r>
      <w:bookmarkEnd w:id="28"/>
      <w:bookmarkEnd w:id="29"/>
    </w:p>
    <w:tbl>
      <w:tblPr>
        <w:tblStyle w:val="38"/>
        <w:tblW w:w="89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pPr>
              <w:jc w:val="center"/>
              <w:rPr>
                <w:rFonts w:ascii="宋体" w:cs="宋体"/>
                <w:b/>
                <w:color w:val="auto"/>
                <w:highlight w:val="none"/>
              </w:rPr>
            </w:pPr>
            <w:r>
              <w:rPr>
                <w:rFonts w:hint="eastAsia" w:ascii="宋体" w:cs="宋体"/>
                <w:b/>
                <w:color w:val="auto"/>
                <w:highlight w:val="none"/>
              </w:rPr>
              <w:t>序号</w:t>
            </w:r>
          </w:p>
        </w:tc>
        <w:tc>
          <w:tcPr>
            <w:tcW w:w="8249" w:type="dxa"/>
            <w:vAlign w:val="center"/>
          </w:tcPr>
          <w:p>
            <w:pPr>
              <w:jc w:val="center"/>
              <w:rPr>
                <w:rFonts w:ascii="宋体" w:cs="宋体"/>
                <w:b/>
                <w:color w:val="auto"/>
                <w:highlight w:val="none"/>
              </w:rPr>
            </w:pPr>
            <w:r>
              <w:rPr>
                <w:rFonts w:hint="eastAsia" w:ascii="宋体" w:hAnsi="宋体" w:cs="宋体"/>
                <w:b/>
                <w:color w:val="auto"/>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6"/>
              </w:numPr>
              <w:tabs>
                <w:tab w:val="left" w:pos="176"/>
                <w:tab w:val="left" w:pos="612"/>
              </w:tabs>
              <w:jc w:val="center"/>
              <w:rPr>
                <w:rFonts w:ascii="宋体" w:hAnsi="宋体" w:cs="宋体"/>
                <w:color w:val="auto"/>
                <w:highlight w:val="none"/>
              </w:rPr>
            </w:pPr>
          </w:p>
        </w:tc>
        <w:tc>
          <w:tcPr>
            <w:tcW w:w="8249"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6"/>
              </w:numPr>
              <w:tabs>
                <w:tab w:val="left" w:pos="176"/>
                <w:tab w:val="left" w:pos="612"/>
              </w:tabs>
              <w:jc w:val="center"/>
              <w:rPr>
                <w:rFonts w:ascii="宋体" w:hAnsi="宋体" w:cs="宋体"/>
                <w:color w:val="auto"/>
                <w:highlight w:val="none"/>
              </w:rPr>
            </w:pPr>
          </w:p>
        </w:tc>
        <w:tc>
          <w:tcPr>
            <w:tcW w:w="8249" w:type="dxa"/>
            <w:vAlign w:val="center"/>
          </w:tcPr>
          <w:p>
            <w:pPr>
              <w:pStyle w:val="8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color w:val="auto"/>
                <w:highlight w:val="none"/>
              </w:rPr>
            </w:pPr>
            <w:r>
              <w:rPr>
                <w:rFonts w:hint="eastAsia" w:ascii="宋体" w:hAnsi="宋体"/>
                <w:color w:val="auto"/>
                <w:szCs w:val="21"/>
                <w:highlight w:val="none"/>
              </w:rPr>
              <w:t>本项目的特定资格要求：</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1</w:t>
            </w:r>
            <w:r>
              <w:rPr>
                <w:rFonts w:hint="eastAsia" w:ascii="宋体" w:hAnsi="宋体" w:cs="宋体"/>
                <w:bCs/>
                <w:color w:val="auto"/>
                <w:szCs w:val="20"/>
                <w:highlight w:val="none"/>
                <w:lang w:eastAsia="zh-CN"/>
              </w:rPr>
              <w:t>）投标人为生产企业：如所投产品为第二类或第三类医疗器械，提供监督管理部门签发的有效的《医疗器械生产许可证》复印件；</w:t>
            </w:r>
            <w:r>
              <w:rPr>
                <w:rFonts w:hint="eastAsia" w:ascii="宋体" w:hAnsi="宋体" w:cs="宋体"/>
                <w:bCs/>
                <w:color w:val="auto"/>
                <w:szCs w:val="20"/>
                <w:highlight w:val="none"/>
              </w:rPr>
              <w:t>（①提供在有效期内的证书复印件，如证书上未体现有效期的，需同时提供发证机构官方网站显示的有效期的截图作为证明材料；②如国家另有规定，则适用其规定，投标人提供相关证明材料，如有效的资质证书及相关政府部门的规定；）</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2</w:t>
            </w:r>
            <w:r>
              <w:rPr>
                <w:rFonts w:hint="eastAsia" w:ascii="宋体" w:hAnsi="宋体" w:cs="宋体"/>
                <w:bCs/>
                <w:color w:val="auto"/>
                <w:szCs w:val="20"/>
                <w:highlight w:val="none"/>
                <w:lang w:eastAsia="zh-CN"/>
              </w:rPr>
              <w:t>）投标人为经营企业：如所投产品为第三类医疗器械，提供监督管理部门签发的有效的《医疗器械经营许可证》复印件；（①提供在有效期内的证书复印件，如证书上未体现有效期的，需同时提供发证机构官方网站显示的有效期的截图作为证明材料；②如国家另有规定，则适用其规定，投标人提供相关证明材料，如有效的资质证书及相关政府部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6"/>
              </w:numPr>
              <w:tabs>
                <w:tab w:val="left" w:pos="176"/>
                <w:tab w:val="left" w:pos="612"/>
              </w:tabs>
              <w:jc w:val="center"/>
              <w:rPr>
                <w:rFonts w:ascii="宋体" w:hAnsi="宋体" w:cs="宋体"/>
                <w:color w:val="auto"/>
                <w:highlight w:val="none"/>
              </w:rPr>
            </w:pPr>
          </w:p>
        </w:tc>
        <w:tc>
          <w:tcPr>
            <w:tcW w:w="8249" w:type="dxa"/>
            <w:vAlign w:val="center"/>
          </w:tcPr>
          <w:p>
            <w:pPr>
              <w:tabs>
                <w:tab w:val="left" w:pos="612"/>
              </w:tabs>
              <w:rPr>
                <w:rFonts w:ascii="宋体" w:hAnsi="宋体" w:cs="宋体"/>
                <w:color w:val="auto"/>
                <w:highlight w:val="none"/>
              </w:rPr>
            </w:pPr>
            <w:r>
              <w:rPr>
                <w:rFonts w:hint="eastAsia" w:ascii="宋体" w:hAnsi="宋体"/>
                <w:color w:val="auto"/>
                <w:szCs w:val="21"/>
                <w:highlight w:val="none"/>
              </w:rPr>
              <w:t>参与本项目投标前三年内，在经营活动中没有重大违法记录（由供应商在《投标人资格声明函》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6"/>
              </w:numPr>
              <w:tabs>
                <w:tab w:val="left" w:pos="176"/>
                <w:tab w:val="left" w:pos="612"/>
              </w:tabs>
              <w:jc w:val="center"/>
              <w:rPr>
                <w:rFonts w:ascii="宋体" w:hAnsi="宋体" w:cs="宋体"/>
                <w:color w:val="auto"/>
                <w:highlight w:val="none"/>
              </w:rPr>
            </w:pPr>
          </w:p>
        </w:tc>
        <w:tc>
          <w:tcPr>
            <w:tcW w:w="8249" w:type="dxa"/>
            <w:vAlign w:val="center"/>
          </w:tcPr>
          <w:p>
            <w:pPr>
              <w:tabs>
                <w:tab w:val="left" w:pos="612"/>
              </w:tabs>
              <w:rPr>
                <w:rFonts w:ascii="宋体" w:hAnsi="宋体" w:cs="宋体"/>
                <w:color w:val="auto"/>
                <w:highlight w:val="none"/>
              </w:rPr>
            </w:pPr>
            <w:r>
              <w:rPr>
                <w:rFonts w:hint="eastAsia" w:ascii="宋体" w:hAnsi="宋体"/>
                <w:color w:val="auto"/>
                <w:szCs w:val="21"/>
                <w:highlight w:val="none"/>
              </w:rPr>
              <w:t>参与本项目采购活动时不存在被有关部门禁止参与政府采购活动且在有效期内的情况（由供应商在《投标人资格声明函》中作出声明）。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6"/>
              </w:numPr>
              <w:tabs>
                <w:tab w:val="left" w:pos="176"/>
                <w:tab w:val="left" w:pos="612"/>
              </w:tabs>
              <w:jc w:val="center"/>
              <w:rPr>
                <w:rFonts w:ascii="宋体" w:hAnsi="宋体" w:cs="宋体"/>
                <w:color w:val="auto"/>
                <w:highlight w:val="none"/>
              </w:rPr>
            </w:pPr>
          </w:p>
        </w:tc>
        <w:tc>
          <w:tcPr>
            <w:tcW w:w="8249" w:type="dxa"/>
            <w:vAlign w:val="center"/>
          </w:tcPr>
          <w:p>
            <w:pPr>
              <w:tabs>
                <w:tab w:val="left" w:pos="612"/>
              </w:tabs>
              <w:rPr>
                <w:rFonts w:ascii="宋体" w:hAnsi="宋体" w:cs="宋体"/>
                <w:color w:val="auto"/>
                <w:highlight w:val="none"/>
              </w:rPr>
            </w:pP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由供应商在《投标人资格声明函》中作出声明</w:t>
            </w:r>
            <w:r>
              <w:rPr>
                <w:rFonts w:hint="eastAsia" w:ascii="宋体" w:hAnsi="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6"/>
              </w:numPr>
              <w:tabs>
                <w:tab w:val="left" w:pos="176"/>
                <w:tab w:val="left" w:pos="612"/>
              </w:tabs>
              <w:jc w:val="center"/>
              <w:rPr>
                <w:rFonts w:ascii="宋体" w:hAnsi="宋体" w:cs="宋体"/>
                <w:color w:val="auto"/>
                <w:highlight w:val="none"/>
              </w:rPr>
            </w:pPr>
          </w:p>
        </w:tc>
        <w:tc>
          <w:tcPr>
            <w:tcW w:w="8249" w:type="dxa"/>
            <w:vAlign w:val="center"/>
          </w:tcPr>
          <w:p>
            <w:pPr>
              <w:tabs>
                <w:tab w:val="left" w:pos="612"/>
              </w:tabs>
              <w:rPr>
                <w:rFonts w:ascii="宋体" w:hAnsi="宋体"/>
                <w:bCs/>
                <w:color w:val="auto"/>
                <w:szCs w:val="21"/>
                <w:highlight w:val="none"/>
              </w:rPr>
            </w:pPr>
            <w:r>
              <w:rPr>
                <w:rFonts w:hint="eastAsia" w:ascii="宋体" w:hAnsi="宋体"/>
                <w:bCs/>
                <w:color w:val="auto"/>
                <w:szCs w:val="21"/>
                <w:highlight w:val="none"/>
              </w:rPr>
              <w:t>单位负责人为同一人或者存在直接控股、管理关系的不同供应商，不得参加同一合同项下的采购活动（</w:t>
            </w:r>
            <w:r>
              <w:rPr>
                <w:rFonts w:hint="eastAsia" w:ascii="宋体" w:hAnsi="宋体"/>
                <w:color w:val="auto"/>
                <w:szCs w:val="21"/>
                <w:highlight w:val="none"/>
              </w:rPr>
              <w:t>由供应商在《投标人资格声明函》中作出声明</w:t>
            </w:r>
            <w:r>
              <w:rPr>
                <w:rFonts w:hint="eastAsia" w:ascii="宋体" w:hAnsi="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6"/>
              </w:numPr>
              <w:tabs>
                <w:tab w:val="left" w:pos="176"/>
                <w:tab w:val="left" w:pos="612"/>
              </w:tabs>
              <w:jc w:val="center"/>
              <w:rPr>
                <w:rFonts w:ascii="宋体" w:hAnsi="宋体" w:cs="宋体"/>
                <w:color w:val="auto"/>
                <w:highlight w:val="none"/>
              </w:rPr>
            </w:pPr>
          </w:p>
        </w:tc>
        <w:tc>
          <w:tcPr>
            <w:tcW w:w="8249" w:type="dxa"/>
            <w:vAlign w:val="center"/>
          </w:tcPr>
          <w:p>
            <w:pPr>
              <w:tabs>
                <w:tab w:val="left" w:pos="612"/>
              </w:tabs>
              <w:rPr>
                <w:rFonts w:ascii="宋体" w:hAnsi="宋体"/>
                <w:bCs/>
                <w:color w:val="auto"/>
                <w:szCs w:val="21"/>
                <w:highlight w:val="none"/>
              </w:rPr>
            </w:pPr>
            <w:r>
              <w:rPr>
                <w:rFonts w:hint="eastAsia" w:ascii="宋体" w:hAnsi="宋体" w:cs="宋体"/>
                <w:bCs/>
                <w:color w:val="auto"/>
                <w:szCs w:val="21"/>
                <w:highlight w:val="none"/>
              </w:rPr>
              <w:t>参与采购项目投标的供应商未被列入失信被执行人、重大税收违法案件当事人名单（税收违法黑名单）、政府采购严重违法失信行为记录名单（提供《投标人资格声明函》）。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86" w:type="dxa"/>
            <w:vAlign w:val="center"/>
          </w:tcPr>
          <w:p>
            <w:pPr>
              <w:numPr>
                <w:ilvl w:val="0"/>
                <w:numId w:val="6"/>
              </w:numPr>
              <w:tabs>
                <w:tab w:val="left" w:pos="176"/>
                <w:tab w:val="left" w:pos="612"/>
              </w:tabs>
              <w:jc w:val="center"/>
              <w:rPr>
                <w:rFonts w:ascii="宋体" w:hAnsi="宋体" w:cs="宋体"/>
                <w:color w:val="auto"/>
                <w:highlight w:val="none"/>
              </w:rPr>
            </w:pPr>
          </w:p>
        </w:tc>
        <w:tc>
          <w:tcPr>
            <w:tcW w:w="8249" w:type="dxa"/>
            <w:vAlign w:val="center"/>
          </w:tcPr>
          <w:p>
            <w:pPr>
              <w:tabs>
                <w:tab w:val="left" w:pos="612"/>
              </w:tabs>
              <w:rPr>
                <w:rFonts w:ascii="宋体" w:hAnsi="宋体"/>
                <w:color w:val="auto"/>
                <w:szCs w:val="21"/>
                <w:highlight w:val="none"/>
              </w:rPr>
            </w:pPr>
            <w:r>
              <w:rPr>
                <w:rFonts w:hint="eastAsia" w:ascii="宋体" w:hAnsi="宋体" w:cs="宋体"/>
                <w:bCs/>
                <w:color w:val="auto"/>
                <w:szCs w:val="20"/>
                <w:highlight w:val="none"/>
              </w:rPr>
              <w:t>本项目不接受联合体投标</w:t>
            </w:r>
            <w:r>
              <w:rPr>
                <w:rFonts w:hint="eastAsia" w:ascii="宋体" w:hAnsi="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686" w:type="dxa"/>
            <w:vAlign w:val="center"/>
          </w:tcPr>
          <w:p>
            <w:pPr>
              <w:numPr>
                <w:ilvl w:val="0"/>
                <w:numId w:val="6"/>
              </w:numPr>
              <w:tabs>
                <w:tab w:val="left" w:pos="176"/>
                <w:tab w:val="left" w:pos="612"/>
              </w:tabs>
              <w:jc w:val="center"/>
              <w:rPr>
                <w:rFonts w:ascii="宋体" w:hAnsi="宋体" w:cs="宋体"/>
                <w:color w:val="auto"/>
                <w:highlight w:val="none"/>
              </w:rPr>
            </w:pPr>
          </w:p>
        </w:tc>
        <w:tc>
          <w:tcPr>
            <w:tcW w:w="8249" w:type="dxa"/>
            <w:vAlign w:val="center"/>
          </w:tcPr>
          <w:p>
            <w:pPr>
              <w:tabs>
                <w:tab w:val="left" w:pos="612"/>
              </w:tabs>
              <w:rPr>
                <w:rFonts w:ascii="宋体" w:hAnsi="宋体" w:cs="宋体"/>
                <w:bCs/>
                <w:color w:val="auto"/>
                <w:szCs w:val="20"/>
                <w:highlight w:val="none"/>
              </w:rPr>
            </w:pPr>
            <w:r>
              <w:rPr>
                <w:rFonts w:hint="eastAsia" w:ascii="宋体" w:hAnsi="宋体" w:cs="宋体"/>
                <w:bCs/>
                <w:color w:val="auto"/>
                <w:szCs w:val="21"/>
                <w:highlight w:val="none"/>
              </w:rPr>
              <w:t>按照</w:t>
            </w:r>
            <w:r>
              <w:rPr>
                <w:rFonts w:hint="eastAsia" w:ascii="宋体" w:hAnsi="宋体" w:cs="宋体"/>
                <w:bCs/>
                <w:color w:val="auto"/>
                <w:szCs w:val="21"/>
                <w:highlight w:val="none"/>
                <w:lang w:val="en-US" w:eastAsia="zh-CN"/>
              </w:rPr>
              <w:t>招标文件第一章</w:t>
            </w:r>
            <w:r>
              <w:rPr>
                <w:rFonts w:hint="eastAsia" w:ascii="宋体" w:hAnsi="宋体" w:cs="宋体"/>
                <w:bCs/>
                <w:color w:val="auto"/>
                <w:szCs w:val="21"/>
                <w:highlight w:val="none"/>
              </w:rPr>
              <w:t>要求</w:t>
            </w:r>
            <w:r>
              <w:rPr>
                <w:rFonts w:hint="eastAsia" w:ascii="宋体" w:hAnsi="宋体" w:cs="宋体"/>
                <w:bCs/>
                <w:color w:val="auto"/>
                <w:szCs w:val="21"/>
                <w:highlight w:val="none"/>
                <w:lang w:val="en-US" w:eastAsia="zh-CN"/>
              </w:rPr>
              <w:t>报名成功</w:t>
            </w:r>
            <w:r>
              <w:rPr>
                <w:rFonts w:hint="eastAsia" w:ascii="宋体" w:hAnsi="宋体" w:cs="宋体"/>
                <w:bCs/>
                <w:color w:val="auto"/>
                <w:szCs w:val="21"/>
                <w:highlight w:val="none"/>
              </w:rPr>
              <w:t>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6"/>
              </w:numPr>
              <w:tabs>
                <w:tab w:val="left" w:pos="176"/>
                <w:tab w:val="left" w:pos="612"/>
              </w:tabs>
              <w:jc w:val="center"/>
              <w:rPr>
                <w:rFonts w:ascii="宋体" w:hAnsi="宋体" w:cs="宋体"/>
                <w:color w:val="auto"/>
                <w:highlight w:val="none"/>
              </w:rPr>
            </w:pPr>
          </w:p>
        </w:tc>
        <w:tc>
          <w:tcPr>
            <w:tcW w:w="8249" w:type="dxa"/>
            <w:vAlign w:val="center"/>
          </w:tcPr>
          <w:p>
            <w:pPr>
              <w:tabs>
                <w:tab w:val="left" w:pos="612"/>
              </w:tabs>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投标</w:t>
            </w:r>
            <w:r>
              <w:rPr>
                <w:rFonts w:hint="eastAsia" w:ascii="宋体" w:hAnsi="宋体" w:cs="宋体"/>
                <w:bCs/>
                <w:color w:val="auto"/>
                <w:szCs w:val="21"/>
                <w:highlight w:val="none"/>
                <w:lang w:val="en-US" w:eastAsia="zh-CN"/>
              </w:rPr>
              <w:t>人上传到平台的投标文件PDF</w:t>
            </w:r>
            <w:r>
              <w:rPr>
                <w:rFonts w:hint="eastAsia" w:ascii="宋体" w:hAnsi="宋体" w:cs="宋体"/>
                <w:bCs/>
                <w:color w:val="auto"/>
                <w:szCs w:val="21"/>
                <w:highlight w:val="none"/>
              </w:rPr>
              <w:t>文档未带病毒</w:t>
            </w:r>
            <w:r>
              <w:rPr>
                <w:rFonts w:hint="eastAsia" w:ascii="宋体" w:hAnsi="宋体" w:cs="宋体"/>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6"/>
              </w:numPr>
              <w:tabs>
                <w:tab w:val="left" w:pos="176"/>
                <w:tab w:val="left" w:pos="612"/>
              </w:tabs>
              <w:jc w:val="center"/>
              <w:rPr>
                <w:rFonts w:ascii="宋体" w:hAnsi="宋体" w:cs="宋体"/>
                <w:color w:val="auto"/>
                <w:highlight w:val="none"/>
              </w:rPr>
            </w:pPr>
          </w:p>
        </w:tc>
        <w:tc>
          <w:tcPr>
            <w:tcW w:w="8249"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投标人资格声明函已提交并符合招标文件要求的</w:t>
            </w:r>
            <w:r>
              <w:rPr>
                <w:rFonts w:hint="eastAsia" w:ascii="宋体" w:hAnsi="宋体"/>
                <w:bCs/>
                <w:color w:val="auto"/>
                <w:szCs w:val="21"/>
                <w:highlight w:val="none"/>
              </w:rPr>
              <w:t>。</w:t>
            </w:r>
          </w:p>
        </w:tc>
      </w:tr>
    </w:tbl>
    <w:p>
      <w:pPr>
        <w:adjustRightInd w:val="0"/>
        <w:snapToGrid w:val="0"/>
        <w:spacing w:line="360" w:lineRule="auto"/>
        <w:jc w:val="left"/>
        <w:outlineLvl w:val="2"/>
        <w:rPr>
          <w:rFonts w:ascii="宋体" w:hAnsi="宋体"/>
          <w:color w:val="auto"/>
          <w:highlight w:val="none"/>
        </w:rPr>
      </w:pPr>
      <w:bookmarkStart w:id="30" w:name="_Toc15975"/>
      <w:r>
        <w:rPr>
          <w:rFonts w:hint="eastAsia" w:ascii="宋体" w:hAnsi="宋体" w:cs="宋体"/>
          <w:color w:val="auto"/>
          <w:highlight w:val="none"/>
        </w:rPr>
        <w:t>说明：</w:t>
      </w:r>
      <w:r>
        <w:rPr>
          <w:rFonts w:hint="eastAsia" w:ascii="宋体" w:hAnsi="宋体"/>
          <w:color w:val="auto"/>
          <w:highlight w:val="none"/>
        </w:rPr>
        <w:t>投标人必须严格按照《资格性审查表》的评审内容的要求如实提供证明材料</w:t>
      </w:r>
      <w:r>
        <w:rPr>
          <w:rFonts w:hint="eastAsia" w:ascii="宋体" w:hAnsi="宋体"/>
          <w:bCs/>
          <w:color w:val="auto"/>
          <w:highlight w:val="none"/>
        </w:rPr>
        <w:t>并应加盖投标人公章,</w:t>
      </w:r>
      <w:r>
        <w:rPr>
          <w:rFonts w:hint="eastAsia" w:ascii="宋体" w:hAnsi="宋体"/>
          <w:color w:val="auto"/>
          <w:highlight w:val="none"/>
        </w:rPr>
        <w:t>对缺漏或不符合项将直接导致无效投标</w:t>
      </w:r>
      <w:r>
        <w:rPr>
          <w:rFonts w:hint="eastAsia" w:ascii="宋体" w:cs="宋体"/>
          <w:color w:val="auto"/>
          <w:szCs w:val="21"/>
          <w:highlight w:val="none"/>
        </w:rPr>
        <w:t>。</w:t>
      </w:r>
      <w:bookmarkEnd w:id="30"/>
    </w:p>
    <w:p>
      <w:pPr>
        <w:rPr>
          <w:rFonts w:ascii="宋体" w:hAnsi="宋体" w:cs="宋体"/>
          <w:color w:val="auto"/>
          <w:szCs w:val="21"/>
          <w:highlight w:val="none"/>
        </w:rPr>
      </w:pPr>
      <w:r>
        <w:rPr>
          <w:rFonts w:hint="eastAsia" w:ascii="宋体" w:hAnsi="宋体" w:cs="宋体"/>
          <w:color w:val="auto"/>
          <w:szCs w:val="21"/>
          <w:highlight w:val="none"/>
        </w:rPr>
        <w:br w:type="page"/>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深圳市财政局关于印发《深圳市落实采购人主体责任实施办法》的通知》（深财购〔2022〕26号）的要求，采购代理机构将在开标当日按照《自行采购项目供应商资格审查表》对投标人进行进一步审查，投标人无需提供以下表格的证明材料。</w:t>
      </w:r>
    </w:p>
    <w:p>
      <w:pPr>
        <w:jc w:val="center"/>
        <w:rPr>
          <w:rFonts w:ascii="宋体" w:hAnsi="宋体" w:cs="宋体"/>
          <w:b/>
          <w:bCs/>
          <w:color w:val="auto"/>
          <w:szCs w:val="21"/>
          <w:highlight w:val="none"/>
        </w:rPr>
      </w:pPr>
      <w:r>
        <w:rPr>
          <w:rFonts w:hint="eastAsia" w:ascii="宋体" w:hAnsi="宋体" w:cs="宋体"/>
          <w:b/>
          <w:bCs/>
          <w:color w:val="auto"/>
          <w:szCs w:val="21"/>
          <w:highlight w:val="none"/>
        </w:rPr>
        <w:t>自行采购项目供应商资格审查表</w:t>
      </w:r>
    </w:p>
    <w:tbl>
      <w:tblPr>
        <w:tblStyle w:val="39"/>
        <w:tblpPr w:leftFromText="180" w:rightFromText="180" w:vertAnchor="text" w:horzAnchor="page" w:tblpX="1540" w:tblpY="86"/>
        <w:tblOverlap w:val="never"/>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038"/>
        <w:gridCol w:w="3348"/>
        <w:gridCol w:w="1248"/>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62" w:type="dxa"/>
          </w:tcPr>
          <w:p>
            <w:pPr>
              <w:widowControl/>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038" w:type="dxa"/>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审查内容</w:t>
            </w:r>
          </w:p>
        </w:tc>
        <w:tc>
          <w:tcPr>
            <w:tcW w:w="3348" w:type="dxa"/>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审查方式/查询途径</w:t>
            </w:r>
          </w:p>
        </w:tc>
        <w:tc>
          <w:tcPr>
            <w:tcW w:w="1248" w:type="dxa"/>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审查结果</w:t>
            </w:r>
          </w:p>
        </w:tc>
        <w:tc>
          <w:tcPr>
            <w:tcW w:w="1716" w:type="dxa"/>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1</w:t>
            </w:r>
          </w:p>
        </w:tc>
        <w:tc>
          <w:tcPr>
            <w:tcW w:w="2038" w:type="dxa"/>
            <w:vAlign w:val="center"/>
          </w:tcPr>
          <w:p>
            <w:pPr>
              <w:widowControl/>
              <w:rPr>
                <w:rFonts w:ascii="宋体" w:hAnsi="宋体" w:cs="宋体"/>
                <w:color w:val="auto"/>
                <w:szCs w:val="21"/>
                <w:highlight w:val="none"/>
              </w:rPr>
            </w:pPr>
            <w:r>
              <w:rPr>
                <w:rFonts w:hint="eastAsia" w:ascii="宋体" w:hAnsi="宋体" w:cs="宋体"/>
                <w:color w:val="auto"/>
                <w:szCs w:val="21"/>
                <w:highlight w:val="none"/>
              </w:rPr>
              <w:t>资质条件</w:t>
            </w:r>
          </w:p>
        </w:tc>
        <w:tc>
          <w:tcPr>
            <w:tcW w:w="3348" w:type="dxa"/>
            <w:vAlign w:val="center"/>
          </w:tcPr>
          <w:p>
            <w:pPr>
              <w:widowControl/>
              <w:rPr>
                <w:rFonts w:ascii="宋体" w:hAnsi="宋体" w:cs="宋体"/>
                <w:color w:val="auto"/>
                <w:szCs w:val="21"/>
                <w:highlight w:val="none"/>
              </w:rPr>
            </w:pPr>
            <w:r>
              <w:rPr>
                <w:rFonts w:hint="eastAsia" w:ascii="宋体" w:hAnsi="宋体" w:cs="宋体"/>
                <w:color w:val="auto"/>
                <w:szCs w:val="21"/>
                <w:highlight w:val="none"/>
              </w:rPr>
              <w:t>以投标文件提供的资质证明材料为准</w:t>
            </w:r>
          </w:p>
        </w:tc>
        <w:tc>
          <w:tcPr>
            <w:tcW w:w="1248" w:type="dxa"/>
            <w:vAlign w:val="center"/>
          </w:tcPr>
          <w:p>
            <w:pPr>
              <w:widowControl/>
              <w:rPr>
                <w:rFonts w:ascii="宋体" w:hAnsi="宋体" w:cs="宋体"/>
                <w:color w:val="auto"/>
                <w:szCs w:val="21"/>
                <w:highlight w:val="none"/>
              </w:rPr>
            </w:pPr>
            <w:r>
              <w:rPr>
                <w:rFonts w:hint="eastAsia" w:ascii="宋体" w:hAnsi="宋体" w:cs="宋体"/>
                <w:color w:val="auto"/>
                <w:szCs w:val="21"/>
                <w:highlight w:val="none"/>
              </w:rPr>
              <w:t xml:space="preserve">□通过 </w:t>
            </w:r>
          </w:p>
          <w:p>
            <w:pPr>
              <w:widowControl/>
              <w:rPr>
                <w:rFonts w:ascii="宋体" w:hAnsi="宋体" w:cs="宋体"/>
                <w:color w:val="auto"/>
                <w:szCs w:val="21"/>
                <w:highlight w:val="none"/>
              </w:rPr>
            </w:pPr>
            <w:r>
              <w:rPr>
                <w:rFonts w:hint="eastAsia" w:ascii="宋体" w:hAnsi="宋体" w:cs="宋体"/>
                <w:color w:val="auto"/>
                <w:szCs w:val="21"/>
                <w:highlight w:val="none"/>
              </w:rPr>
              <w:t>□不通过</w:t>
            </w:r>
          </w:p>
        </w:tc>
        <w:tc>
          <w:tcPr>
            <w:tcW w:w="1716" w:type="dxa"/>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2</w:t>
            </w:r>
          </w:p>
        </w:tc>
        <w:tc>
          <w:tcPr>
            <w:tcW w:w="2038" w:type="dxa"/>
            <w:vAlign w:val="center"/>
          </w:tcPr>
          <w:p>
            <w:pPr>
              <w:widowControl/>
              <w:rPr>
                <w:rFonts w:ascii="宋体" w:hAnsi="宋体" w:cs="宋体"/>
                <w:color w:val="auto"/>
                <w:szCs w:val="21"/>
                <w:highlight w:val="none"/>
              </w:rPr>
            </w:pPr>
            <w:r>
              <w:rPr>
                <w:rFonts w:hint="eastAsia" w:ascii="宋体" w:hAnsi="宋体" w:cs="宋体"/>
                <w:color w:val="auto"/>
                <w:szCs w:val="21"/>
                <w:highlight w:val="none"/>
              </w:rPr>
              <w:t>是否存在因违法行为而被禁止参加本市政府采购活动的情形</w:t>
            </w:r>
          </w:p>
        </w:tc>
        <w:tc>
          <w:tcPr>
            <w:tcW w:w="3348" w:type="dxa"/>
            <w:vAlign w:val="center"/>
          </w:tcPr>
          <w:p>
            <w:pPr>
              <w:widowControl/>
              <w:wordWrap w:val="0"/>
              <w:jc w:val="left"/>
              <w:rPr>
                <w:rFonts w:ascii="宋体" w:hAnsi="宋体" w:cs="宋体"/>
                <w:color w:val="auto"/>
                <w:szCs w:val="21"/>
                <w:highlight w:val="none"/>
                <w:lang w:bidi="ar"/>
              </w:rPr>
            </w:pPr>
            <w:r>
              <w:rPr>
                <w:rFonts w:hint="eastAsia" w:ascii="宋体" w:hAnsi="宋体" w:cs="宋体"/>
                <w:color w:val="auto"/>
                <w:szCs w:val="21"/>
                <w:highlight w:val="none"/>
                <w:lang w:bidi="ar"/>
              </w:rPr>
              <w:t>中国政府采购网（</w:t>
            </w:r>
            <w:r>
              <w:rPr>
                <w:color w:val="auto"/>
                <w:highlight w:val="none"/>
              </w:rPr>
              <w:fldChar w:fldCharType="begin"/>
            </w:r>
            <w:r>
              <w:rPr>
                <w:color w:val="auto"/>
                <w:highlight w:val="none"/>
              </w:rPr>
              <w:instrText xml:space="preserve"> HYPERLINK "http://www.ccgp.gov.cn/search/cr/" </w:instrText>
            </w:r>
            <w:r>
              <w:rPr>
                <w:color w:val="auto"/>
                <w:highlight w:val="none"/>
              </w:rPr>
              <w:fldChar w:fldCharType="separate"/>
            </w:r>
            <w:r>
              <w:rPr>
                <w:rFonts w:hint="eastAsia" w:ascii="宋体" w:hAnsi="宋体" w:cs="宋体"/>
                <w:color w:val="auto"/>
                <w:szCs w:val="21"/>
                <w:highlight w:val="none"/>
                <w:lang w:bidi="ar"/>
              </w:rPr>
              <w:t>http://www.ccgp.gov.cn/search/cr/</w:t>
            </w:r>
            <w:r>
              <w:rPr>
                <w:rFonts w:hint="eastAsia" w:ascii="宋体" w:hAnsi="宋体" w:cs="宋体"/>
                <w:color w:val="auto"/>
                <w:szCs w:val="21"/>
                <w:highlight w:val="none"/>
                <w:lang w:bidi="ar"/>
              </w:rPr>
              <w:fldChar w:fldCharType="end"/>
            </w:r>
            <w:r>
              <w:rPr>
                <w:rFonts w:hint="eastAsia" w:ascii="宋体" w:hAnsi="宋体" w:cs="宋体"/>
                <w:color w:val="auto"/>
                <w:szCs w:val="21"/>
                <w:highlight w:val="none"/>
                <w:lang w:bidi="ar"/>
              </w:rPr>
              <w:t>）、深圳市政府采购监管网（</w:t>
            </w:r>
            <w:r>
              <w:rPr>
                <w:color w:val="auto"/>
                <w:highlight w:val="none"/>
              </w:rPr>
              <w:fldChar w:fldCharType="begin"/>
            </w:r>
            <w:r>
              <w:rPr>
                <w:color w:val="auto"/>
                <w:highlight w:val="none"/>
              </w:rPr>
              <w:instrText xml:space="preserve"> HYPERLINK "http://zfcg.sz.gov.cn/cgjg/cxda/index.html" </w:instrText>
            </w:r>
            <w:r>
              <w:rPr>
                <w:color w:val="auto"/>
                <w:highlight w:val="none"/>
              </w:rPr>
              <w:fldChar w:fldCharType="separate"/>
            </w:r>
            <w:r>
              <w:rPr>
                <w:rFonts w:hint="eastAsia" w:ascii="宋体" w:hAnsi="宋体" w:cs="宋体"/>
                <w:color w:val="auto"/>
                <w:szCs w:val="21"/>
                <w:highlight w:val="none"/>
                <w:lang w:bidi="ar"/>
              </w:rPr>
              <w:t>http://zfcg.sz.gov.cn/cgjg/cxda/index.html</w:t>
            </w:r>
            <w:r>
              <w:rPr>
                <w:rFonts w:hint="eastAsia" w:ascii="宋体" w:hAnsi="宋体" w:cs="宋体"/>
                <w:color w:val="auto"/>
                <w:szCs w:val="21"/>
                <w:highlight w:val="none"/>
                <w:lang w:bidi="ar"/>
              </w:rPr>
              <w:fldChar w:fldCharType="end"/>
            </w:r>
            <w:r>
              <w:rPr>
                <w:rFonts w:hint="eastAsia" w:ascii="宋体" w:hAnsi="宋体" w:cs="宋体"/>
                <w:color w:val="auto"/>
                <w:szCs w:val="21"/>
                <w:highlight w:val="none"/>
                <w:lang w:bidi="ar"/>
              </w:rPr>
              <w:t>）</w:t>
            </w:r>
          </w:p>
        </w:tc>
        <w:tc>
          <w:tcPr>
            <w:tcW w:w="1248" w:type="dxa"/>
            <w:vAlign w:val="center"/>
          </w:tcPr>
          <w:p>
            <w:pPr>
              <w:widowControl/>
              <w:rPr>
                <w:rFonts w:ascii="宋体" w:hAnsi="宋体" w:cs="宋体"/>
                <w:color w:val="auto"/>
                <w:szCs w:val="21"/>
                <w:highlight w:val="none"/>
                <w:lang w:bidi="ar"/>
              </w:rPr>
            </w:pPr>
            <w:r>
              <w:rPr>
                <w:rFonts w:hint="eastAsia" w:ascii="宋体" w:hAnsi="宋体" w:cs="宋体"/>
                <w:color w:val="auto"/>
                <w:szCs w:val="21"/>
                <w:highlight w:val="none"/>
                <w:lang w:bidi="ar"/>
              </w:rPr>
              <w:t xml:space="preserve">□是 </w:t>
            </w:r>
          </w:p>
          <w:p>
            <w:pPr>
              <w:widowControl/>
              <w:rPr>
                <w:rFonts w:ascii="宋体" w:hAnsi="宋体" w:cs="宋体"/>
                <w:color w:val="auto"/>
                <w:szCs w:val="21"/>
                <w:highlight w:val="none"/>
                <w:lang w:bidi="ar"/>
              </w:rPr>
            </w:pPr>
            <w:r>
              <w:rPr>
                <w:rFonts w:hint="eastAsia" w:ascii="宋体" w:hAnsi="宋体" w:cs="宋体"/>
                <w:color w:val="auto"/>
                <w:szCs w:val="21"/>
                <w:highlight w:val="none"/>
                <w:lang w:bidi="ar"/>
              </w:rPr>
              <w:t>□否</w:t>
            </w:r>
          </w:p>
        </w:tc>
        <w:tc>
          <w:tcPr>
            <w:tcW w:w="1716" w:type="dxa"/>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若选择“是”，则属于审查不通过。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3</w:t>
            </w:r>
          </w:p>
        </w:tc>
        <w:tc>
          <w:tcPr>
            <w:tcW w:w="2038" w:type="dxa"/>
            <w:vAlign w:val="center"/>
          </w:tcPr>
          <w:p>
            <w:pPr>
              <w:widowControl/>
              <w:rPr>
                <w:rFonts w:ascii="宋体" w:hAnsi="宋体" w:cs="宋体"/>
                <w:color w:val="auto"/>
                <w:szCs w:val="21"/>
                <w:highlight w:val="none"/>
              </w:rPr>
            </w:pPr>
            <w:r>
              <w:rPr>
                <w:rFonts w:hint="eastAsia" w:ascii="宋体" w:hAnsi="宋体" w:cs="宋体"/>
                <w:color w:val="auto"/>
                <w:szCs w:val="21"/>
                <w:highlight w:val="none"/>
              </w:rPr>
              <w:t>不同供应商的单位负责人是否为同一人</w:t>
            </w:r>
          </w:p>
        </w:tc>
        <w:tc>
          <w:tcPr>
            <w:tcW w:w="3348" w:type="dxa"/>
            <w:vAlign w:val="center"/>
          </w:tcPr>
          <w:p>
            <w:pPr>
              <w:widowControl/>
              <w:wordWrap w:val="0"/>
              <w:jc w:val="left"/>
              <w:rPr>
                <w:rFonts w:hint="eastAsia" w:ascii="宋体" w:hAnsi="宋体" w:cs="宋体"/>
                <w:color w:val="auto"/>
                <w:szCs w:val="24"/>
                <w:highlight w:val="none"/>
                <w:lang w:bidi="ar"/>
              </w:rPr>
            </w:pPr>
            <w:r>
              <w:rPr>
                <w:rFonts w:hint="eastAsia" w:ascii="宋体" w:hAnsi="宋体" w:cs="宋体"/>
                <w:color w:val="auto"/>
                <w:szCs w:val="24"/>
                <w:highlight w:val="none"/>
                <w:lang w:bidi="ar"/>
              </w:rPr>
              <w:t>国家企业信用信息公示系统</w:t>
            </w:r>
          </w:p>
          <w:p>
            <w:pPr>
              <w:widowControl/>
              <w:wordWrap w:val="0"/>
              <w:spacing w:after="0" w:line="240" w:lineRule="auto"/>
              <w:ind w:left="0" w:firstLine="0"/>
              <w:jc w:val="left"/>
              <w:rPr>
                <w:rFonts w:ascii="宋体" w:hAnsi="宋体" w:cs="宋体"/>
                <w:color w:val="auto"/>
                <w:szCs w:val="21"/>
                <w:highlight w:val="none"/>
                <w:lang w:eastAsia="zh-CN" w:bidi="ar"/>
              </w:rPr>
            </w:pPr>
            <w:r>
              <w:rPr>
                <w:rFonts w:hint="eastAsia" w:ascii="宋体" w:hAnsi="宋体" w:cs="宋体"/>
                <w:color w:val="auto"/>
                <w:szCs w:val="24"/>
                <w:highlight w:val="none"/>
                <w:lang w:bidi="ar"/>
              </w:rPr>
              <w:t>（https://www.gsxt.gov.cn/index.html）、机关赋码和事业单位登记管理网（http://www.gjsy.gov.cn/sydwfrxxcx/）、全国社会组织信用信息公示平台（</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"https://xxgs.chinanpo.mca.gov.cn/gsxt/newList" </w:instrText>
            </w:r>
            <w:r>
              <w:rPr>
                <w:rFonts w:hint="eastAsia" w:ascii="宋体" w:hAnsi="宋体" w:cs="宋体"/>
                <w:color w:val="auto"/>
                <w:highlight w:val="none"/>
              </w:rPr>
              <w:fldChar w:fldCharType="separate"/>
            </w:r>
            <w:r>
              <w:rPr>
                <w:rFonts w:hint="eastAsia" w:ascii="宋体" w:hAnsi="宋体" w:cs="宋体"/>
                <w:color w:val="auto"/>
                <w:szCs w:val="24"/>
                <w:highlight w:val="none"/>
                <w:lang w:bidi="ar"/>
              </w:rPr>
              <w:t>https://xxgs.chinanpo.mca.gov.cn/gsxt/newList</w:t>
            </w:r>
            <w:r>
              <w:rPr>
                <w:rFonts w:hint="eastAsia" w:ascii="宋体" w:hAnsi="宋体" w:cs="宋体"/>
                <w:color w:val="auto"/>
                <w:szCs w:val="24"/>
                <w:highlight w:val="none"/>
                <w:lang w:bidi="ar"/>
              </w:rPr>
              <w:fldChar w:fldCharType="end"/>
            </w:r>
            <w:r>
              <w:rPr>
                <w:rFonts w:hint="eastAsia" w:ascii="宋体" w:hAnsi="宋体" w:cs="宋体"/>
                <w:color w:val="auto"/>
                <w:szCs w:val="24"/>
                <w:highlight w:val="none"/>
                <w:lang w:bidi="ar"/>
              </w:rPr>
              <w:t>）等网站</w:t>
            </w:r>
          </w:p>
        </w:tc>
        <w:tc>
          <w:tcPr>
            <w:tcW w:w="1248" w:type="dxa"/>
            <w:vAlign w:val="center"/>
          </w:tcPr>
          <w:p>
            <w:pPr>
              <w:widowControl/>
              <w:rPr>
                <w:rFonts w:ascii="宋体" w:hAnsi="宋体" w:cs="宋体"/>
                <w:color w:val="auto"/>
                <w:szCs w:val="21"/>
                <w:highlight w:val="none"/>
              </w:rPr>
            </w:pPr>
            <w:r>
              <w:rPr>
                <w:rFonts w:hint="eastAsia" w:ascii="宋体" w:hAnsi="宋体" w:cs="宋体"/>
                <w:color w:val="auto"/>
                <w:szCs w:val="21"/>
                <w:highlight w:val="none"/>
              </w:rPr>
              <w:t xml:space="preserve">□存在该种情形 </w:t>
            </w:r>
          </w:p>
          <w:p>
            <w:pPr>
              <w:widowControl/>
              <w:rPr>
                <w:rFonts w:ascii="宋体" w:hAnsi="宋体" w:cs="宋体"/>
                <w:color w:val="auto"/>
                <w:szCs w:val="21"/>
                <w:highlight w:val="none"/>
                <w:lang w:bidi="ar"/>
              </w:rPr>
            </w:pPr>
            <w:r>
              <w:rPr>
                <w:rFonts w:hint="eastAsia" w:ascii="宋体" w:hAnsi="宋体" w:cs="宋体"/>
                <w:color w:val="auto"/>
                <w:szCs w:val="21"/>
                <w:highlight w:val="none"/>
              </w:rPr>
              <w:t>□不存在该种情形</w:t>
            </w:r>
          </w:p>
        </w:tc>
        <w:tc>
          <w:tcPr>
            <w:tcW w:w="1716" w:type="dxa"/>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lang w:bidi="ar"/>
              </w:rPr>
              <w:t>若为同一人，则该几家供应商不得参加同一合同项下的采购活动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trPr>
        <w:tc>
          <w:tcPr>
            <w:tcW w:w="762" w:type="dxa"/>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4</w:t>
            </w:r>
          </w:p>
        </w:tc>
        <w:tc>
          <w:tcPr>
            <w:tcW w:w="2038" w:type="dxa"/>
            <w:vAlign w:val="center"/>
          </w:tcPr>
          <w:p>
            <w:pPr>
              <w:widowControl/>
              <w:rPr>
                <w:rFonts w:ascii="宋体" w:hAnsi="宋体" w:cs="宋体"/>
                <w:color w:val="auto"/>
                <w:szCs w:val="21"/>
                <w:highlight w:val="none"/>
              </w:rPr>
            </w:pPr>
            <w:r>
              <w:rPr>
                <w:rFonts w:hint="eastAsia" w:ascii="宋体" w:hAnsi="宋体" w:cs="宋体"/>
                <w:color w:val="auto"/>
                <w:szCs w:val="21"/>
                <w:highlight w:val="none"/>
                <w:lang w:bidi="ar"/>
              </w:rPr>
              <w:t>不同供应商之间是否存在直接控股、管理关系</w:t>
            </w:r>
          </w:p>
        </w:tc>
        <w:tc>
          <w:tcPr>
            <w:tcW w:w="3348" w:type="dxa"/>
            <w:vAlign w:val="center"/>
          </w:tcPr>
          <w:p>
            <w:pPr>
              <w:widowControl/>
              <w:wordWrap w:val="0"/>
              <w:jc w:val="left"/>
              <w:rPr>
                <w:rFonts w:ascii="宋体" w:hAnsi="宋体" w:cs="宋体"/>
                <w:color w:val="auto"/>
                <w:szCs w:val="21"/>
                <w:highlight w:val="none"/>
                <w:lang w:bidi="ar"/>
              </w:rPr>
            </w:pPr>
            <w:r>
              <w:rPr>
                <w:rFonts w:hint="eastAsia" w:ascii="宋体" w:hAnsi="宋体" w:cs="宋体"/>
                <w:color w:val="auto"/>
                <w:szCs w:val="21"/>
                <w:highlight w:val="none"/>
                <w:lang w:bidi="ar"/>
              </w:rPr>
              <w:t>国家企业信用信息公示系统</w:t>
            </w:r>
          </w:p>
          <w:p>
            <w:pPr>
              <w:widowControl/>
              <w:wordWrap w:val="0"/>
              <w:jc w:val="left"/>
              <w:rPr>
                <w:rFonts w:ascii="宋体" w:hAnsi="宋体" w:cs="宋体"/>
                <w:color w:val="auto"/>
                <w:szCs w:val="21"/>
                <w:highlight w:val="none"/>
                <w:lang w:bidi="ar"/>
              </w:rPr>
            </w:pPr>
            <w:r>
              <w:rPr>
                <w:rFonts w:hint="eastAsia" w:ascii="宋体" w:hAnsi="宋体" w:cs="宋体"/>
                <w:color w:val="auto"/>
                <w:szCs w:val="21"/>
                <w:highlight w:val="none"/>
                <w:lang w:bidi="ar"/>
              </w:rPr>
              <w:t>（https://www.gsxt.gov.cn/index.html）、机关赋码和事业单位登记管理网（http://www.gjsy.gov.cn/sydwfrxxcx/）、全国社会组织信用信息公示平台（</w:t>
            </w:r>
            <w:r>
              <w:rPr>
                <w:color w:val="auto"/>
                <w:highlight w:val="none"/>
              </w:rPr>
              <w:fldChar w:fldCharType="begin"/>
            </w:r>
            <w:r>
              <w:rPr>
                <w:color w:val="auto"/>
                <w:highlight w:val="none"/>
              </w:rPr>
              <w:instrText xml:space="preserve"> HYPERLINK "https://xxgs.chinanpo.mca.gov.cn/gsxt/newList" </w:instrText>
            </w:r>
            <w:r>
              <w:rPr>
                <w:color w:val="auto"/>
                <w:highlight w:val="none"/>
              </w:rPr>
              <w:fldChar w:fldCharType="separate"/>
            </w:r>
            <w:r>
              <w:rPr>
                <w:rFonts w:hint="eastAsia" w:ascii="宋体" w:hAnsi="宋体" w:cs="宋体"/>
                <w:color w:val="auto"/>
                <w:szCs w:val="21"/>
                <w:highlight w:val="none"/>
                <w:lang w:bidi="ar"/>
              </w:rPr>
              <w:t>https://xxgs.chinanpo.mca.gov.cn/gsxt/newList</w:t>
            </w:r>
            <w:r>
              <w:rPr>
                <w:rFonts w:hint="eastAsia" w:ascii="宋体" w:hAnsi="宋体" w:cs="宋体"/>
                <w:color w:val="auto"/>
                <w:szCs w:val="21"/>
                <w:highlight w:val="none"/>
                <w:lang w:bidi="ar"/>
              </w:rPr>
              <w:fldChar w:fldCharType="end"/>
            </w:r>
            <w:r>
              <w:rPr>
                <w:rFonts w:hint="eastAsia" w:ascii="宋体" w:hAnsi="宋体" w:cs="宋体"/>
                <w:color w:val="auto"/>
                <w:szCs w:val="21"/>
                <w:highlight w:val="none"/>
                <w:lang w:bidi="ar"/>
              </w:rPr>
              <w:t>）等网站</w:t>
            </w:r>
          </w:p>
        </w:tc>
        <w:tc>
          <w:tcPr>
            <w:tcW w:w="1248" w:type="dxa"/>
            <w:vAlign w:val="center"/>
          </w:tcPr>
          <w:p>
            <w:pPr>
              <w:widowControl/>
              <w:rPr>
                <w:rFonts w:ascii="宋体" w:hAnsi="宋体" w:cs="宋体"/>
                <w:color w:val="auto"/>
                <w:szCs w:val="21"/>
                <w:highlight w:val="none"/>
              </w:rPr>
            </w:pPr>
            <w:r>
              <w:rPr>
                <w:rFonts w:hint="eastAsia" w:ascii="宋体" w:hAnsi="宋体" w:cs="宋体"/>
                <w:color w:val="auto"/>
                <w:szCs w:val="21"/>
                <w:highlight w:val="none"/>
              </w:rPr>
              <w:t xml:space="preserve">□存在该种情形 </w:t>
            </w:r>
          </w:p>
          <w:p>
            <w:pPr>
              <w:widowControl/>
              <w:rPr>
                <w:rFonts w:ascii="宋体" w:hAnsi="宋体" w:cs="宋体"/>
                <w:color w:val="auto"/>
                <w:szCs w:val="21"/>
                <w:highlight w:val="none"/>
                <w:lang w:bidi="ar"/>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不存在该种情形</w:t>
            </w:r>
          </w:p>
        </w:tc>
        <w:tc>
          <w:tcPr>
            <w:tcW w:w="1716" w:type="dxa"/>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lang w:bidi="ar"/>
              </w:rPr>
              <w:t>若存在直接控股、管理关系，则该几家供应商不得参加同一合同项下的采购活动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5</w:t>
            </w:r>
          </w:p>
        </w:tc>
        <w:tc>
          <w:tcPr>
            <w:tcW w:w="2038" w:type="dxa"/>
            <w:vAlign w:val="center"/>
          </w:tcPr>
          <w:p>
            <w:pPr>
              <w:widowControl/>
              <w:rPr>
                <w:rFonts w:ascii="宋体" w:hAnsi="宋体" w:cs="宋体"/>
                <w:color w:val="auto"/>
                <w:szCs w:val="21"/>
                <w:highlight w:val="none"/>
                <w:lang w:bidi="ar"/>
              </w:rPr>
            </w:pPr>
            <w:r>
              <w:rPr>
                <w:rFonts w:hint="eastAsia" w:ascii="宋体" w:hAnsi="宋体" w:cs="宋体"/>
                <w:color w:val="auto"/>
                <w:szCs w:val="21"/>
                <w:highlight w:val="none"/>
                <w:lang w:bidi="ar"/>
              </w:rPr>
              <w:t>为采购项目提供整体设计、规范编制或者项目管理、监理、检测等服务的供应商，是否参加了该采购项目的其他采购活动</w:t>
            </w:r>
          </w:p>
        </w:tc>
        <w:tc>
          <w:tcPr>
            <w:tcW w:w="3348" w:type="dxa"/>
            <w:vAlign w:val="center"/>
          </w:tcPr>
          <w:p>
            <w:pPr>
              <w:widowControl/>
              <w:rPr>
                <w:rFonts w:ascii="宋体" w:hAnsi="宋体" w:cs="宋体"/>
                <w:color w:val="auto"/>
                <w:szCs w:val="21"/>
                <w:highlight w:val="none"/>
              </w:rPr>
            </w:pPr>
            <w:r>
              <w:rPr>
                <w:rFonts w:hint="eastAsia" w:ascii="宋体" w:hAnsi="宋体" w:cs="宋体"/>
                <w:color w:val="auto"/>
                <w:szCs w:val="21"/>
                <w:highlight w:val="none"/>
                <w:lang w:bidi="ar"/>
              </w:rPr>
              <w:t>以采购人内部排查意见为准</w:t>
            </w:r>
          </w:p>
        </w:tc>
        <w:tc>
          <w:tcPr>
            <w:tcW w:w="1248" w:type="dxa"/>
            <w:vAlign w:val="center"/>
          </w:tcPr>
          <w:p>
            <w:pPr>
              <w:widowControl/>
              <w:rPr>
                <w:rFonts w:ascii="宋体" w:hAnsi="宋体" w:cs="宋体"/>
                <w:color w:val="auto"/>
                <w:szCs w:val="21"/>
                <w:highlight w:val="none"/>
              </w:rPr>
            </w:pPr>
            <w:r>
              <w:rPr>
                <w:rFonts w:hint="eastAsia" w:ascii="宋体" w:hAnsi="宋体" w:cs="宋体"/>
                <w:color w:val="auto"/>
                <w:szCs w:val="21"/>
                <w:highlight w:val="none"/>
              </w:rPr>
              <w:t xml:space="preserve">□是 </w:t>
            </w:r>
          </w:p>
          <w:p>
            <w:pPr>
              <w:widowControl/>
              <w:rPr>
                <w:rFonts w:ascii="宋体" w:hAnsi="宋体" w:cs="宋体"/>
                <w:color w:val="auto"/>
                <w:szCs w:val="21"/>
                <w:highlight w:val="none"/>
              </w:rPr>
            </w:pPr>
            <w:r>
              <w:rPr>
                <w:rFonts w:hint="eastAsia" w:ascii="宋体" w:hAnsi="宋体" w:cs="宋体"/>
                <w:color w:val="auto"/>
                <w:szCs w:val="21"/>
                <w:highlight w:val="none"/>
              </w:rPr>
              <w:t>□否</w:t>
            </w:r>
          </w:p>
        </w:tc>
        <w:tc>
          <w:tcPr>
            <w:tcW w:w="1716" w:type="dxa"/>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采用单一来源方式的除外。若选择“是”，则属于审查不通过。</w:t>
            </w:r>
          </w:p>
        </w:tc>
      </w:tr>
    </w:tbl>
    <w:p>
      <w:pPr>
        <w:rPr>
          <w:rFonts w:asciiTheme="majorEastAsia" w:hAnsiTheme="majorEastAsia" w:eastAsiaTheme="majorEastAsia"/>
          <w:color w:val="auto"/>
          <w:sz w:val="30"/>
          <w:szCs w:val="30"/>
          <w:highlight w:val="none"/>
        </w:rPr>
      </w:pPr>
      <w:bookmarkStart w:id="31" w:name="_Toc13229"/>
      <w:r>
        <w:rPr>
          <w:rFonts w:hint="eastAsia" w:asciiTheme="majorEastAsia" w:hAnsiTheme="majorEastAsia" w:eastAsiaTheme="majorEastAsia"/>
          <w:color w:val="auto"/>
          <w:sz w:val="30"/>
          <w:szCs w:val="30"/>
          <w:highlight w:val="none"/>
        </w:rPr>
        <w:br w:type="page"/>
      </w:r>
    </w:p>
    <w:p>
      <w:pPr>
        <w:pStyle w:val="4"/>
        <w:numPr>
          <w:ilvl w:val="0"/>
          <w:numId w:val="5"/>
        </w:numPr>
        <w:spacing w:line="240" w:lineRule="auto"/>
        <w:jc w:val="center"/>
        <w:rPr>
          <w:rFonts w:asciiTheme="majorEastAsia" w:hAnsiTheme="majorEastAsia" w:eastAsiaTheme="majorEastAsia"/>
          <w:color w:val="auto"/>
          <w:sz w:val="30"/>
          <w:szCs w:val="30"/>
          <w:highlight w:val="none"/>
        </w:rPr>
      </w:pPr>
      <w:bookmarkStart w:id="32" w:name="_Toc6333"/>
      <w:r>
        <w:rPr>
          <w:rFonts w:hint="eastAsia" w:asciiTheme="majorEastAsia" w:hAnsiTheme="majorEastAsia" w:eastAsiaTheme="majorEastAsia"/>
          <w:color w:val="auto"/>
          <w:sz w:val="30"/>
          <w:szCs w:val="30"/>
          <w:highlight w:val="none"/>
        </w:rPr>
        <w:t>符合性审查表</w:t>
      </w:r>
      <w:bookmarkEnd w:id="31"/>
      <w:bookmarkEnd w:id="32"/>
    </w:p>
    <w:tbl>
      <w:tblPr>
        <w:tblStyle w:val="38"/>
        <w:tblW w:w="89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jc w:val="center"/>
              <w:rPr>
                <w:rFonts w:ascii="宋体" w:cs="宋体"/>
                <w:b/>
                <w:color w:val="auto"/>
                <w:highlight w:val="none"/>
              </w:rPr>
            </w:pPr>
            <w:r>
              <w:rPr>
                <w:rFonts w:hint="eastAsia" w:ascii="宋体" w:cs="宋体"/>
                <w:b/>
                <w:color w:val="auto"/>
                <w:highlight w:val="none"/>
              </w:rPr>
              <w:t>序号</w:t>
            </w:r>
          </w:p>
        </w:tc>
        <w:tc>
          <w:tcPr>
            <w:tcW w:w="8236" w:type="dxa"/>
            <w:vAlign w:val="center"/>
          </w:tcPr>
          <w:p>
            <w:pPr>
              <w:jc w:val="center"/>
              <w:rPr>
                <w:rFonts w:ascii="宋体" w:cs="宋体"/>
                <w:b/>
                <w:color w:val="auto"/>
                <w:highlight w:val="none"/>
              </w:rPr>
            </w:pPr>
            <w:r>
              <w:rPr>
                <w:rFonts w:hint="eastAsia" w:ascii="宋体" w:hAnsi="宋体" w:cs="宋体"/>
                <w:b/>
                <w:color w:val="auto"/>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7"/>
              </w:numPr>
              <w:tabs>
                <w:tab w:val="left" w:pos="176"/>
                <w:tab w:val="left" w:pos="612"/>
              </w:tabs>
              <w:jc w:val="center"/>
              <w:rPr>
                <w:rFonts w:ascii="宋体" w:hAnsi="宋体" w:cs="宋体"/>
                <w:color w:val="auto"/>
                <w:highlight w:val="none"/>
              </w:rPr>
            </w:pPr>
          </w:p>
        </w:tc>
        <w:tc>
          <w:tcPr>
            <w:tcW w:w="8236"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按照招标文件规定要求签署、盖章且投标文件有法定代表</w:t>
            </w:r>
            <w:r>
              <w:rPr>
                <w:rFonts w:hint="eastAsia" w:ascii="宋体" w:hAnsi="宋体" w:cs="宋体"/>
                <w:color w:val="auto"/>
                <w:highlight w:val="none"/>
              </w:rPr>
              <w:t>人签字或盖章（或签字人有法定代表人有效授权书）的；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7"/>
              </w:numPr>
              <w:tabs>
                <w:tab w:val="left" w:pos="176"/>
                <w:tab w:val="left" w:pos="612"/>
              </w:tabs>
              <w:jc w:val="center"/>
              <w:rPr>
                <w:rFonts w:ascii="宋体" w:hAnsi="宋体" w:cs="宋体"/>
                <w:color w:val="auto"/>
                <w:highlight w:val="none"/>
              </w:rPr>
            </w:pPr>
          </w:p>
        </w:tc>
        <w:tc>
          <w:tcPr>
            <w:tcW w:w="8236" w:type="dxa"/>
            <w:vAlign w:val="center"/>
          </w:tcPr>
          <w:p>
            <w:pPr>
              <w:tabs>
                <w:tab w:val="left" w:pos="612"/>
              </w:tabs>
              <w:rPr>
                <w:rFonts w:ascii="宋体" w:hAnsi="宋体" w:cs="宋体"/>
                <w:color w:val="auto"/>
                <w:szCs w:val="21"/>
                <w:highlight w:val="none"/>
              </w:rPr>
            </w:pPr>
            <w:r>
              <w:rPr>
                <w:rFonts w:hint="eastAsia" w:ascii="宋体" w:hAnsi="宋体" w:cs="宋体"/>
                <w:color w:val="auto"/>
                <w:szCs w:val="21"/>
                <w:highlight w:val="none"/>
              </w:rPr>
              <w:t>投标函已提交并符合招标文件要求的，且</w:t>
            </w:r>
            <w:r>
              <w:rPr>
                <w:rFonts w:hint="eastAsia" w:ascii="宋体" w:hAnsi="宋体"/>
                <w:color w:val="auto"/>
                <w:szCs w:val="21"/>
                <w:highlight w:val="none"/>
              </w:rPr>
              <w:t>投标有效期不少于招标文件中载明的投标有效期；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7"/>
              </w:numPr>
              <w:tabs>
                <w:tab w:val="left" w:pos="176"/>
                <w:tab w:val="left" w:pos="612"/>
              </w:tabs>
              <w:jc w:val="center"/>
              <w:rPr>
                <w:rFonts w:ascii="宋体" w:hAnsi="宋体" w:cs="宋体"/>
                <w:color w:val="auto"/>
                <w:highlight w:val="none"/>
              </w:rPr>
            </w:pPr>
          </w:p>
        </w:tc>
        <w:tc>
          <w:tcPr>
            <w:tcW w:w="8236" w:type="dxa"/>
            <w:vAlign w:val="center"/>
          </w:tcPr>
          <w:p>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投标报价未超过</w:t>
            </w:r>
            <w:r>
              <w:rPr>
                <w:rFonts w:hint="eastAsia" w:cs="宋体" w:asciiTheme="minorEastAsia" w:hAnsiTheme="minorEastAsia" w:eastAsiaTheme="minorEastAsia"/>
                <w:color w:val="auto"/>
                <w:kern w:val="0"/>
                <w:szCs w:val="21"/>
                <w:highlight w:val="none"/>
              </w:rPr>
              <w:t>本项目</w:t>
            </w:r>
            <w:r>
              <w:rPr>
                <w:rFonts w:hint="eastAsia" w:cs="宋体" w:asciiTheme="minorEastAsia" w:hAnsiTheme="minorEastAsia" w:eastAsiaTheme="minorEastAsia"/>
                <w:color w:val="auto"/>
                <w:szCs w:val="21"/>
                <w:highlight w:val="none"/>
              </w:rPr>
              <w:t>最高限价的；</w:t>
            </w:r>
          </w:p>
          <w:p>
            <w:pPr>
              <w:rPr>
                <w:rFonts w:ascii="宋体" w:hAnsi="宋体" w:cs="宋体"/>
                <w:color w:val="auto"/>
                <w:highlight w:val="none"/>
              </w:rPr>
            </w:pPr>
            <w:r>
              <w:rPr>
                <w:rFonts w:hint="eastAsia" w:cs="宋体" w:asciiTheme="minorEastAsia" w:hAnsiTheme="minorEastAsia" w:eastAsiaTheme="minorEastAsia"/>
                <w:color w:val="auto"/>
                <w:szCs w:val="21"/>
                <w:highlight w:val="none"/>
              </w:rPr>
              <w:t>单价投标报价均未超过</w:t>
            </w:r>
            <w:r>
              <w:rPr>
                <w:rFonts w:hint="eastAsia" w:cs="宋体" w:asciiTheme="minorEastAsia" w:hAnsiTheme="minorEastAsia" w:eastAsiaTheme="minorEastAsia"/>
                <w:color w:val="auto"/>
                <w:kern w:val="0"/>
                <w:szCs w:val="21"/>
                <w:highlight w:val="none"/>
              </w:rPr>
              <w:t>对应采购内容</w:t>
            </w:r>
            <w:r>
              <w:rPr>
                <w:rFonts w:hint="eastAsia" w:cs="宋体" w:asciiTheme="minorEastAsia" w:hAnsiTheme="minorEastAsia" w:eastAsiaTheme="minorEastAsia"/>
                <w:color w:val="auto"/>
                <w:szCs w:val="21"/>
                <w:highlight w:val="none"/>
              </w:rPr>
              <w:t>最高单价限价的；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7"/>
              </w:numPr>
              <w:tabs>
                <w:tab w:val="left" w:pos="176"/>
                <w:tab w:val="left" w:pos="612"/>
              </w:tabs>
              <w:jc w:val="center"/>
              <w:rPr>
                <w:rFonts w:ascii="宋体" w:hAnsi="宋体" w:cs="宋体"/>
                <w:color w:val="auto"/>
                <w:highlight w:val="none"/>
              </w:rPr>
            </w:pPr>
          </w:p>
        </w:tc>
        <w:tc>
          <w:tcPr>
            <w:tcW w:w="8236" w:type="dxa"/>
            <w:vAlign w:val="center"/>
          </w:tcPr>
          <w:p>
            <w:pPr>
              <w:rPr>
                <w:rFonts w:ascii="宋体" w:hAnsi="宋体" w:cs="宋体"/>
                <w:b/>
                <w:i/>
                <w:color w:val="auto"/>
                <w:szCs w:val="21"/>
                <w:highlight w:val="none"/>
                <w:shd w:val="pct10" w:color="auto" w:fill="FFFFFF"/>
              </w:rPr>
            </w:pPr>
            <w:r>
              <w:rPr>
                <w:rFonts w:hint="eastAsia" w:ascii="宋体" w:hAnsi="宋体" w:cs="宋体"/>
                <w:color w:val="auto"/>
                <w:szCs w:val="21"/>
                <w:highlight w:val="none"/>
              </w:rPr>
              <w:t>投标报价按照招标文件要求进行报价，没有删除品种、缺项、漏项（数量不符合将被视为漏项）的；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7"/>
              </w:numPr>
              <w:tabs>
                <w:tab w:val="left" w:pos="176"/>
                <w:tab w:val="left" w:pos="612"/>
              </w:tabs>
              <w:jc w:val="center"/>
              <w:rPr>
                <w:rFonts w:ascii="宋体" w:hAnsi="宋体" w:cs="宋体"/>
                <w:color w:val="auto"/>
                <w:highlight w:val="none"/>
              </w:rPr>
            </w:pPr>
          </w:p>
        </w:tc>
        <w:tc>
          <w:tcPr>
            <w:tcW w:w="8236" w:type="dxa"/>
            <w:vAlign w:val="center"/>
          </w:tcPr>
          <w:p>
            <w:pPr>
              <w:rPr>
                <w:rFonts w:ascii="宋体" w:hAnsi="宋体" w:cs="宋体"/>
                <w:color w:val="auto"/>
                <w:highlight w:val="none"/>
              </w:rPr>
            </w:pPr>
            <w:r>
              <w:rPr>
                <w:rFonts w:hint="eastAsia" w:ascii="宋体" w:hAnsi="宋体" w:cs="宋体"/>
                <w:color w:val="auto"/>
                <w:highlight w:val="none"/>
              </w:rPr>
              <w:t>投标文件未出现选择性报价或有附加条件报价的情形；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7"/>
              </w:numPr>
              <w:tabs>
                <w:tab w:val="left" w:pos="176"/>
                <w:tab w:val="left" w:pos="612"/>
              </w:tabs>
              <w:jc w:val="center"/>
              <w:rPr>
                <w:rFonts w:ascii="宋体" w:hAnsi="宋体" w:cs="宋体"/>
                <w:color w:val="auto"/>
                <w:highlight w:val="none"/>
              </w:rPr>
            </w:pPr>
          </w:p>
        </w:tc>
        <w:tc>
          <w:tcPr>
            <w:tcW w:w="8236" w:type="dxa"/>
            <w:vAlign w:val="center"/>
          </w:tcPr>
          <w:p>
            <w:pPr>
              <w:rPr>
                <w:rFonts w:ascii="宋体" w:hAnsi="宋体" w:cs="宋体"/>
                <w:color w:val="auto"/>
                <w:highlight w:val="none"/>
              </w:rPr>
            </w:pPr>
            <w:r>
              <w:rPr>
                <w:rFonts w:hint="eastAsia" w:ascii="宋体" w:hAnsi="宋体" w:cs="宋体"/>
                <w:color w:val="auto"/>
                <w:highlight w:val="none"/>
              </w:rPr>
              <w:t>投标文件完全满足招标文件的实质性条款（即标注★号条款）无负偏离的；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7"/>
              </w:numPr>
              <w:tabs>
                <w:tab w:val="left" w:pos="176"/>
                <w:tab w:val="left" w:pos="612"/>
              </w:tabs>
              <w:jc w:val="center"/>
              <w:rPr>
                <w:rFonts w:ascii="宋体" w:hAnsi="宋体" w:cs="宋体"/>
                <w:color w:val="auto"/>
                <w:highlight w:val="none"/>
              </w:rPr>
            </w:pPr>
          </w:p>
        </w:tc>
        <w:tc>
          <w:tcPr>
            <w:tcW w:w="8236" w:type="dxa"/>
            <w:vAlign w:val="center"/>
          </w:tcPr>
          <w:p>
            <w:pPr>
              <w:rPr>
                <w:rFonts w:ascii="宋体" w:hAnsi="宋体" w:cs="宋体"/>
                <w:color w:val="auto"/>
                <w:highlight w:val="none"/>
              </w:rPr>
            </w:pPr>
            <w:r>
              <w:rPr>
                <w:rFonts w:hint="eastAsia" w:ascii="宋体" w:hAnsi="宋体" w:cs="宋体"/>
                <w:color w:val="auto"/>
                <w:highlight w:val="none"/>
              </w:rPr>
              <w:t>投标文件没有招标文件中规定的其它无效投标条款的；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7"/>
              </w:numPr>
              <w:tabs>
                <w:tab w:val="left" w:pos="176"/>
                <w:tab w:val="left" w:pos="612"/>
              </w:tabs>
              <w:jc w:val="center"/>
              <w:rPr>
                <w:rFonts w:ascii="宋体" w:hAnsi="宋体" w:cs="宋体"/>
                <w:color w:val="auto"/>
                <w:highlight w:val="none"/>
              </w:rPr>
            </w:pPr>
          </w:p>
        </w:tc>
        <w:tc>
          <w:tcPr>
            <w:tcW w:w="8236" w:type="dxa"/>
            <w:vAlign w:val="center"/>
          </w:tcPr>
          <w:p>
            <w:pPr>
              <w:rPr>
                <w:rFonts w:ascii="宋体" w:hAnsi="宋体" w:cs="宋体"/>
                <w:color w:val="auto"/>
                <w:highlight w:val="none"/>
              </w:rPr>
            </w:pPr>
            <w:r>
              <w:rPr>
                <w:rFonts w:hint="eastAsia" w:ascii="宋体" w:hAnsi="宋体" w:cs="宋体"/>
                <w:color w:val="auto"/>
                <w:highlight w:val="none"/>
              </w:rPr>
              <w:t>按有关法律、法规、规章不属于投标无效的。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7"/>
              </w:numPr>
              <w:tabs>
                <w:tab w:val="left" w:pos="176"/>
                <w:tab w:val="left" w:pos="612"/>
              </w:tabs>
              <w:jc w:val="center"/>
              <w:rPr>
                <w:rFonts w:ascii="宋体" w:hAnsi="宋体" w:cs="宋体"/>
                <w:color w:val="auto"/>
                <w:highlight w:val="none"/>
              </w:rPr>
            </w:pPr>
          </w:p>
        </w:tc>
        <w:tc>
          <w:tcPr>
            <w:tcW w:w="8236" w:type="dxa"/>
            <w:vAlign w:val="center"/>
          </w:tcPr>
          <w:p>
            <w:pPr>
              <w:rPr>
                <w:rFonts w:hint="eastAsia" w:ascii="宋体" w:hAnsi="宋体" w:eastAsia="宋体" w:cs="宋体"/>
                <w:b/>
                <w:bCs/>
                <w:color w:val="auto"/>
                <w:sz w:val="21"/>
                <w:szCs w:val="21"/>
                <w:highlight w:val="none"/>
                <w:u w:val="double"/>
                <w:lang w:eastAsia="zh-CN"/>
              </w:rPr>
            </w:pPr>
            <w:r>
              <w:rPr>
                <w:rFonts w:hint="eastAsia" w:ascii="宋体" w:hAnsi="宋体" w:eastAsia="宋体" w:cs="宋体"/>
                <w:b/>
                <w:bCs/>
                <w:color w:val="auto"/>
                <w:sz w:val="21"/>
                <w:szCs w:val="21"/>
                <w:highlight w:val="none"/>
                <w:u w:val="double"/>
              </w:rPr>
              <w:t>提供法定代表人、主要经营负责人、项目投标授权代表人、项目负责人、主要技术人员</w:t>
            </w:r>
            <w:r>
              <w:rPr>
                <w:rFonts w:hint="eastAsia" w:ascii="宋体" w:hAnsi="宋体" w:eastAsia="宋体" w:cs="宋体"/>
                <w:b/>
                <w:bCs/>
                <w:color w:val="auto"/>
                <w:sz w:val="21"/>
                <w:szCs w:val="21"/>
                <w:highlight w:val="none"/>
                <w:u w:val="double"/>
                <w:lang w:eastAsia="zh-CN"/>
              </w:rPr>
              <w:t>最近一个月的</w:t>
            </w:r>
            <w:r>
              <w:rPr>
                <w:rFonts w:hint="eastAsia" w:ascii="宋体" w:hAnsi="宋体" w:eastAsia="宋体" w:cs="宋体"/>
                <w:b/>
                <w:bCs/>
                <w:color w:val="auto"/>
                <w:sz w:val="21"/>
                <w:szCs w:val="21"/>
                <w:highlight w:val="none"/>
                <w:u w:val="double"/>
              </w:rPr>
              <w:t>社会保险证明</w:t>
            </w:r>
            <w:r>
              <w:rPr>
                <w:rFonts w:hint="eastAsia" w:ascii="宋体" w:hAnsi="宋体" w:eastAsia="宋体" w:cs="宋体"/>
                <w:b/>
                <w:bCs/>
                <w:color w:val="auto"/>
                <w:sz w:val="21"/>
                <w:szCs w:val="21"/>
                <w:highlight w:val="none"/>
                <w:u w:val="double"/>
                <w:lang w:eastAsia="zh-CN"/>
              </w:rPr>
              <w:t>。</w:t>
            </w:r>
          </w:p>
          <w:p>
            <w:pPr>
              <w:rPr>
                <w:rFonts w:ascii="宋体" w:hAnsi="宋体" w:cs="宋体"/>
                <w:color w:val="auto"/>
                <w:highlight w:val="none"/>
              </w:rPr>
            </w:pPr>
            <w:r>
              <w:rPr>
                <w:rFonts w:hint="eastAsia" w:ascii="宋体" w:hAnsi="宋体" w:eastAsia="宋体" w:cs="宋体"/>
                <w:b w:val="0"/>
                <w:bCs w:val="0"/>
                <w:color w:val="auto"/>
                <w:sz w:val="21"/>
                <w:szCs w:val="21"/>
                <w:highlight w:val="none"/>
                <w:u w:val="none"/>
                <w:lang w:eastAsia="zh-CN"/>
              </w:rPr>
              <w:t>注：</w:t>
            </w:r>
            <w:r>
              <w:rPr>
                <w:rFonts w:hint="eastAsia" w:ascii="宋体" w:hAnsi="宋体" w:eastAsia="宋体" w:cs="宋体"/>
                <w:color w:val="auto"/>
                <w:sz w:val="21"/>
                <w:szCs w:val="21"/>
                <w:highlight w:val="none"/>
              </w:rPr>
              <w:t>由于社保部门或税务部门原因最近一个月的社保证明无法提供的可往前顺延一个月</w:t>
            </w:r>
            <w:r>
              <w:rPr>
                <w:rFonts w:hint="eastAsia" w:ascii="宋体" w:hAnsi="宋体" w:eastAsia="宋体" w:cs="宋体"/>
                <w:color w:val="auto"/>
                <w:sz w:val="21"/>
                <w:szCs w:val="21"/>
                <w:highlight w:val="none"/>
                <w:lang w:eastAsia="zh-CN"/>
              </w:rPr>
              <w:t>；如投标人为新成立企业且成立时间不足一个月可提供加盖投标人公章的情况说明或者证明材料亦视为符合；如依法不需要缴纳社会保险的，应提供相应文件证明；</w:t>
            </w:r>
            <w:r>
              <w:rPr>
                <w:rFonts w:hint="eastAsia" w:ascii="Times New Roman" w:hAnsi="Times New Roman" w:eastAsia="宋体" w:cs="Times New Roman"/>
                <w:color w:val="auto"/>
                <w:highlight w:val="none"/>
              </w:rPr>
              <w:t>如为退休返聘人员提供退休证明和聘用合同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如本项目未安排项目投标授权代表人、项目负责人、主要技术人员的，无需提供投标授权代表人、项目负责人、主要技术人员的社会保险证明</w:t>
            </w:r>
            <w:r>
              <w:rPr>
                <w:rFonts w:hint="eastAsia" w:ascii="宋体" w:hAnsi="宋体" w:eastAsia="宋体" w:cs="宋体"/>
                <w:color w:val="auto"/>
                <w:sz w:val="21"/>
                <w:szCs w:val="21"/>
                <w:highlight w:val="none"/>
                <w:lang w:eastAsia="zh-CN"/>
              </w:rPr>
              <w:t>。</w:t>
            </w:r>
          </w:p>
        </w:tc>
      </w:tr>
    </w:tbl>
    <w:p>
      <w:pPr>
        <w:tabs>
          <w:tab w:val="left" w:pos="420"/>
          <w:tab w:val="left" w:pos="630"/>
        </w:tabs>
        <w:autoSpaceDE w:val="0"/>
        <w:autoSpaceDN w:val="0"/>
        <w:adjustRightInd w:val="0"/>
        <w:spacing w:line="360" w:lineRule="auto"/>
        <w:rPr>
          <w:b/>
          <w:bCs/>
          <w:color w:val="auto"/>
          <w:sz w:val="28"/>
          <w:szCs w:val="28"/>
          <w:highlight w:val="none"/>
        </w:rPr>
      </w:pPr>
      <w:r>
        <w:rPr>
          <w:rFonts w:hint="eastAsia" w:ascii="宋体" w:hAnsi="宋体"/>
          <w:color w:val="auto"/>
          <w:szCs w:val="21"/>
          <w:highlight w:val="none"/>
        </w:rPr>
        <w:t>说明：</w:t>
      </w:r>
      <w:r>
        <w:rPr>
          <w:rFonts w:hint="eastAsia" w:ascii="宋体" w:hAnsi="宋体"/>
          <w:color w:val="auto"/>
          <w:highlight w:val="none"/>
        </w:rPr>
        <w:t>投标人必须严格按照《符合性审查表》的评审内容的要求如实提供证明材料</w:t>
      </w:r>
      <w:r>
        <w:rPr>
          <w:rFonts w:hint="eastAsia" w:ascii="宋体" w:hAnsi="宋体"/>
          <w:bCs/>
          <w:color w:val="auto"/>
          <w:highlight w:val="none"/>
        </w:rPr>
        <w:t>并应加盖投标人公章,</w:t>
      </w:r>
      <w:r>
        <w:rPr>
          <w:rFonts w:hint="eastAsia" w:ascii="宋体" w:hAnsi="宋体"/>
          <w:color w:val="auto"/>
          <w:highlight w:val="none"/>
        </w:rPr>
        <w:t>对缺漏或不符合项将直接导致无效投标</w:t>
      </w:r>
      <w:r>
        <w:rPr>
          <w:rFonts w:hint="eastAsia" w:ascii="宋体" w:cs="宋体"/>
          <w:color w:val="auto"/>
          <w:szCs w:val="21"/>
          <w:highlight w:val="none"/>
        </w:rPr>
        <w:t>。</w:t>
      </w:r>
    </w:p>
    <w:p>
      <w:pPr>
        <w:pStyle w:val="4"/>
        <w:numPr>
          <w:ilvl w:val="0"/>
          <w:numId w:val="5"/>
        </w:numPr>
        <w:spacing w:line="240" w:lineRule="auto"/>
        <w:jc w:val="center"/>
        <w:rPr>
          <w:rFonts w:ascii="黑体" w:hAnsi="宋体" w:cs="宋体"/>
          <w:color w:val="auto"/>
          <w:sz w:val="28"/>
          <w:szCs w:val="28"/>
          <w:highlight w:val="none"/>
        </w:rPr>
      </w:pPr>
      <w:r>
        <w:rPr>
          <w:rFonts w:ascii="黑体" w:hAnsi="宋体" w:cs="宋体"/>
          <w:color w:val="auto"/>
          <w:sz w:val="28"/>
          <w:szCs w:val="28"/>
          <w:highlight w:val="none"/>
        </w:rPr>
        <w:br w:type="page"/>
      </w:r>
      <w:bookmarkStart w:id="33" w:name="_Toc31814"/>
      <w:r>
        <w:rPr>
          <w:rFonts w:hint="eastAsia" w:asciiTheme="majorEastAsia" w:hAnsiTheme="majorEastAsia" w:eastAsiaTheme="majorEastAsia"/>
          <w:color w:val="auto"/>
          <w:sz w:val="30"/>
          <w:szCs w:val="30"/>
          <w:highlight w:val="none"/>
        </w:rPr>
        <w:t>综合评分表</w:t>
      </w:r>
      <w:bookmarkEnd w:id="33"/>
    </w:p>
    <w:tbl>
      <w:tblPr>
        <w:tblStyle w:val="38"/>
        <w:tblW w:w="4995"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86"/>
        <w:gridCol w:w="1497"/>
        <w:gridCol w:w="5793"/>
        <w:gridCol w:w="794"/>
        <w:gridCol w:w="7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12" w:type="pct"/>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797" w:type="pct"/>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3084" w:type="pct"/>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423" w:type="pct"/>
            <w:tcBorders>
              <w:right w:val="single" w:color="auto" w:sz="4"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权重</w:t>
            </w:r>
            <w:r>
              <w:rPr>
                <w:rFonts w:ascii="宋体" w:hAnsi="宋体" w:cs="宋体"/>
                <w:b/>
                <w:color w:val="auto"/>
                <w:szCs w:val="21"/>
                <w:highlight w:val="none"/>
              </w:rPr>
              <w:t>（%）</w:t>
            </w:r>
          </w:p>
        </w:tc>
        <w:tc>
          <w:tcPr>
            <w:tcW w:w="381" w:type="pct"/>
            <w:tcBorders>
              <w:left w:val="single" w:color="auto" w:sz="4"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r>
              <w:rPr>
                <w:rFonts w:ascii="宋体" w:hAnsi="宋体" w:cs="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312" w:type="pct"/>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4687" w:type="pct"/>
            <w:gridSpan w:val="4"/>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55</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12" w:type="pct"/>
            <w:tcBorders>
              <w:bottom w:val="single" w:color="auto" w:sz="4" w:space="0"/>
            </w:tcBorders>
            <w:vAlign w:val="center"/>
          </w:tcPr>
          <w:p>
            <w:pPr>
              <w:pStyle w:val="84"/>
              <w:numPr>
                <w:ilvl w:val="0"/>
                <w:numId w:val="8"/>
              </w:numPr>
              <w:ind w:firstLineChars="0"/>
              <w:jc w:val="right"/>
              <w:rPr>
                <w:rFonts w:ascii="宋体" w:hAnsi="宋体"/>
                <w:color w:val="auto"/>
                <w:szCs w:val="21"/>
                <w:highlight w:val="none"/>
              </w:rPr>
            </w:pPr>
          </w:p>
        </w:tc>
        <w:tc>
          <w:tcPr>
            <w:tcW w:w="797" w:type="pct"/>
            <w:vAlign w:val="center"/>
          </w:tcPr>
          <w:p>
            <w:pPr>
              <w:wordWrap w:val="0"/>
              <w:spacing w:line="240" w:lineRule="auto"/>
              <w:jc w:val="center"/>
              <w:rPr>
                <w:rFonts w:ascii="宋体" w:hAnsi="宋体" w:cs="宋体"/>
                <w:color w:val="auto"/>
                <w:szCs w:val="21"/>
                <w:highlight w:val="none"/>
              </w:rPr>
            </w:pPr>
            <w:r>
              <w:rPr>
                <w:rFonts w:hint="eastAsia" w:ascii="宋体" w:hAnsi="宋体" w:eastAsia="宋体" w:cs="宋体"/>
                <w:color w:val="auto"/>
                <w:sz w:val="21"/>
                <w:szCs w:val="21"/>
                <w:highlight w:val="none"/>
              </w:rPr>
              <w:t>技术参数技术响应情况</w:t>
            </w:r>
          </w:p>
        </w:tc>
        <w:tc>
          <w:tcPr>
            <w:tcW w:w="3084" w:type="pct"/>
            <w:vAlign w:val="center"/>
          </w:tcPr>
          <w:p>
            <w:pPr>
              <w:wordWrap w:val="0"/>
              <w:spacing w:line="240" w:lineRule="auto"/>
              <w:jc w:val="left"/>
              <w:rPr>
                <w:rFonts w:hint="default" w:ascii="宋体" w:hAnsi="宋体" w:eastAsia="宋体" w:cs="宋体"/>
                <w:color w:val="auto"/>
                <w:szCs w:val="21"/>
                <w:highlight w:val="none"/>
                <w:lang w:val="en-US" w:eastAsia="zh-CN"/>
              </w:rPr>
            </w:pPr>
            <w:r>
              <w:rPr>
                <w:rFonts w:hint="eastAsia" w:ascii="宋体" w:hAnsi="宋体"/>
                <w:color w:val="auto"/>
                <w:kern w:val="0"/>
                <w:highlight w:val="none"/>
              </w:rPr>
              <w:t>各投标人</w:t>
            </w:r>
            <w:r>
              <w:rPr>
                <w:rFonts w:hint="eastAsia" w:ascii="宋体" w:hAnsi="宋体" w:eastAsia="宋体" w:cs="宋体"/>
                <w:color w:val="auto"/>
                <w:sz w:val="21"/>
                <w:szCs w:val="21"/>
                <w:highlight w:val="none"/>
              </w:rPr>
              <w:t>如实填写《用户需求书条款响应一览表》</w:t>
            </w:r>
            <w:r>
              <w:rPr>
                <w:rFonts w:hint="eastAsia" w:ascii="宋体" w:hAnsi="宋体"/>
                <w:color w:val="auto"/>
                <w:kern w:val="0"/>
                <w:highlight w:val="none"/>
              </w:rPr>
              <w:t>，全部满足或优于得</w:t>
            </w:r>
            <w:r>
              <w:rPr>
                <w:rFonts w:hint="eastAsia" w:ascii="宋体" w:hAnsi="宋体"/>
                <w:color w:val="auto"/>
                <w:kern w:val="0"/>
                <w:highlight w:val="none"/>
                <w:lang w:val="en-US" w:eastAsia="zh-CN"/>
              </w:rPr>
              <w:t>25</w:t>
            </w:r>
            <w:r>
              <w:rPr>
                <w:rFonts w:hint="eastAsia" w:ascii="宋体" w:hAnsi="宋体"/>
                <w:color w:val="auto"/>
                <w:kern w:val="0"/>
                <w:highlight w:val="none"/>
              </w:rPr>
              <w:t>分。</w:t>
            </w:r>
            <w:r>
              <w:rPr>
                <w:rFonts w:hint="eastAsia" w:ascii="宋体" w:hAnsi="宋体"/>
                <w:color w:val="auto"/>
                <w:kern w:val="0"/>
                <w:highlight w:val="none"/>
                <w:lang w:eastAsia="zh-CN"/>
              </w:rPr>
              <w:t>每负偏离</w:t>
            </w:r>
            <w:r>
              <w:rPr>
                <w:rFonts w:hint="eastAsia" w:ascii="宋体" w:hAnsi="宋体"/>
                <w:color w:val="auto"/>
                <w:kern w:val="0"/>
                <w:highlight w:val="none"/>
                <w:lang w:val="en-US" w:eastAsia="zh-CN"/>
              </w:rPr>
              <w:t>1项扣1.8分，负偏离14项及以上不得分。</w:t>
            </w:r>
          </w:p>
        </w:tc>
        <w:tc>
          <w:tcPr>
            <w:tcW w:w="423" w:type="pct"/>
            <w:tcBorders>
              <w:right w:val="single" w:color="auto" w:sz="4" w:space="0"/>
            </w:tcBorders>
            <w:vAlign w:val="center"/>
          </w:tcPr>
          <w:p>
            <w:pPr>
              <w:spacing w:line="240" w:lineRule="auto"/>
              <w:ind w:left="-78" w:leftChars="-37" w:right="-73" w:rightChars="-35"/>
              <w:jc w:val="center"/>
              <w:rPr>
                <w:rFonts w:ascii="宋体" w:hAnsi="宋体" w:cs="宋体"/>
                <w:color w:val="auto"/>
                <w:szCs w:val="21"/>
                <w:highlight w:val="none"/>
              </w:rPr>
            </w:pPr>
            <w:r>
              <w:rPr>
                <w:rFonts w:hint="eastAsia" w:ascii="宋体" w:hAnsi="宋体" w:cs="宋体"/>
                <w:color w:val="auto"/>
                <w:sz w:val="21"/>
                <w:szCs w:val="21"/>
                <w:highlight w:val="none"/>
                <w:lang w:val="en-US" w:eastAsia="zh-CN"/>
              </w:rPr>
              <w:t>25</w:t>
            </w:r>
          </w:p>
        </w:tc>
        <w:tc>
          <w:tcPr>
            <w:tcW w:w="381" w:type="pct"/>
            <w:tcBorders>
              <w:left w:val="single" w:color="auto" w:sz="4" w:space="0"/>
            </w:tcBorders>
            <w:vAlign w:val="center"/>
          </w:tcPr>
          <w:p>
            <w:pPr>
              <w:spacing w:line="240" w:lineRule="auto"/>
              <w:ind w:left="-78" w:leftChars="-37" w:right="-73" w:rightChars="-35"/>
              <w:jc w:val="center"/>
              <w:rPr>
                <w:rFonts w:ascii="宋体" w:hAnsi="宋体" w:cs="宋体"/>
                <w:color w:val="auto"/>
                <w:szCs w:val="21"/>
                <w:highlight w:val="none"/>
              </w:rPr>
            </w:pPr>
            <w:r>
              <w:rPr>
                <w:rFonts w:hint="eastAsia" w:ascii="宋体" w:hAnsi="宋体" w:cs="宋体"/>
                <w:color w:val="auto"/>
                <w:sz w:val="21"/>
                <w:szCs w:val="21"/>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12" w:type="pct"/>
            <w:tcBorders>
              <w:top w:val="single" w:color="auto" w:sz="4" w:space="0"/>
            </w:tcBorders>
            <w:vAlign w:val="center"/>
          </w:tcPr>
          <w:p>
            <w:pPr>
              <w:pStyle w:val="84"/>
              <w:numPr>
                <w:ilvl w:val="0"/>
                <w:numId w:val="8"/>
              </w:numPr>
              <w:ind w:firstLineChars="0"/>
              <w:jc w:val="right"/>
              <w:rPr>
                <w:rFonts w:ascii="宋体" w:hAnsi="宋体"/>
                <w:color w:val="auto"/>
                <w:szCs w:val="21"/>
                <w:highlight w:val="none"/>
              </w:rPr>
            </w:pPr>
          </w:p>
        </w:tc>
        <w:tc>
          <w:tcPr>
            <w:tcW w:w="797" w:type="pct"/>
            <w:vAlign w:val="center"/>
          </w:tcPr>
          <w:p>
            <w:pPr>
              <w:spacing w:line="240" w:lineRule="auto"/>
              <w:jc w:val="center"/>
              <w:rPr>
                <w:rFonts w:ascii="宋体" w:hAnsi="宋体"/>
                <w:color w:val="auto"/>
                <w:szCs w:val="21"/>
                <w:highlight w:val="none"/>
              </w:rPr>
            </w:pPr>
            <w:r>
              <w:rPr>
                <w:rFonts w:hint="eastAsia" w:ascii="宋体" w:hAnsi="宋体"/>
                <w:color w:val="auto"/>
                <w:kern w:val="0"/>
                <w:highlight w:val="none"/>
              </w:rPr>
              <w:t>实施方案</w:t>
            </w:r>
          </w:p>
        </w:tc>
        <w:tc>
          <w:tcPr>
            <w:tcW w:w="3084" w:type="pct"/>
            <w:vAlign w:val="center"/>
          </w:tcPr>
          <w:p>
            <w:pPr>
              <w:widowControl/>
              <w:tabs>
                <w:tab w:val="left" w:pos="451"/>
              </w:tabs>
              <w:adjustRightInd w:val="0"/>
              <w:snapToGrid w:val="0"/>
              <w:spacing w:line="240" w:lineRule="auto"/>
              <w:jc w:val="left"/>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（一）评分内容：</w:t>
            </w:r>
          </w:p>
          <w:p>
            <w:pPr>
              <w:widowControl/>
              <w:tabs>
                <w:tab w:val="left" w:pos="451"/>
              </w:tabs>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color w:val="auto"/>
                <w:kern w:val="0"/>
                <w:highlight w:val="none"/>
                <w:lang w:eastAsia="zh-CN"/>
              </w:rPr>
              <w:t>根据投标人提供的</w:t>
            </w:r>
            <w:r>
              <w:rPr>
                <w:rFonts w:hint="eastAsia" w:ascii="宋体" w:hAnsi="宋体"/>
                <w:color w:val="auto"/>
                <w:kern w:val="0"/>
                <w:highlight w:val="none"/>
              </w:rPr>
              <w:t>实施方案</w:t>
            </w:r>
            <w:r>
              <w:rPr>
                <w:rFonts w:hint="eastAsia" w:ascii="宋体" w:hAnsi="宋体" w:cs="宋体"/>
                <w:color w:val="auto"/>
                <w:sz w:val="21"/>
                <w:szCs w:val="21"/>
                <w:highlight w:val="none"/>
                <w:lang w:eastAsia="zh-CN"/>
              </w:rPr>
              <w:t>进行打分</w:t>
            </w:r>
            <w:r>
              <w:rPr>
                <w:rFonts w:hint="eastAsia" w:ascii="宋体" w:hAnsi="宋体" w:eastAsia="宋体" w:cs="宋体"/>
                <w:color w:val="auto"/>
                <w:sz w:val="21"/>
                <w:szCs w:val="21"/>
                <w:highlight w:val="none"/>
              </w:rPr>
              <w:t>：</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1.详细供货服务计划及安排明细，包括拟投入本项目的运输工具清单等；</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2.对采购人提出需求的响应时间；</w:t>
            </w:r>
          </w:p>
          <w:p>
            <w:pPr>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3.针对紧急突发状况的应急措施。</w:t>
            </w:r>
          </w:p>
          <w:p>
            <w:pPr>
              <w:spacing w:line="240" w:lineRule="auto"/>
              <w:jc w:val="left"/>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eastAsia="zh-CN"/>
              </w:rPr>
              <w:t>（二）评分标准：</w:t>
            </w:r>
          </w:p>
          <w:p>
            <w:pPr>
              <w:widowControl/>
              <w:tabs>
                <w:tab w:val="left" w:pos="451"/>
              </w:tabs>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以</w:t>
            </w:r>
            <w:r>
              <w:rPr>
                <w:rFonts w:hint="eastAsia" w:ascii="宋体" w:hAnsi="宋体" w:eastAsia="宋体" w:cs="宋体"/>
                <w:bCs/>
                <w:color w:val="auto"/>
                <w:kern w:val="0"/>
                <w:sz w:val="21"/>
                <w:szCs w:val="21"/>
                <w:highlight w:val="none"/>
                <w:lang w:val="en-US" w:eastAsia="zh-CN"/>
              </w:rPr>
              <w:t>上</w:t>
            </w:r>
            <w:r>
              <w:rPr>
                <w:rFonts w:hint="eastAsia" w:ascii="宋体" w:hAnsi="宋体" w:eastAsia="宋体" w:cs="宋体"/>
                <w:bCs/>
                <w:color w:val="auto"/>
                <w:kern w:val="0"/>
                <w:sz w:val="21"/>
                <w:szCs w:val="21"/>
                <w:highlight w:val="none"/>
              </w:rPr>
              <w:t>内容提供完全得3分，每缺一项扣1分，</w:t>
            </w:r>
            <w:r>
              <w:rPr>
                <w:rFonts w:hint="eastAsia" w:ascii="宋体" w:hAnsi="宋体" w:cs="宋体"/>
                <w:bCs/>
                <w:color w:val="auto"/>
                <w:kern w:val="0"/>
                <w:sz w:val="21"/>
                <w:szCs w:val="21"/>
                <w:highlight w:val="none"/>
                <w:lang w:eastAsia="zh-CN"/>
              </w:rPr>
              <w:t>最低</w:t>
            </w:r>
            <w:r>
              <w:rPr>
                <w:rFonts w:hint="eastAsia" w:ascii="宋体" w:hAnsi="宋体" w:cs="宋体"/>
                <w:bCs/>
                <w:color w:val="auto"/>
                <w:kern w:val="0"/>
                <w:sz w:val="21"/>
                <w:szCs w:val="21"/>
                <w:highlight w:val="none"/>
                <w:lang w:val="en-US" w:eastAsia="zh-CN"/>
              </w:rPr>
              <w:t>0分</w:t>
            </w:r>
            <w:r>
              <w:rPr>
                <w:rFonts w:hint="eastAsia" w:ascii="宋体" w:hAnsi="宋体" w:eastAsia="宋体" w:cs="宋体"/>
                <w:bCs/>
                <w:color w:val="auto"/>
                <w:kern w:val="0"/>
                <w:sz w:val="21"/>
                <w:szCs w:val="21"/>
                <w:highlight w:val="none"/>
              </w:rPr>
              <w:t>。</w:t>
            </w:r>
          </w:p>
          <w:p>
            <w:pPr>
              <w:widowControl/>
              <w:tabs>
                <w:tab w:val="left" w:pos="451"/>
              </w:tabs>
              <w:adjustRightInd w:val="0"/>
              <w:snapToGrid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在投标人以上内容提供的基础上，评审委员会根据以下评审标准打分：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olor w:val="auto"/>
                <w:kern w:val="0"/>
                <w:highlight w:val="none"/>
              </w:rPr>
              <w:t>实施方案</w:t>
            </w:r>
            <w:r>
              <w:rPr>
                <w:rFonts w:hint="eastAsia" w:ascii="宋体" w:hAnsi="宋体" w:eastAsia="宋体" w:cs="宋体"/>
                <w:color w:val="auto"/>
                <w:sz w:val="21"/>
                <w:szCs w:val="21"/>
                <w:highlight w:val="none"/>
              </w:rPr>
              <w:t>内容全面；</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olor w:val="auto"/>
                <w:kern w:val="0"/>
                <w:highlight w:val="none"/>
              </w:rPr>
              <w:t>实施方案</w:t>
            </w:r>
            <w:r>
              <w:rPr>
                <w:rFonts w:hint="eastAsia" w:ascii="宋体" w:hAnsi="宋体" w:eastAsia="宋体" w:cs="宋体"/>
                <w:color w:val="auto"/>
                <w:sz w:val="21"/>
                <w:szCs w:val="21"/>
                <w:highlight w:val="none"/>
              </w:rPr>
              <w:t>内容具体，表述清晰、完整、严谨；</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olor w:val="auto"/>
                <w:kern w:val="0"/>
                <w:highlight w:val="none"/>
              </w:rPr>
              <w:t>实施方案</w:t>
            </w:r>
            <w:r>
              <w:rPr>
                <w:rFonts w:hint="eastAsia" w:ascii="宋体" w:hAnsi="宋体" w:eastAsia="宋体" w:cs="宋体"/>
                <w:color w:val="auto"/>
                <w:sz w:val="21"/>
                <w:szCs w:val="21"/>
                <w:highlight w:val="none"/>
              </w:rPr>
              <w:t>内容针对性强；</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olor w:val="auto"/>
                <w:kern w:val="0"/>
                <w:highlight w:val="none"/>
              </w:rPr>
              <w:t>实施方案</w:t>
            </w:r>
            <w:r>
              <w:rPr>
                <w:rFonts w:hint="eastAsia" w:ascii="宋体" w:hAnsi="宋体" w:eastAsia="宋体" w:cs="宋体"/>
                <w:color w:val="auto"/>
                <w:sz w:val="21"/>
                <w:szCs w:val="21"/>
                <w:highlight w:val="none"/>
              </w:rPr>
              <w:t>内容先进，科学合理；</w:t>
            </w:r>
          </w:p>
          <w:p>
            <w:pPr>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color w:val="auto"/>
                <w:kern w:val="0"/>
                <w:highlight w:val="none"/>
              </w:rPr>
              <w:t>实施方案</w:t>
            </w:r>
            <w:r>
              <w:rPr>
                <w:rFonts w:hint="eastAsia" w:ascii="宋体" w:hAnsi="宋体" w:eastAsia="宋体" w:cs="宋体"/>
                <w:color w:val="auto"/>
                <w:sz w:val="21"/>
                <w:szCs w:val="21"/>
                <w:highlight w:val="none"/>
              </w:rPr>
              <w:t>内容可操作性强；</w:t>
            </w:r>
          </w:p>
          <w:p>
            <w:pPr>
              <w:spacing w:line="240" w:lineRule="auto"/>
              <w:jc w:val="left"/>
              <w:rPr>
                <w:rFonts w:ascii="宋体" w:hAnsi="宋体" w:cs="宋体"/>
                <w:color w:val="auto"/>
                <w:szCs w:val="21"/>
                <w:highlight w:val="none"/>
              </w:rPr>
            </w:pPr>
            <w:r>
              <w:rPr>
                <w:rFonts w:hint="eastAsia" w:ascii="宋体" w:hAnsi="宋体" w:eastAsia="宋体" w:cs="宋体"/>
                <w:color w:val="auto"/>
                <w:sz w:val="21"/>
                <w:szCs w:val="21"/>
                <w:highlight w:val="none"/>
              </w:rPr>
              <w:t>满足以上五项要求得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分，满足以上</w:t>
            </w:r>
            <w:r>
              <w:rPr>
                <w:rFonts w:hint="eastAsia" w:ascii="宋体" w:hAnsi="宋体" w:cs="宋体"/>
                <w:color w:val="auto"/>
                <w:sz w:val="21"/>
                <w:szCs w:val="21"/>
                <w:highlight w:val="none"/>
                <w:lang w:eastAsia="zh-CN"/>
              </w:rPr>
              <w:t>任意</w:t>
            </w:r>
            <w:r>
              <w:rPr>
                <w:rFonts w:hint="eastAsia" w:ascii="宋体" w:hAnsi="宋体" w:eastAsia="宋体" w:cs="宋体"/>
                <w:color w:val="auto"/>
                <w:sz w:val="21"/>
                <w:szCs w:val="21"/>
                <w:highlight w:val="none"/>
              </w:rPr>
              <w:t>四项要求得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分，满足以上</w:t>
            </w:r>
            <w:r>
              <w:rPr>
                <w:rFonts w:hint="eastAsia" w:ascii="宋体" w:hAnsi="宋体" w:cs="宋体"/>
                <w:color w:val="auto"/>
                <w:sz w:val="21"/>
                <w:szCs w:val="21"/>
                <w:highlight w:val="none"/>
                <w:lang w:eastAsia="zh-CN"/>
              </w:rPr>
              <w:t>任意</w:t>
            </w:r>
            <w:r>
              <w:rPr>
                <w:rFonts w:hint="eastAsia" w:ascii="宋体" w:hAnsi="宋体" w:eastAsia="宋体" w:cs="宋体"/>
                <w:color w:val="auto"/>
                <w:sz w:val="21"/>
                <w:szCs w:val="21"/>
                <w:highlight w:val="none"/>
              </w:rPr>
              <w:t>三项要求得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分，满足以上</w:t>
            </w:r>
            <w:r>
              <w:rPr>
                <w:rFonts w:hint="eastAsia" w:ascii="宋体" w:hAnsi="宋体" w:cs="宋体"/>
                <w:color w:val="auto"/>
                <w:sz w:val="21"/>
                <w:szCs w:val="21"/>
                <w:highlight w:val="none"/>
                <w:lang w:eastAsia="zh-CN"/>
              </w:rPr>
              <w:t>任意</w:t>
            </w:r>
            <w:r>
              <w:rPr>
                <w:rFonts w:hint="eastAsia" w:ascii="宋体" w:hAnsi="宋体" w:eastAsia="宋体" w:cs="宋体"/>
                <w:color w:val="auto"/>
                <w:sz w:val="21"/>
                <w:szCs w:val="21"/>
                <w:highlight w:val="none"/>
              </w:rPr>
              <w:t>两项要求得2分，满足以上一项要求得1分，其它情况不得分。</w:t>
            </w:r>
          </w:p>
        </w:tc>
        <w:tc>
          <w:tcPr>
            <w:tcW w:w="423" w:type="pct"/>
            <w:tcBorders>
              <w:right w:val="single" w:color="auto" w:sz="4" w:space="0"/>
            </w:tcBorders>
            <w:vAlign w:val="center"/>
          </w:tcPr>
          <w:p>
            <w:pPr>
              <w:spacing w:line="240" w:lineRule="auto"/>
              <w:jc w:val="center"/>
              <w:rPr>
                <w:rFonts w:ascii="宋体" w:hAnsi="宋体" w:cs="宋体"/>
                <w:color w:val="auto"/>
                <w:szCs w:val="21"/>
                <w:highlight w:val="none"/>
              </w:rPr>
            </w:pPr>
            <w:r>
              <w:rPr>
                <w:rFonts w:hint="eastAsia" w:ascii="宋体" w:hAnsi="宋体" w:cs="宋体"/>
                <w:color w:val="auto"/>
                <w:kern w:val="0"/>
                <w:sz w:val="21"/>
                <w:szCs w:val="21"/>
                <w:highlight w:val="none"/>
                <w:lang w:val="en-US" w:eastAsia="zh-CN"/>
              </w:rPr>
              <w:t>10</w:t>
            </w:r>
          </w:p>
        </w:tc>
        <w:tc>
          <w:tcPr>
            <w:tcW w:w="381" w:type="pct"/>
            <w:tcBorders>
              <w:left w:val="single" w:color="auto" w:sz="4" w:space="0"/>
            </w:tcBorders>
            <w:vAlign w:val="center"/>
          </w:tcPr>
          <w:p>
            <w:pPr>
              <w:spacing w:line="240" w:lineRule="auto"/>
              <w:jc w:val="center"/>
              <w:rPr>
                <w:rFonts w:ascii="宋体" w:hAnsi="宋体" w:cs="宋体"/>
                <w:color w:val="auto"/>
                <w:szCs w:val="21"/>
                <w:highlight w:val="none"/>
              </w:rPr>
            </w:pPr>
            <w:r>
              <w:rPr>
                <w:rFonts w:hint="eastAsia" w:ascii="宋体" w:hAnsi="宋体" w:cs="宋体"/>
                <w:color w:val="auto"/>
                <w:kern w:val="0"/>
                <w:sz w:val="21"/>
                <w:szCs w:val="21"/>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12" w:type="pct"/>
            <w:tcBorders>
              <w:top w:val="single" w:color="auto" w:sz="4" w:space="0"/>
            </w:tcBorders>
            <w:vAlign w:val="center"/>
          </w:tcPr>
          <w:p>
            <w:pPr>
              <w:pStyle w:val="84"/>
              <w:numPr>
                <w:ilvl w:val="0"/>
                <w:numId w:val="8"/>
              </w:numPr>
              <w:ind w:firstLineChars="0"/>
              <w:jc w:val="right"/>
              <w:rPr>
                <w:rFonts w:ascii="宋体" w:hAnsi="宋体"/>
                <w:color w:val="auto"/>
                <w:szCs w:val="21"/>
                <w:highlight w:val="none"/>
              </w:rPr>
            </w:pPr>
          </w:p>
        </w:tc>
        <w:tc>
          <w:tcPr>
            <w:tcW w:w="797" w:type="pct"/>
            <w:vAlign w:val="center"/>
          </w:tcPr>
          <w:p>
            <w:pPr>
              <w:widowControl w:val="0"/>
              <w:autoSpaceDE w:val="0"/>
              <w:autoSpaceDN w:val="0"/>
              <w:adjustRightInd w:val="0"/>
              <w:jc w:val="center"/>
              <w:rPr>
                <w:rFonts w:ascii="宋体" w:hAnsi="宋体"/>
                <w:color w:val="auto"/>
                <w:kern w:val="0"/>
                <w:highlight w:val="none"/>
              </w:rPr>
            </w:pPr>
            <w:r>
              <w:rPr>
                <w:rFonts w:hint="eastAsia" w:ascii="宋体" w:hAnsi="宋体"/>
                <w:color w:val="auto"/>
                <w:kern w:val="0"/>
                <w:highlight w:val="none"/>
              </w:rPr>
              <w:t>质量管理及质量保证措施</w:t>
            </w:r>
          </w:p>
          <w:p>
            <w:pPr>
              <w:wordWrap w:val="0"/>
              <w:spacing w:line="240" w:lineRule="auto"/>
              <w:jc w:val="center"/>
              <w:rPr>
                <w:rFonts w:ascii="宋体" w:hAnsi="宋体"/>
                <w:color w:val="auto"/>
                <w:szCs w:val="21"/>
                <w:highlight w:val="none"/>
              </w:rPr>
            </w:pPr>
          </w:p>
        </w:tc>
        <w:tc>
          <w:tcPr>
            <w:tcW w:w="3084" w:type="pct"/>
            <w:vAlign w:val="center"/>
          </w:tcPr>
          <w:p>
            <w:pPr>
              <w:widowControl/>
              <w:tabs>
                <w:tab w:val="left" w:pos="451"/>
              </w:tabs>
              <w:adjustRightInd w:val="0"/>
              <w:snapToGrid w:val="0"/>
              <w:spacing w:line="240" w:lineRule="auto"/>
              <w:jc w:val="left"/>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（一）评分内容：</w:t>
            </w:r>
          </w:p>
          <w:p>
            <w:pPr>
              <w:widowControl/>
              <w:tabs>
                <w:tab w:val="left" w:pos="451"/>
              </w:tabs>
              <w:adjustRightInd w:val="0"/>
              <w:snapToGrid w:val="0"/>
              <w:spacing w:line="240" w:lineRule="auto"/>
              <w:jc w:val="left"/>
              <w:rPr>
                <w:rFonts w:hint="eastAsia" w:ascii="宋体" w:hAnsi="宋体" w:eastAsia="宋体"/>
                <w:color w:val="auto"/>
                <w:kern w:val="0"/>
                <w:highlight w:val="none"/>
                <w:lang w:eastAsia="zh-CN"/>
              </w:rPr>
            </w:pPr>
            <w:r>
              <w:rPr>
                <w:rFonts w:hint="eastAsia" w:asciiTheme="minorEastAsia" w:hAnsiTheme="minorEastAsia" w:eastAsiaTheme="minorEastAsia" w:cstheme="minorEastAsia"/>
                <w:b w:val="0"/>
                <w:bCs w:val="0"/>
                <w:color w:val="auto"/>
                <w:highlight w:val="none"/>
                <w:lang w:val="en-US" w:eastAsia="zh-CN"/>
              </w:rPr>
              <w:t>根据投标人</w:t>
            </w:r>
            <w:r>
              <w:rPr>
                <w:rFonts w:hint="eastAsia" w:ascii="宋体" w:hAnsi="宋体"/>
                <w:color w:val="auto"/>
                <w:kern w:val="0"/>
                <w:highlight w:val="none"/>
              </w:rPr>
              <w:t>提供的质量管理及质量保证措施</w:t>
            </w:r>
            <w:r>
              <w:rPr>
                <w:rFonts w:hint="eastAsia" w:ascii="宋体" w:hAnsi="宋体"/>
                <w:color w:val="auto"/>
                <w:kern w:val="0"/>
                <w:highlight w:val="none"/>
                <w:lang w:eastAsia="zh-CN"/>
              </w:rPr>
              <w:t>进行打分：</w:t>
            </w:r>
          </w:p>
          <w:p>
            <w:pPr>
              <w:widowControl/>
              <w:tabs>
                <w:tab w:val="left" w:pos="451"/>
              </w:tabs>
              <w:adjustRightInd w:val="0"/>
              <w:snapToGrid w:val="0"/>
              <w:spacing w:line="240" w:lineRule="auto"/>
              <w:jc w:val="left"/>
              <w:rPr>
                <w:rFonts w:hint="eastAsia" w:asciiTheme="minorEastAsia" w:hAnsiTheme="minorEastAsia" w:eastAsiaTheme="minorEastAsia" w:cstheme="minorEastAsia"/>
                <w:b/>
                <w:bCs w:val="0"/>
                <w:color w:val="auto"/>
                <w:sz w:val="21"/>
                <w:szCs w:val="21"/>
                <w:highlight w:val="none"/>
                <w:lang w:eastAsia="zh-CN"/>
              </w:rPr>
            </w:pPr>
            <w:r>
              <w:rPr>
                <w:rFonts w:hint="eastAsia" w:asciiTheme="minorEastAsia" w:hAnsiTheme="minorEastAsia" w:eastAsiaTheme="minorEastAsia" w:cstheme="minorEastAsia"/>
                <w:b/>
                <w:bCs w:val="0"/>
                <w:color w:val="auto"/>
                <w:sz w:val="21"/>
                <w:szCs w:val="21"/>
                <w:highlight w:val="none"/>
                <w:lang w:eastAsia="zh-CN"/>
              </w:rPr>
              <w:t>（二）评分标准：</w:t>
            </w:r>
          </w:p>
          <w:p>
            <w:pPr>
              <w:widowControl/>
              <w:tabs>
                <w:tab w:val="left" w:pos="451"/>
              </w:tabs>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以</w:t>
            </w:r>
            <w:r>
              <w:rPr>
                <w:rFonts w:hint="eastAsia" w:ascii="宋体" w:hAnsi="宋体" w:eastAsia="宋体" w:cs="宋体"/>
                <w:bCs/>
                <w:color w:val="auto"/>
                <w:kern w:val="0"/>
                <w:sz w:val="21"/>
                <w:szCs w:val="21"/>
                <w:highlight w:val="none"/>
                <w:lang w:val="en-US" w:eastAsia="zh-CN"/>
              </w:rPr>
              <w:t>上</w:t>
            </w:r>
            <w:r>
              <w:rPr>
                <w:rFonts w:hint="eastAsia" w:ascii="宋体" w:hAnsi="宋体" w:eastAsia="宋体" w:cs="宋体"/>
                <w:bCs/>
                <w:color w:val="auto"/>
                <w:kern w:val="0"/>
                <w:sz w:val="21"/>
                <w:szCs w:val="21"/>
                <w:highlight w:val="none"/>
              </w:rPr>
              <w:t>内容提供完全得3分，</w:t>
            </w:r>
            <w:r>
              <w:rPr>
                <w:rFonts w:hint="eastAsia" w:ascii="宋体" w:hAnsi="宋体" w:cs="宋体"/>
                <w:bCs/>
                <w:color w:val="auto"/>
                <w:kern w:val="0"/>
                <w:sz w:val="21"/>
                <w:szCs w:val="21"/>
                <w:highlight w:val="none"/>
                <w:lang w:val="en-US" w:eastAsia="zh-CN"/>
              </w:rPr>
              <w:t>否则不得分</w:t>
            </w:r>
            <w:r>
              <w:rPr>
                <w:rFonts w:hint="eastAsia" w:ascii="宋体" w:hAnsi="宋体" w:eastAsia="宋体" w:cs="宋体"/>
                <w:bCs/>
                <w:color w:val="auto"/>
                <w:kern w:val="0"/>
                <w:sz w:val="21"/>
                <w:szCs w:val="21"/>
                <w:highlight w:val="none"/>
              </w:rPr>
              <w:t>。</w:t>
            </w:r>
          </w:p>
          <w:p>
            <w:pPr>
              <w:widowControl/>
              <w:tabs>
                <w:tab w:val="left" w:pos="451"/>
              </w:tabs>
              <w:adjustRightInd w:val="0"/>
              <w:snapToGrid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在投标人以上内容提供的基础上，评审委员会根据以下评审标准打分：</w:t>
            </w:r>
          </w:p>
          <w:p>
            <w:pPr>
              <w:widowControl w:val="0"/>
              <w:autoSpaceDE w:val="0"/>
              <w:autoSpaceDN w:val="0"/>
              <w:adjustRightInd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olor w:val="auto"/>
                <w:kern w:val="0"/>
                <w:highlight w:val="none"/>
              </w:rPr>
              <w:t>质量管理及质量保证措施</w:t>
            </w:r>
            <w:r>
              <w:rPr>
                <w:rFonts w:hint="eastAsia" w:ascii="宋体" w:hAnsi="宋体" w:eastAsia="宋体" w:cs="宋体"/>
                <w:color w:val="auto"/>
                <w:sz w:val="21"/>
                <w:szCs w:val="21"/>
                <w:highlight w:val="none"/>
              </w:rPr>
              <w:t>内容全面；</w:t>
            </w:r>
          </w:p>
          <w:p>
            <w:pPr>
              <w:widowControl w:val="0"/>
              <w:autoSpaceDE w:val="0"/>
              <w:autoSpaceDN w:val="0"/>
              <w:adjustRightInd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olor w:val="auto"/>
                <w:kern w:val="0"/>
                <w:highlight w:val="none"/>
              </w:rPr>
              <w:t>质量管理及质量保证措施</w:t>
            </w:r>
            <w:r>
              <w:rPr>
                <w:rFonts w:hint="eastAsia" w:ascii="宋体" w:hAnsi="宋体" w:eastAsia="宋体" w:cs="宋体"/>
                <w:color w:val="auto"/>
                <w:sz w:val="21"/>
                <w:szCs w:val="21"/>
                <w:highlight w:val="none"/>
              </w:rPr>
              <w:t>内容具体，表述清晰、完整、严谨；</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olor w:val="auto"/>
                <w:kern w:val="0"/>
                <w:highlight w:val="none"/>
              </w:rPr>
              <w:t>质量管理及质量保证措施</w:t>
            </w:r>
            <w:r>
              <w:rPr>
                <w:rFonts w:hint="eastAsia" w:ascii="宋体" w:hAnsi="宋体" w:eastAsia="宋体" w:cs="宋体"/>
                <w:color w:val="auto"/>
                <w:sz w:val="21"/>
                <w:szCs w:val="21"/>
                <w:highlight w:val="none"/>
              </w:rPr>
              <w:t>内容针对性强；</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olor w:val="auto"/>
                <w:kern w:val="0"/>
                <w:highlight w:val="none"/>
              </w:rPr>
              <w:t>质量管理及质量保证措施</w:t>
            </w:r>
            <w:r>
              <w:rPr>
                <w:rFonts w:hint="eastAsia" w:ascii="宋体" w:hAnsi="宋体" w:eastAsia="宋体" w:cs="宋体"/>
                <w:color w:val="auto"/>
                <w:sz w:val="21"/>
                <w:szCs w:val="21"/>
                <w:highlight w:val="none"/>
              </w:rPr>
              <w:t>内容内容先进，科学合理；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olor w:val="auto"/>
                <w:kern w:val="0"/>
                <w:highlight w:val="none"/>
              </w:rPr>
              <w:t>质量管理及质量保证措施</w:t>
            </w:r>
            <w:r>
              <w:rPr>
                <w:rFonts w:hint="eastAsia" w:ascii="宋体" w:hAnsi="宋体" w:eastAsia="宋体" w:cs="宋体"/>
                <w:color w:val="auto"/>
                <w:sz w:val="21"/>
                <w:szCs w:val="21"/>
                <w:highlight w:val="none"/>
              </w:rPr>
              <w:t>内容可操作性强；</w:t>
            </w:r>
          </w:p>
          <w:p>
            <w:pPr>
              <w:wordWrap w:val="0"/>
              <w:spacing w:line="240" w:lineRule="auto"/>
              <w:jc w:val="left"/>
              <w:rPr>
                <w:rFonts w:ascii="宋体" w:hAnsi="宋体" w:cs="宋体"/>
                <w:color w:val="auto"/>
                <w:szCs w:val="21"/>
                <w:highlight w:val="none"/>
              </w:rPr>
            </w:pPr>
            <w:r>
              <w:rPr>
                <w:rFonts w:hint="eastAsia" w:ascii="宋体" w:hAnsi="宋体" w:eastAsia="宋体" w:cs="宋体"/>
                <w:color w:val="auto"/>
                <w:sz w:val="21"/>
                <w:szCs w:val="21"/>
                <w:highlight w:val="none"/>
              </w:rPr>
              <w:t>满足以上五项要求得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分，满足以上</w:t>
            </w:r>
            <w:r>
              <w:rPr>
                <w:rFonts w:hint="eastAsia" w:ascii="宋体" w:hAnsi="宋体" w:cs="宋体"/>
                <w:color w:val="auto"/>
                <w:sz w:val="21"/>
                <w:szCs w:val="21"/>
                <w:highlight w:val="none"/>
                <w:lang w:eastAsia="zh-CN"/>
              </w:rPr>
              <w:t>任意</w:t>
            </w:r>
            <w:r>
              <w:rPr>
                <w:rFonts w:hint="eastAsia" w:ascii="宋体" w:hAnsi="宋体" w:eastAsia="宋体" w:cs="宋体"/>
                <w:color w:val="auto"/>
                <w:sz w:val="21"/>
                <w:szCs w:val="21"/>
                <w:highlight w:val="none"/>
              </w:rPr>
              <w:t>四项要求得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分，满足以上</w:t>
            </w:r>
            <w:r>
              <w:rPr>
                <w:rFonts w:hint="eastAsia" w:ascii="宋体" w:hAnsi="宋体" w:cs="宋体"/>
                <w:color w:val="auto"/>
                <w:sz w:val="21"/>
                <w:szCs w:val="21"/>
                <w:highlight w:val="none"/>
                <w:lang w:eastAsia="zh-CN"/>
              </w:rPr>
              <w:t>任意</w:t>
            </w:r>
            <w:r>
              <w:rPr>
                <w:rFonts w:hint="eastAsia" w:ascii="宋体" w:hAnsi="宋体" w:eastAsia="宋体" w:cs="宋体"/>
                <w:color w:val="auto"/>
                <w:sz w:val="21"/>
                <w:szCs w:val="21"/>
                <w:highlight w:val="none"/>
              </w:rPr>
              <w:t>三项要求得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分，满足以上</w:t>
            </w:r>
            <w:r>
              <w:rPr>
                <w:rFonts w:hint="eastAsia" w:ascii="宋体" w:hAnsi="宋体" w:cs="宋体"/>
                <w:color w:val="auto"/>
                <w:sz w:val="21"/>
                <w:szCs w:val="21"/>
                <w:highlight w:val="none"/>
                <w:lang w:eastAsia="zh-CN"/>
              </w:rPr>
              <w:t>任意</w:t>
            </w:r>
            <w:r>
              <w:rPr>
                <w:rFonts w:hint="eastAsia" w:ascii="宋体" w:hAnsi="宋体" w:eastAsia="宋体" w:cs="宋体"/>
                <w:color w:val="auto"/>
                <w:sz w:val="21"/>
                <w:szCs w:val="21"/>
                <w:highlight w:val="none"/>
              </w:rPr>
              <w:t>两项要求得2分，满足以上一项要求得1分，其它情况不得分。</w:t>
            </w:r>
          </w:p>
        </w:tc>
        <w:tc>
          <w:tcPr>
            <w:tcW w:w="423" w:type="pct"/>
            <w:tcBorders>
              <w:right w:val="single" w:color="auto" w:sz="4" w:space="0"/>
            </w:tcBorders>
            <w:vAlign w:val="center"/>
          </w:tcPr>
          <w:p>
            <w:pPr>
              <w:spacing w:line="240" w:lineRule="auto"/>
              <w:jc w:val="center"/>
              <w:rPr>
                <w:rFonts w:ascii="宋体" w:hAnsi="宋体" w:cs="宋体"/>
                <w:color w:val="auto"/>
                <w:szCs w:val="21"/>
                <w:highlight w:val="none"/>
              </w:rPr>
            </w:pPr>
            <w:r>
              <w:rPr>
                <w:rFonts w:hint="eastAsia" w:ascii="宋体" w:hAnsi="宋体" w:cs="宋体"/>
                <w:color w:val="auto"/>
                <w:sz w:val="21"/>
                <w:szCs w:val="21"/>
                <w:highlight w:val="none"/>
                <w:lang w:val="en-US" w:eastAsia="zh-CN"/>
              </w:rPr>
              <w:t>10</w:t>
            </w:r>
          </w:p>
        </w:tc>
        <w:tc>
          <w:tcPr>
            <w:tcW w:w="381" w:type="pct"/>
            <w:tcBorders>
              <w:left w:val="single" w:color="auto" w:sz="4" w:space="0"/>
            </w:tcBorders>
            <w:vAlign w:val="center"/>
          </w:tcPr>
          <w:p>
            <w:pPr>
              <w:spacing w:line="240" w:lineRule="auto"/>
              <w:ind w:left="-78" w:leftChars="-37" w:right="-73" w:rightChars="-35"/>
              <w:jc w:val="center"/>
              <w:rPr>
                <w:rFonts w:ascii="宋体" w:hAnsi="宋体" w:cs="宋体"/>
                <w:color w:val="auto"/>
                <w:szCs w:val="21"/>
                <w:highlight w:val="none"/>
              </w:rPr>
            </w:pPr>
            <w:r>
              <w:rPr>
                <w:rFonts w:hint="eastAsia" w:ascii="宋体" w:hAnsi="宋体" w:cs="宋体"/>
                <w:color w:val="auto"/>
                <w:sz w:val="21"/>
                <w:szCs w:val="21"/>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12" w:type="pct"/>
            <w:tcBorders>
              <w:top w:val="single" w:color="auto" w:sz="4" w:space="0"/>
            </w:tcBorders>
            <w:vAlign w:val="center"/>
          </w:tcPr>
          <w:p>
            <w:pPr>
              <w:pStyle w:val="84"/>
              <w:numPr>
                <w:ilvl w:val="0"/>
                <w:numId w:val="8"/>
              </w:numPr>
              <w:ind w:firstLineChars="0"/>
              <w:jc w:val="right"/>
              <w:rPr>
                <w:rFonts w:ascii="宋体" w:hAnsi="宋体"/>
                <w:color w:val="auto"/>
                <w:szCs w:val="21"/>
                <w:highlight w:val="none"/>
              </w:rPr>
            </w:pPr>
          </w:p>
        </w:tc>
        <w:tc>
          <w:tcPr>
            <w:tcW w:w="797" w:type="pct"/>
            <w:vAlign w:val="center"/>
          </w:tcPr>
          <w:p>
            <w:pPr>
              <w:wordWrap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p>
          <w:p>
            <w:pPr>
              <w:wordWrap w:val="0"/>
              <w:spacing w:line="240" w:lineRule="auto"/>
              <w:jc w:val="center"/>
              <w:rPr>
                <w:rFonts w:ascii="宋体" w:hAnsi="宋体"/>
                <w:color w:val="auto"/>
                <w:szCs w:val="21"/>
                <w:highlight w:val="none"/>
              </w:rPr>
            </w:pPr>
            <w:r>
              <w:rPr>
                <w:rFonts w:hint="eastAsia" w:ascii="宋体" w:hAnsi="宋体" w:eastAsia="宋体" w:cs="宋体"/>
                <w:color w:val="auto"/>
                <w:sz w:val="21"/>
                <w:szCs w:val="21"/>
                <w:highlight w:val="none"/>
              </w:rPr>
              <w:t>方案</w:t>
            </w:r>
          </w:p>
        </w:tc>
        <w:tc>
          <w:tcPr>
            <w:tcW w:w="3084" w:type="pct"/>
            <w:vAlign w:val="center"/>
          </w:tcPr>
          <w:p>
            <w:pPr>
              <w:spacing w:line="240" w:lineRule="auto"/>
              <w:jc w:val="left"/>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（一）评分内容：</w:t>
            </w:r>
          </w:p>
          <w:p>
            <w:pPr>
              <w:spacing w:line="240" w:lineRule="auto"/>
              <w:jc w:val="left"/>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b w:val="0"/>
                <w:bCs w:val="0"/>
                <w:color w:val="auto"/>
                <w:highlight w:val="none"/>
                <w:lang w:val="en-US" w:eastAsia="zh-CN"/>
              </w:rPr>
              <w:t>根据投标人</w:t>
            </w:r>
            <w:r>
              <w:rPr>
                <w:rFonts w:hint="eastAsia" w:ascii="宋体" w:hAnsi="宋体"/>
                <w:color w:val="auto"/>
                <w:kern w:val="0"/>
                <w:highlight w:val="none"/>
              </w:rPr>
              <w:t>提供的</w:t>
            </w:r>
            <w:r>
              <w:rPr>
                <w:rFonts w:hint="eastAsia" w:ascii="宋体" w:hAnsi="宋体" w:eastAsia="宋体" w:cs="宋体"/>
                <w:color w:val="auto"/>
                <w:sz w:val="21"/>
                <w:szCs w:val="21"/>
                <w:highlight w:val="none"/>
              </w:rPr>
              <w:t>售后服务方案</w:t>
            </w:r>
            <w:r>
              <w:rPr>
                <w:rFonts w:hint="eastAsia" w:ascii="宋体" w:hAnsi="宋体" w:cs="宋体"/>
                <w:color w:val="auto"/>
                <w:sz w:val="21"/>
                <w:szCs w:val="21"/>
                <w:highlight w:val="none"/>
                <w:lang w:eastAsia="zh-CN"/>
              </w:rPr>
              <w:t>进行打分</w:t>
            </w:r>
            <w:r>
              <w:rPr>
                <w:rFonts w:hint="eastAsia" w:ascii="宋体" w:hAnsi="宋体" w:eastAsia="宋体" w:cs="宋体"/>
                <w:color w:val="auto"/>
                <w:sz w:val="21"/>
                <w:szCs w:val="21"/>
                <w:highlight w:val="none"/>
              </w:rPr>
              <w:t>：</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1.针对采购人使用产品后反馈的跟踪和评估；</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2.根据使用情况对产品的改良计划。</w:t>
            </w:r>
          </w:p>
          <w:p>
            <w:pPr>
              <w:widowControl/>
              <w:tabs>
                <w:tab w:val="left" w:pos="451"/>
              </w:tabs>
              <w:adjustRightInd w:val="0"/>
              <w:snapToGrid w:val="0"/>
              <w:spacing w:line="240" w:lineRule="auto"/>
              <w:jc w:val="left"/>
              <w:rPr>
                <w:rFonts w:hint="eastAsia" w:asciiTheme="minorEastAsia" w:hAnsiTheme="minorEastAsia" w:eastAsiaTheme="minorEastAsia" w:cstheme="minorEastAsia"/>
                <w:b/>
                <w:bCs w:val="0"/>
                <w:color w:val="auto"/>
                <w:sz w:val="21"/>
                <w:szCs w:val="21"/>
                <w:highlight w:val="none"/>
                <w:lang w:eastAsia="zh-CN"/>
              </w:rPr>
            </w:pPr>
            <w:r>
              <w:rPr>
                <w:rFonts w:hint="eastAsia" w:asciiTheme="minorEastAsia" w:hAnsiTheme="minorEastAsia" w:eastAsiaTheme="minorEastAsia" w:cstheme="minorEastAsia"/>
                <w:b/>
                <w:bCs w:val="0"/>
                <w:color w:val="auto"/>
                <w:sz w:val="21"/>
                <w:szCs w:val="21"/>
                <w:highlight w:val="none"/>
                <w:lang w:eastAsia="zh-CN"/>
              </w:rPr>
              <w:t>（二）评分标准：</w:t>
            </w:r>
          </w:p>
          <w:p>
            <w:pPr>
              <w:widowControl/>
              <w:tabs>
                <w:tab w:val="left" w:pos="451"/>
              </w:tabs>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以</w:t>
            </w:r>
            <w:r>
              <w:rPr>
                <w:rFonts w:hint="eastAsia" w:ascii="宋体" w:hAnsi="宋体" w:eastAsia="宋体" w:cs="宋体"/>
                <w:bCs/>
                <w:color w:val="auto"/>
                <w:kern w:val="0"/>
                <w:sz w:val="21"/>
                <w:szCs w:val="21"/>
                <w:highlight w:val="none"/>
                <w:lang w:val="en-US" w:eastAsia="zh-CN"/>
              </w:rPr>
              <w:t>上</w:t>
            </w:r>
            <w:r>
              <w:rPr>
                <w:rFonts w:hint="eastAsia" w:ascii="宋体" w:hAnsi="宋体" w:eastAsia="宋体" w:cs="宋体"/>
                <w:bCs/>
                <w:color w:val="auto"/>
                <w:kern w:val="0"/>
                <w:sz w:val="21"/>
                <w:szCs w:val="21"/>
                <w:highlight w:val="none"/>
              </w:rPr>
              <w:t>内容提供完全得</w:t>
            </w:r>
            <w:r>
              <w:rPr>
                <w:rFonts w:hint="eastAsia" w:ascii="宋体" w:hAnsi="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分，每缺一项扣</w:t>
            </w:r>
            <w:r>
              <w:rPr>
                <w:rFonts w:hint="eastAsia" w:ascii="宋体" w:hAnsi="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分，</w:t>
            </w:r>
            <w:r>
              <w:rPr>
                <w:rFonts w:hint="eastAsia" w:ascii="宋体" w:hAnsi="宋体" w:cs="宋体"/>
                <w:bCs/>
                <w:color w:val="auto"/>
                <w:kern w:val="0"/>
                <w:sz w:val="21"/>
                <w:szCs w:val="21"/>
                <w:highlight w:val="none"/>
                <w:lang w:eastAsia="zh-CN"/>
              </w:rPr>
              <w:t>最低</w:t>
            </w:r>
            <w:r>
              <w:rPr>
                <w:rFonts w:hint="eastAsia" w:ascii="宋体" w:hAnsi="宋体" w:cs="宋体"/>
                <w:bCs/>
                <w:color w:val="auto"/>
                <w:kern w:val="0"/>
                <w:sz w:val="21"/>
                <w:szCs w:val="21"/>
                <w:highlight w:val="none"/>
                <w:lang w:val="en-US" w:eastAsia="zh-CN"/>
              </w:rPr>
              <w:t>0分</w:t>
            </w:r>
            <w:r>
              <w:rPr>
                <w:rFonts w:hint="eastAsia" w:ascii="宋体" w:hAnsi="宋体" w:eastAsia="宋体" w:cs="宋体"/>
                <w:bCs/>
                <w:color w:val="auto"/>
                <w:kern w:val="0"/>
                <w:sz w:val="21"/>
                <w:szCs w:val="21"/>
                <w:highlight w:val="none"/>
              </w:rPr>
              <w:t>。</w:t>
            </w:r>
          </w:p>
          <w:p>
            <w:pPr>
              <w:widowControl/>
              <w:tabs>
                <w:tab w:val="left" w:pos="451"/>
              </w:tabs>
              <w:adjustRightInd w:val="0"/>
              <w:snapToGrid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在投标人以上内容提供的基础上，评审委员会根据以下评审标准打分：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（1）售后服务方案内容全面；</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（2）售后服务方案内容具体，表述清晰、完整、严谨；</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（3）售后服务方案内容针对性强；</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（4）售后服务方案内容先进，科学合理；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（5）售后服售方案内容可操作性强；</w:t>
            </w:r>
          </w:p>
          <w:p>
            <w:pPr>
              <w:wordWrap w:val="0"/>
              <w:spacing w:line="240" w:lineRule="auto"/>
              <w:jc w:val="left"/>
              <w:rPr>
                <w:rFonts w:ascii="宋体" w:hAnsi="宋体" w:cs="宋体"/>
                <w:color w:val="auto"/>
                <w:szCs w:val="21"/>
                <w:highlight w:val="none"/>
              </w:rPr>
            </w:pPr>
            <w:r>
              <w:rPr>
                <w:rFonts w:hint="eastAsia" w:ascii="宋体" w:hAnsi="宋体" w:eastAsia="宋体" w:cs="宋体"/>
                <w:color w:val="auto"/>
                <w:sz w:val="21"/>
                <w:szCs w:val="21"/>
                <w:highlight w:val="none"/>
              </w:rPr>
              <w:t>满足以上五项要求得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分，满足以上</w:t>
            </w:r>
            <w:r>
              <w:rPr>
                <w:rFonts w:hint="eastAsia" w:ascii="宋体" w:hAnsi="宋体" w:cs="宋体"/>
                <w:color w:val="auto"/>
                <w:sz w:val="21"/>
                <w:szCs w:val="21"/>
                <w:highlight w:val="none"/>
                <w:lang w:eastAsia="zh-CN"/>
              </w:rPr>
              <w:t>任意</w:t>
            </w:r>
            <w:r>
              <w:rPr>
                <w:rFonts w:hint="eastAsia" w:ascii="宋体" w:hAnsi="宋体" w:eastAsia="宋体" w:cs="宋体"/>
                <w:color w:val="auto"/>
                <w:sz w:val="21"/>
                <w:szCs w:val="21"/>
                <w:highlight w:val="none"/>
              </w:rPr>
              <w:t>四项要求得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分，满足以上</w:t>
            </w:r>
            <w:r>
              <w:rPr>
                <w:rFonts w:hint="eastAsia" w:ascii="宋体" w:hAnsi="宋体" w:cs="宋体"/>
                <w:color w:val="auto"/>
                <w:sz w:val="21"/>
                <w:szCs w:val="21"/>
                <w:highlight w:val="none"/>
                <w:lang w:eastAsia="zh-CN"/>
              </w:rPr>
              <w:t>任意</w:t>
            </w:r>
            <w:r>
              <w:rPr>
                <w:rFonts w:hint="eastAsia" w:ascii="宋体" w:hAnsi="宋体" w:eastAsia="宋体" w:cs="宋体"/>
                <w:color w:val="auto"/>
                <w:sz w:val="21"/>
                <w:szCs w:val="21"/>
                <w:highlight w:val="none"/>
              </w:rPr>
              <w:t>三项要求得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分，满足以上</w:t>
            </w:r>
            <w:r>
              <w:rPr>
                <w:rFonts w:hint="eastAsia" w:ascii="宋体" w:hAnsi="宋体" w:cs="宋体"/>
                <w:color w:val="auto"/>
                <w:sz w:val="21"/>
                <w:szCs w:val="21"/>
                <w:highlight w:val="none"/>
                <w:lang w:eastAsia="zh-CN"/>
              </w:rPr>
              <w:t>任意</w:t>
            </w:r>
            <w:r>
              <w:rPr>
                <w:rFonts w:hint="eastAsia" w:ascii="宋体" w:hAnsi="宋体" w:eastAsia="宋体" w:cs="宋体"/>
                <w:color w:val="auto"/>
                <w:sz w:val="21"/>
                <w:szCs w:val="21"/>
                <w:highlight w:val="none"/>
              </w:rPr>
              <w:t>两项要求得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分，满足以上</w:t>
            </w:r>
            <w:r>
              <w:rPr>
                <w:rFonts w:hint="eastAsia" w:ascii="宋体" w:hAnsi="宋体" w:cs="宋体"/>
                <w:color w:val="auto"/>
                <w:sz w:val="21"/>
                <w:szCs w:val="21"/>
                <w:highlight w:val="none"/>
                <w:lang w:eastAsia="zh-CN"/>
              </w:rPr>
              <w:t>任意</w:t>
            </w:r>
            <w:r>
              <w:rPr>
                <w:rFonts w:hint="eastAsia" w:ascii="宋体" w:hAnsi="宋体" w:eastAsia="宋体" w:cs="宋体"/>
                <w:color w:val="auto"/>
                <w:sz w:val="21"/>
                <w:szCs w:val="21"/>
                <w:highlight w:val="none"/>
              </w:rPr>
              <w:t>一项要求得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分，其它情况不得分。</w:t>
            </w:r>
          </w:p>
        </w:tc>
        <w:tc>
          <w:tcPr>
            <w:tcW w:w="423" w:type="pct"/>
            <w:tcBorders>
              <w:right w:val="single" w:color="auto" w:sz="4" w:space="0"/>
            </w:tcBorders>
            <w:vAlign w:val="center"/>
          </w:tcPr>
          <w:p>
            <w:pPr>
              <w:spacing w:line="240" w:lineRule="auto"/>
              <w:jc w:val="center"/>
              <w:rPr>
                <w:rFonts w:ascii="宋体" w:hAnsi="宋体" w:cs="宋体"/>
                <w:color w:val="auto"/>
                <w:szCs w:val="21"/>
                <w:highlight w:val="none"/>
              </w:rPr>
            </w:pPr>
            <w:r>
              <w:rPr>
                <w:rFonts w:hint="eastAsia" w:ascii="宋体" w:hAnsi="宋体" w:cs="宋体"/>
                <w:color w:val="auto"/>
                <w:sz w:val="21"/>
                <w:szCs w:val="21"/>
                <w:highlight w:val="none"/>
                <w:lang w:val="en-US" w:eastAsia="zh-CN"/>
              </w:rPr>
              <w:t>10</w:t>
            </w:r>
          </w:p>
        </w:tc>
        <w:tc>
          <w:tcPr>
            <w:tcW w:w="381" w:type="pct"/>
            <w:tcBorders>
              <w:left w:val="single" w:color="auto" w:sz="4" w:space="0"/>
            </w:tcBorders>
            <w:vAlign w:val="center"/>
          </w:tcPr>
          <w:p>
            <w:pPr>
              <w:spacing w:line="240" w:lineRule="auto"/>
              <w:ind w:left="-78" w:leftChars="-37" w:right="-73" w:rightChars="-35"/>
              <w:jc w:val="center"/>
              <w:rPr>
                <w:rFonts w:ascii="宋体" w:hAnsi="宋体" w:cs="宋体"/>
                <w:color w:val="auto"/>
                <w:szCs w:val="21"/>
                <w:highlight w:val="none"/>
              </w:rPr>
            </w:pPr>
            <w:r>
              <w:rPr>
                <w:rFonts w:hint="eastAsia" w:ascii="宋体" w:hAnsi="宋体" w:cs="宋体"/>
                <w:color w:val="auto"/>
                <w:sz w:val="21"/>
                <w:szCs w:val="21"/>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312" w:type="pct"/>
            <w:tcBorders>
              <w:top w:val="single" w:color="auto" w:sz="4"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4687" w:type="pct"/>
            <w:gridSpan w:val="4"/>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15</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12" w:type="pct"/>
            <w:tcBorders>
              <w:bottom w:val="single" w:color="auto" w:sz="4" w:space="0"/>
            </w:tcBorders>
            <w:vAlign w:val="center"/>
          </w:tcPr>
          <w:p>
            <w:pPr>
              <w:pStyle w:val="84"/>
              <w:numPr>
                <w:ilvl w:val="0"/>
                <w:numId w:val="9"/>
              </w:numPr>
              <w:ind w:firstLineChars="0"/>
              <w:jc w:val="center"/>
              <w:rPr>
                <w:rFonts w:ascii="宋体" w:hAnsi="宋体"/>
                <w:color w:val="auto"/>
                <w:szCs w:val="21"/>
                <w:highlight w:val="none"/>
              </w:rPr>
            </w:pPr>
          </w:p>
        </w:tc>
        <w:tc>
          <w:tcPr>
            <w:tcW w:w="797" w:type="pct"/>
            <w:vAlign w:val="center"/>
          </w:tcPr>
          <w:p>
            <w:pPr>
              <w:spacing w:line="240" w:lineRule="auto"/>
              <w:ind w:left="-63" w:leftChars="-30" w:right="-88" w:rightChars="-42"/>
              <w:jc w:val="center"/>
              <w:rPr>
                <w:rFonts w:ascii="宋体" w:hAnsi="宋体" w:cs="宋体"/>
                <w:color w:val="auto"/>
                <w:szCs w:val="21"/>
                <w:highlight w:val="none"/>
              </w:rPr>
            </w:pPr>
            <w:r>
              <w:rPr>
                <w:rFonts w:hint="eastAsia" w:ascii="宋体" w:hAnsi="宋体" w:eastAsia="宋体" w:cs="宋体"/>
                <w:color w:val="auto"/>
                <w:kern w:val="0"/>
                <w:sz w:val="21"/>
                <w:szCs w:val="21"/>
                <w:highlight w:val="none"/>
              </w:rPr>
              <w:t>同类业绩</w:t>
            </w:r>
          </w:p>
        </w:tc>
        <w:tc>
          <w:tcPr>
            <w:tcW w:w="3084" w:type="pct"/>
            <w:vAlign w:val="center"/>
          </w:tcPr>
          <w:p>
            <w:pPr>
              <w:spacing w:line="24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（一）评审内容：</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年1月1日至</w:t>
            </w:r>
            <w:r>
              <w:rPr>
                <w:rFonts w:hint="eastAsia" w:ascii="宋体" w:hAnsi="宋体" w:eastAsia="宋体" w:cs="宋体"/>
                <w:bCs/>
                <w:color w:val="auto"/>
                <w:sz w:val="21"/>
                <w:szCs w:val="21"/>
                <w:highlight w:val="none"/>
              </w:rPr>
              <w:t>本项目</w:t>
            </w:r>
            <w:r>
              <w:rPr>
                <w:rFonts w:hint="eastAsia" w:ascii="宋体" w:hAnsi="宋体" w:cs="宋体"/>
                <w:bCs/>
                <w:color w:val="auto"/>
                <w:sz w:val="21"/>
                <w:szCs w:val="21"/>
                <w:highlight w:val="none"/>
                <w:lang w:val="en-US" w:eastAsia="zh-CN"/>
              </w:rPr>
              <w:t>投标截止</w:t>
            </w:r>
            <w:r>
              <w:rPr>
                <w:rFonts w:hint="eastAsia" w:ascii="宋体" w:hAnsi="宋体" w:eastAsia="宋体" w:cs="宋体"/>
                <w:bCs/>
                <w:color w:val="auto"/>
                <w:sz w:val="21"/>
                <w:szCs w:val="21"/>
                <w:highlight w:val="none"/>
              </w:rPr>
              <w:t>之日</w:t>
            </w:r>
            <w:r>
              <w:rPr>
                <w:rFonts w:hint="eastAsia" w:ascii="宋体" w:hAnsi="宋体" w:cs="宋体"/>
                <w:bCs/>
                <w:color w:val="auto"/>
                <w:sz w:val="21"/>
                <w:szCs w:val="21"/>
                <w:highlight w:val="none"/>
                <w:lang w:eastAsia="zh-CN"/>
              </w:rPr>
              <w:t>（以合同签订日期为准）</w:t>
            </w:r>
            <w:r>
              <w:rPr>
                <w:rFonts w:hint="eastAsia" w:ascii="宋体" w:hAnsi="宋体" w:eastAsia="宋体" w:cs="宋体"/>
                <w:bCs/>
                <w:color w:val="auto"/>
                <w:sz w:val="21"/>
                <w:szCs w:val="21"/>
                <w:highlight w:val="none"/>
              </w:rPr>
              <w:t>的同类</w:t>
            </w:r>
            <w:r>
              <w:rPr>
                <w:rFonts w:hint="eastAsia" w:ascii="宋体" w:hAnsi="宋体" w:cs="宋体"/>
                <w:bCs/>
                <w:color w:val="auto"/>
                <w:szCs w:val="21"/>
                <w:highlight w:val="none"/>
              </w:rPr>
              <w:t>艾防硒标耗材</w:t>
            </w:r>
            <w:r>
              <w:rPr>
                <w:rFonts w:hint="eastAsia" w:ascii="宋体" w:hAnsi="宋体" w:cs="宋体"/>
                <w:color w:val="auto"/>
                <w:sz w:val="21"/>
                <w:szCs w:val="21"/>
                <w:highlight w:val="none"/>
                <w:lang w:eastAsia="zh-CN"/>
              </w:rPr>
              <w:t>相关</w:t>
            </w:r>
            <w:r>
              <w:rPr>
                <w:rFonts w:hint="eastAsia" w:ascii="宋体" w:hAnsi="宋体" w:eastAsia="宋体" w:cs="宋体"/>
                <w:color w:val="auto"/>
                <w:sz w:val="21"/>
                <w:szCs w:val="21"/>
                <w:highlight w:val="none"/>
              </w:rPr>
              <w:t>业绩，每提供一</w:t>
            </w:r>
            <w:r>
              <w:rPr>
                <w:rFonts w:hint="eastAsia" w:ascii="宋体" w:hAnsi="宋体" w:cs="宋体"/>
                <w:color w:val="auto"/>
                <w:sz w:val="21"/>
                <w:szCs w:val="21"/>
                <w:highlight w:val="none"/>
                <w:lang w:eastAsia="zh-CN"/>
              </w:rPr>
              <w:t>个</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spacing w:line="240" w:lineRule="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（二）</w:t>
            </w:r>
            <w:r>
              <w:rPr>
                <w:rFonts w:hint="eastAsia" w:ascii="宋体" w:hAnsi="宋体" w:eastAsia="宋体" w:cs="宋体"/>
                <w:b/>
                <w:color w:val="auto"/>
                <w:sz w:val="21"/>
                <w:szCs w:val="21"/>
                <w:highlight w:val="none"/>
              </w:rPr>
              <w:t>证明文件：</w:t>
            </w:r>
          </w:p>
          <w:p>
            <w:pPr>
              <w:spacing w:line="240" w:lineRule="auto"/>
              <w:rPr>
                <w:rFonts w:ascii="宋体" w:hAnsi="宋体"/>
                <w:color w:val="auto"/>
                <w:szCs w:val="21"/>
                <w:highlight w:val="none"/>
              </w:rPr>
            </w:pPr>
            <w:r>
              <w:rPr>
                <w:rFonts w:hint="eastAsia" w:ascii="宋体" w:hAnsi="宋体" w:eastAsia="宋体" w:cs="宋体"/>
                <w:color w:val="auto"/>
                <w:szCs w:val="21"/>
                <w:highlight w:val="none"/>
              </w:rPr>
              <w:t>以上</w:t>
            </w:r>
            <w:r>
              <w:rPr>
                <w:rFonts w:hint="eastAsia" w:ascii="宋体" w:hAnsi="宋体" w:eastAsia="宋体" w:cs="宋体"/>
                <w:color w:val="auto"/>
                <w:szCs w:val="21"/>
                <w:highlight w:val="none"/>
              </w:rPr>
              <w:t>提供合同关键页（含签订合同双方的单位名称、合同项目名称与含签订合同双方的落款盖章、签订日期的关键页）复印件加盖投标人公章，未提供或提供的不符合或提供不清晰导致无法判断的均不得分。</w:t>
            </w:r>
          </w:p>
        </w:tc>
        <w:tc>
          <w:tcPr>
            <w:tcW w:w="423" w:type="pct"/>
            <w:tcBorders>
              <w:right w:val="single" w:color="auto" w:sz="4" w:space="0"/>
            </w:tcBorders>
            <w:vAlign w:val="center"/>
          </w:tcPr>
          <w:p>
            <w:pPr>
              <w:spacing w:line="240" w:lineRule="auto"/>
              <w:ind w:left="-63" w:leftChars="-30" w:right="-88" w:rightChars="-42"/>
              <w:jc w:val="center"/>
              <w:rPr>
                <w:rFonts w:ascii="宋体" w:hAnsi="宋体"/>
                <w:color w:val="auto"/>
                <w:szCs w:val="21"/>
                <w:highlight w:val="none"/>
              </w:rPr>
            </w:pPr>
            <w:r>
              <w:rPr>
                <w:rFonts w:hint="eastAsia" w:ascii="宋体" w:hAnsi="宋体" w:cs="宋体"/>
                <w:color w:val="auto"/>
                <w:sz w:val="21"/>
                <w:szCs w:val="21"/>
                <w:highlight w:val="none"/>
                <w:lang w:val="en-US" w:eastAsia="zh-CN"/>
              </w:rPr>
              <w:t>10</w:t>
            </w:r>
          </w:p>
        </w:tc>
        <w:tc>
          <w:tcPr>
            <w:tcW w:w="381" w:type="pct"/>
            <w:tcBorders>
              <w:left w:val="single" w:color="auto" w:sz="4" w:space="0"/>
            </w:tcBorders>
            <w:vAlign w:val="center"/>
          </w:tcPr>
          <w:p>
            <w:pPr>
              <w:spacing w:line="240" w:lineRule="auto"/>
              <w:ind w:left="-78" w:leftChars="-37" w:right="-73" w:rightChars="-35"/>
              <w:jc w:val="center"/>
              <w:rPr>
                <w:rFonts w:ascii="宋体" w:hAnsi="宋体" w:cs="宋体"/>
                <w:color w:val="auto"/>
                <w:szCs w:val="21"/>
                <w:highlight w:val="none"/>
              </w:rPr>
            </w:pPr>
            <w:r>
              <w:rPr>
                <w:rFonts w:hint="eastAsia" w:ascii="宋体" w:hAnsi="宋体" w:cs="宋体"/>
                <w:color w:val="auto"/>
                <w:sz w:val="21"/>
                <w:szCs w:val="21"/>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12" w:type="pct"/>
            <w:tcBorders>
              <w:top w:val="single" w:color="auto" w:sz="4" w:space="0"/>
            </w:tcBorders>
            <w:vAlign w:val="center"/>
          </w:tcPr>
          <w:p>
            <w:pPr>
              <w:pStyle w:val="84"/>
              <w:numPr>
                <w:ilvl w:val="0"/>
                <w:numId w:val="9"/>
              </w:numPr>
              <w:ind w:firstLineChars="0"/>
              <w:jc w:val="center"/>
              <w:rPr>
                <w:rFonts w:ascii="宋体" w:hAnsi="宋体"/>
                <w:color w:val="auto"/>
                <w:szCs w:val="21"/>
                <w:highlight w:val="none"/>
              </w:rPr>
            </w:pPr>
          </w:p>
        </w:tc>
        <w:tc>
          <w:tcPr>
            <w:tcW w:w="797" w:type="pct"/>
            <w:vAlign w:val="center"/>
          </w:tcPr>
          <w:p>
            <w:pPr>
              <w:jc w:val="center"/>
              <w:rPr>
                <w:rFonts w:hint="eastAsia" w:ascii="宋体" w:hAnsi="宋体" w:eastAsia="宋体" w:cs="宋体"/>
                <w:bCs/>
                <w:color w:val="auto"/>
                <w:highlight w:val="none"/>
              </w:rPr>
            </w:pPr>
            <w:r>
              <w:rPr>
                <w:rFonts w:hint="eastAsia" w:ascii="宋体" w:hAnsi="宋体" w:eastAsia="宋体" w:cs="宋体"/>
                <w:color w:val="auto"/>
                <w:highlight w:val="none"/>
              </w:rPr>
              <w:t>诚信</w:t>
            </w:r>
          </w:p>
        </w:tc>
        <w:tc>
          <w:tcPr>
            <w:tcW w:w="3084" w:type="pct"/>
            <w:vAlign w:val="center"/>
          </w:tcPr>
          <w:p>
            <w:pPr>
              <w:spacing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投标人在参与政府采购活动中存在《深圳市财政局政府采购供应商信</w:t>
            </w:r>
            <w:r>
              <w:rPr>
                <w:rFonts w:hint="eastAsia" w:ascii="宋体" w:hAnsi="宋体" w:eastAsia="宋体" w:cs="宋体"/>
                <w:color w:val="auto"/>
                <w:szCs w:val="21"/>
                <w:highlight w:val="none"/>
                <w:lang w:val="en-US" w:eastAsia="zh-CN"/>
              </w:rPr>
              <w:t>用</w:t>
            </w:r>
            <w:r>
              <w:rPr>
                <w:rFonts w:hint="eastAsia" w:ascii="宋体" w:hAnsi="宋体" w:eastAsia="宋体" w:cs="宋体"/>
                <w:color w:val="auto"/>
                <w:szCs w:val="21"/>
                <w:highlight w:val="none"/>
              </w:rPr>
              <w:t>信息管理办法》第</w:t>
            </w:r>
            <w:r>
              <w:rPr>
                <w:rFonts w:hint="eastAsia" w:ascii="宋体" w:hAnsi="宋体" w:eastAsia="宋体" w:cs="宋体"/>
                <w:color w:val="auto"/>
                <w:szCs w:val="21"/>
                <w:highlight w:val="none"/>
                <w:lang w:val="en-US" w:eastAsia="zh-CN"/>
              </w:rPr>
              <w:t>十一</w:t>
            </w:r>
            <w:r>
              <w:rPr>
                <w:rFonts w:hint="eastAsia" w:ascii="宋体" w:hAnsi="宋体" w:eastAsia="宋体" w:cs="宋体"/>
                <w:color w:val="auto"/>
                <w:szCs w:val="21"/>
                <w:highlight w:val="none"/>
              </w:rPr>
              <w:t>条诚信相关问题且在主管部门相关处理措施实施期限内的，本项不得分，否则得满分。投标人无需提供任何证明材料，由工作人员查询后向评审委员会提供相关信息。</w:t>
            </w:r>
          </w:p>
        </w:tc>
        <w:tc>
          <w:tcPr>
            <w:tcW w:w="423" w:type="pct"/>
            <w:tcBorders>
              <w:right w:val="single" w:color="auto" w:sz="4" w:space="0"/>
            </w:tcBorders>
            <w:vAlign w:val="center"/>
          </w:tcPr>
          <w:p>
            <w:pPr>
              <w:ind w:left="-78" w:leftChars="-37" w:right="-73" w:rightChars="-35"/>
              <w:jc w:val="center"/>
              <w:rPr>
                <w:rFonts w:ascii="宋体" w:hAnsi="宋体"/>
                <w:color w:val="auto"/>
                <w:szCs w:val="21"/>
                <w:highlight w:val="none"/>
              </w:rPr>
            </w:pPr>
            <w:r>
              <w:rPr>
                <w:rFonts w:hint="eastAsia" w:ascii="宋体" w:hAnsi="宋体"/>
                <w:color w:val="auto"/>
                <w:szCs w:val="21"/>
                <w:highlight w:val="none"/>
              </w:rPr>
              <w:t>5</w:t>
            </w:r>
          </w:p>
        </w:tc>
        <w:tc>
          <w:tcPr>
            <w:tcW w:w="381" w:type="pct"/>
            <w:tcBorders>
              <w:left w:val="single" w:color="auto" w:sz="4"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312" w:type="pct"/>
            <w:tcBorders>
              <w:top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三</w:t>
            </w:r>
          </w:p>
        </w:tc>
        <w:tc>
          <w:tcPr>
            <w:tcW w:w="4687" w:type="pct"/>
            <w:gridSpan w:val="4"/>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trPr>
        <w:tc>
          <w:tcPr>
            <w:tcW w:w="312" w:type="pct"/>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797" w:type="pct"/>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3084" w:type="pct"/>
            <w:vAlign w:val="center"/>
          </w:tcPr>
          <w:p>
            <w:pPr>
              <w:autoSpaceDE w:val="0"/>
              <w:autoSpaceDN w:val="0"/>
              <w:adjustRightInd w:val="0"/>
              <w:snapToGrid w:val="0"/>
              <w:rPr>
                <w:rFonts w:ascii="宋体" w:hAnsi="宋体" w:cs="宋体"/>
                <w:color w:val="auto"/>
                <w:kern w:val="0"/>
                <w:szCs w:val="21"/>
                <w:highlight w:val="none"/>
              </w:rPr>
            </w:pPr>
            <w:r>
              <w:rPr>
                <w:rFonts w:ascii="宋体" w:hAnsi="宋体" w:cs="宋体"/>
                <w:color w:val="auto"/>
                <w:kern w:val="0"/>
                <w:szCs w:val="21"/>
                <w:highlight w:val="none"/>
              </w:rPr>
              <w:t>价格分</w:t>
            </w:r>
            <w:r>
              <w:rPr>
                <w:rFonts w:hint="eastAsia" w:ascii="宋体" w:hAnsi="宋体" w:cs="宋体"/>
                <w:color w:val="auto"/>
                <w:kern w:val="0"/>
                <w:szCs w:val="21"/>
                <w:highlight w:val="none"/>
              </w:rPr>
              <w:t>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highlight w:val="none"/>
              </w:rPr>
            </w:pPr>
            <w:r>
              <w:rPr>
                <w:rFonts w:hint="eastAsia" w:ascii="宋体" w:hAnsi="宋体"/>
                <w:bCs/>
                <w:color w:val="auto"/>
                <w:highlight w:val="none"/>
              </w:rPr>
              <w:t>备注：</w:t>
            </w:r>
          </w:p>
          <w:p>
            <w:pPr>
              <w:widowControl/>
              <w:jc w:val="left"/>
              <w:rPr>
                <w:rStyle w:val="46"/>
                <w:rFonts w:asciiTheme="minorHAnsi" w:hAnsiTheme="minorHAnsi" w:eastAsiaTheme="minorEastAsia" w:cstheme="minorBidi"/>
                <w:color w:val="auto"/>
                <w:highlight w:val="none"/>
              </w:rPr>
            </w:pPr>
            <w:r>
              <w:rPr>
                <w:rFonts w:hint="eastAsia" w:ascii="宋体" w:hAnsi="宋体"/>
                <w:bCs/>
                <w:color w:val="auto"/>
                <w:highlight w:val="none"/>
              </w:rPr>
              <w:t>投标报价得分四舍五入后，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tc>
        <w:tc>
          <w:tcPr>
            <w:tcW w:w="423" w:type="pct"/>
            <w:tcBorders>
              <w:right w:val="single" w:color="auto" w:sz="4"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c>
          <w:tcPr>
            <w:tcW w:w="381" w:type="pct"/>
            <w:tcBorders>
              <w:left w:val="single" w:color="auto" w:sz="4"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olor w:val="auto"/>
                <w:szCs w:val="21"/>
                <w:highlight w:val="none"/>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4194" w:type="pct"/>
            <w:gridSpan w:val="3"/>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合计</w:t>
            </w:r>
          </w:p>
        </w:tc>
        <w:tc>
          <w:tcPr>
            <w:tcW w:w="423" w:type="pct"/>
            <w:tcBorders>
              <w:right w:val="single" w:color="auto" w:sz="4"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rPr>
              <w:t>100</w:t>
            </w:r>
          </w:p>
        </w:tc>
        <w:tc>
          <w:tcPr>
            <w:tcW w:w="381" w:type="pct"/>
            <w:tcBorders>
              <w:left w:val="single" w:color="auto" w:sz="4"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rPr>
              <w:t>100</w:t>
            </w:r>
          </w:p>
        </w:tc>
      </w:tr>
    </w:tbl>
    <w:p>
      <w:pPr>
        <w:snapToGrid w:val="0"/>
        <w:spacing w:line="360" w:lineRule="auto"/>
        <w:rPr>
          <w:rFonts w:ascii="宋体" w:cs="宋体"/>
          <w:snapToGrid w:val="0"/>
          <w:color w:val="auto"/>
          <w:kern w:val="0"/>
          <w:highlight w:val="none"/>
        </w:rPr>
      </w:pPr>
      <w:r>
        <w:rPr>
          <w:rFonts w:hint="eastAsia" w:ascii="宋体" w:cs="宋体"/>
          <w:snapToGrid w:val="0"/>
          <w:color w:val="auto"/>
          <w:kern w:val="0"/>
          <w:highlight w:val="none"/>
        </w:rPr>
        <w:t>备注：</w:t>
      </w:r>
    </w:p>
    <w:p>
      <w:pPr>
        <w:numPr>
          <w:ilvl w:val="0"/>
          <w:numId w:val="10"/>
        </w:numPr>
        <w:snapToGrid w:val="0"/>
        <w:spacing w:line="360" w:lineRule="auto"/>
        <w:ind w:left="0" w:leftChars="0" w:firstLine="420" w:firstLineChars="0"/>
        <w:rPr>
          <w:rFonts w:ascii="宋体" w:hAnsi="宋体"/>
          <w:bCs/>
          <w:color w:val="auto"/>
          <w:highlight w:val="none"/>
        </w:rPr>
      </w:pPr>
      <w:r>
        <w:rPr>
          <w:rFonts w:hint="eastAsia" w:ascii="宋体" w:hAnsi="宋体"/>
          <w:bCs/>
          <w:color w:val="auto"/>
          <w:highlight w:val="none"/>
        </w:rPr>
        <w:t>招标文件要求提交的与评价指标体系相关的各类有效资料，投标人如未按要求提交的，该项评分为零分。</w:t>
      </w:r>
    </w:p>
    <w:p>
      <w:pPr>
        <w:numPr>
          <w:ilvl w:val="0"/>
          <w:numId w:val="10"/>
        </w:numPr>
        <w:snapToGrid w:val="0"/>
        <w:spacing w:line="360" w:lineRule="auto"/>
        <w:ind w:left="0" w:leftChars="0" w:firstLine="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诚信分</w:t>
      </w:r>
      <w:r>
        <w:rPr>
          <w:rFonts w:hint="eastAsia" w:ascii="宋体" w:hAnsi="宋体" w:cs="宋体"/>
          <w:color w:val="auto"/>
          <w:sz w:val="21"/>
          <w:szCs w:val="21"/>
          <w:highlight w:val="none"/>
          <w:lang w:val="en-US" w:eastAsia="zh-CN"/>
        </w:rPr>
        <w:t>评价依据及</w:t>
      </w:r>
      <w:r>
        <w:rPr>
          <w:rFonts w:hint="eastAsia" w:ascii="宋体" w:hAnsi="宋体" w:eastAsia="宋体" w:cs="宋体"/>
          <w:color w:val="auto"/>
          <w:sz w:val="21"/>
          <w:szCs w:val="21"/>
          <w:highlight w:val="none"/>
          <w:lang w:val="en-US" w:eastAsia="zh-CN"/>
        </w:rPr>
        <w:t>查询</w:t>
      </w:r>
      <w:r>
        <w:rPr>
          <w:rFonts w:hint="eastAsia" w:ascii="宋体" w:hAnsi="宋体" w:cs="宋体"/>
          <w:color w:val="auto"/>
          <w:sz w:val="21"/>
          <w:szCs w:val="21"/>
          <w:highlight w:val="none"/>
          <w:lang w:val="en-US" w:eastAsia="zh-CN"/>
        </w:rPr>
        <w:t>渠道</w:t>
      </w:r>
      <w:r>
        <w:rPr>
          <w:rFonts w:hint="eastAsia" w:ascii="宋体" w:hAnsi="宋体" w:eastAsia="宋体" w:cs="宋体"/>
          <w:color w:val="auto"/>
          <w:sz w:val="21"/>
          <w:szCs w:val="21"/>
          <w:highlight w:val="none"/>
          <w:lang w:val="en-US" w:eastAsia="zh-CN"/>
        </w:rPr>
        <w:t>：</w:t>
      </w:r>
    </w:p>
    <w:p>
      <w:pPr>
        <w:numPr>
          <w:ilvl w:val="0"/>
          <w:numId w:val="0"/>
        </w:num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深圳市财政局政府采购供应商信用信息管理办法》第十一条：除本办法第九条、第十条失信信息外，供应商在本市集中采购活动中存在以下行为，被市、区财政部门依法作出处理决定且告知记入诚信档案的，属于本办法所称一般违法失信行为记录信息：</w:t>
      </w:r>
    </w:p>
    <w:p>
      <w:pPr>
        <w:pStyle w:val="124"/>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（一）投诉查无实据，且在全国范围12个月内发生同类行为三次以上的；</w:t>
      </w:r>
    </w:p>
    <w:p>
      <w:pPr>
        <w:pStyle w:val="124"/>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（二）投标截止后，撤销投标，情节严重的；</w:t>
      </w:r>
    </w:p>
    <w:p>
      <w:pPr>
        <w:pStyle w:val="124"/>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（三）中标后无正当理由未在规定期限内签订合同，情节严重的；</w:t>
      </w:r>
    </w:p>
    <w:p>
      <w:pPr>
        <w:pStyle w:val="124"/>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（四）将中标项目转让给他人或者在投标文件中未说明且未经采购人、招标机构同意，将中标项目分包给他人，情节严重的；</w:t>
      </w:r>
    </w:p>
    <w:p>
      <w:pPr>
        <w:pStyle w:val="124"/>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（五）合同签订后拒绝履行合同义务，情节严重的；</w:t>
      </w:r>
    </w:p>
    <w:p>
      <w:pPr>
        <w:pStyle w:val="124"/>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（六）合同履行情况经市、区财政部门组织的履约评价，最终结果为不合格的；</w:t>
      </w:r>
    </w:p>
    <w:p>
      <w:pPr>
        <w:pStyle w:val="124"/>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（七）存在本办法第七条规定违反承诺行为情节严重的；</w:t>
      </w:r>
    </w:p>
    <w:p>
      <w:pPr>
        <w:pStyle w:val="124"/>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（八）因行贿或者提供其他不当利益等行为被有关部门记录或者处理的；</w:t>
      </w:r>
    </w:p>
    <w:p>
      <w:pPr>
        <w:pStyle w:val="124"/>
        <w:spacing w:line="360" w:lineRule="auto"/>
        <w:ind w:left="0" w:leftChars="0" w:firstLine="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（九）法律、法规规定的其他一般违法失信行为记录信息。</w:t>
      </w:r>
    </w:p>
    <w:p>
      <w:pPr>
        <w:pStyle w:val="124"/>
        <w:spacing w:line="360" w:lineRule="auto"/>
        <w:ind w:left="0" w:leftChars="0" w:firstLine="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十四条：市、区财政部门根据公共信用信息管理规定，将有关公共信用信息推送至相关信用信息平台或者网站，依法依规在“深圳市政府采购监管网”公示供应商诚信档案中的优质合同信息、严重违法失信行为记录信息和一般行政处罚信息。信用信息公示的内容包括政府采购活动主体名称、信用信息的基本情况和认定依据、公示有效期、记录日期和记录机关等。</w:t>
      </w:r>
    </w:p>
    <w:p>
      <w:pPr>
        <w:rPr>
          <w:rFonts w:hint="eastAsia" w:ascii="黑体" w:hAnsi="宋体" w:eastAsia="黑体" w:cs="宋体"/>
          <w:color w:val="auto"/>
          <w:sz w:val="28"/>
          <w:szCs w:val="28"/>
          <w:highlight w:val="none"/>
        </w:rPr>
      </w:pPr>
      <w:r>
        <w:rPr>
          <w:rFonts w:hint="eastAsia" w:ascii="黑体" w:hAnsi="宋体" w:eastAsia="黑体" w:cs="宋体"/>
          <w:color w:val="auto"/>
          <w:sz w:val="28"/>
          <w:szCs w:val="28"/>
          <w:highlight w:val="none"/>
        </w:rPr>
        <w:br w:type="page"/>
      </w:r>
    </w:p>
    <w:bookmarkEnd w:id="27"/>
    <w:p>
      <w:pPr>
        <w:pStyle w:val="4"/>
        <w:numPr>
          <w:ilvl w:val="0"/>
          <w:numId w:val="5"/>
        </w:numPr>
        <w:spacing w:line="240" w:lineRule="auto"/>
        <w:jc w:val="center"/>
        <w:rPr>
          <w:rFonts w:asciiTheme="majorEastAsia" w:hAnsiTheme="majorEastAsia" w:eastAsiaTheme="majorEastAsia"/>
          <w:color w:val="auto"/>
          <w:sz w:val="30"/>
          <w:szCs w:val="30"/>
          <w:highlight w:val="none"/>
        </w:rPr>
      </w:pPr>
      <w:bookmarkStart w:id="34" w:name="_Toc23415"/>
      <w:r>
        <w:rPr>
          <w:rFonts w:hint="eastAsia" w:asciiTheme="majorEastAsia" w:hAnsiTheme="majorEastAsia" w:eastAsiaTheme="majorEastAsia"/>
          <w:color w:val="auto"/>
          <w:sz w:val="30"/>
          <w:szCs w:val="30"/>
          <w:highlight w:val="none"/>
        </w:rPr>
        <w:t>开标与评标</w:t>
      </w:r>
      <w:bookmarkEnd w:id="34"/>
    </w:p>
    <w:p>
      <w:pPr>
        <w:pStyle w:val="84"/>
        <w:widowControl/>
        <w:numPr>
          <w:ilvl w:val="0"/>
          <w:numId w:val="11"/>
        </w:numPr>
        <w:spacing w:line="360" w:lineRule="auto"/>
        <w:ind w:firstLineChars="0"/>
        <w:jc w:val="left"/>
        <w:rPr>
          <w:rFonts w:hAnsi="宋体"/>
          <w:color w:val="auto"/>
          <w:highlight w:val="none"/>
        </w:rPr>
      </w:pPr>
      <w:r>
        <w:rPr>
          <w:rFonts w:hint="eastAsia" w:hAnsi="宋体"/>
          <w:color w:val="auto"/>
          <w:highlight w:val="none"/>
        </w:rPr>
        <w:t>开标</w:t>
      </w:r>
    </w:p>
    <w:p>
      <w:pPr>
        <w:pStyle w:val="84"/>
        <w:widowControl/>
        <w:numPr>
          <w:ilvl w:val="1"/>
          <w:numId w:val="11"/>
        </w:numPr>
        <w:spacing w:line="360" w:lineRule="auto"/>
        <w:ind w:firstLineChars="0"/>
        <w:jc w:val="left"/>
        <w:rPr>
          <w:rFonts w:hAnsi="宋体"/>
          <w:color w:val="auto"/>
          <w:highlight w:val="none"/>
        </w:rPr>
      </w:pPr>
      <w:r>
        <w:rPr>
          <w:rFonts w:hint="eastAsia" w:ascii="宋体" w:hAnsi="宋体" w:cs="宋体"/>
          <w:color w:val="auto"/>
          <w:szCs w:val="21"/>
          <w:highlight w:val="none"/>
          <w:lang w:eastAsia="zh-TW"/>
        </w:rPr>
        <w:t>采购代理机构在投标邀请中规定的日期、时</w:t>
      </w:r>
      <w:r>
        <w:rPr>
          <w:rFonts w:hint="eastAsia" w:ascii="宋体" w:hAnsi="宋体" w:cs="宋体"/>
          <w:color w:val="auto"/>
          <w:szCs w:val="21"/>
          <w:highlight w:val="none"/>
        </w:rPr>
        <w:t>间</w:t>
      </w:r>
      <w:r>
        <w:rPr>
          <w:rFonts w:hint="eastAsia" w:ascii="宋体" w:hAnsi="宋体" w:cs="宋体"/>
          <w:color w:val="auto"/>
          <w:szCs w:val="21"/>
          <w:highlight w:val="none"/>
          <w:lang w:eastAsia="zh-TW"/>
        </w:rPr>
        <w:t>和地点组织开标。</w:t>
      </w:r>
    </w:p>
    <w:p>
      <w:pPr>
        <w:pStyle w:val="84"/>
        <w:widowControl/>
        <w:numPr>
          <w:ilvl w:val="1"/>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投标人不足3家的，不得开标。</w:t>
      </w:r>
    </w:p>
    <w:p>
      <w:pPr>
        <w:pStyle w:val="84"/>
        <w:widowControl/>
        <w:numPr>
          <w:ilvl w:val="1"/>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开标过程应当由采购人或者采购代理机构负责记录，由相关工作人员签字确认。</w:t>
      </w:r>
    </w:p>
    <w:p>
      <w:pPr>
        <w:pStyle w:val="84"/>
        <w:widowControl/>
        <w:numPr>
          <w:ilvl w:val="0"/>
          <w:numId w:val="11"/>
        </w:numPr>
        <w:spacing w:line="360" w:lineRule="auto"/>
        <w:ind w:firstLineChars="0"/>
        <w:jc w:val="left"/>
        <w:rPr>
          <w:rFonts w:hAnsi="宋体"/>
          <w:color w:val="auto"/>
          <w:highlight w:val="none"/>
        </w:rPr>
      </w:pPr>
      <w:r>
        <w:rPr>
          <w:rFonts w:hint="eastAsia" w:hAnsi="宋体"/>
          <w:color w:val="auto"/>
          <w:highlight w:val="none"/>
        </w:rPr>
        <w:t>评审委员会的组成</w:t>
      </w:r>
    </w:p>
    <w:p>
      <w:pPr>
        <w:pStyle w:val="84"/>
        <w:widowControl/>
        <w:numPr>
          <w:ilvl w:val="1"/>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rPr>
        <w:t>评审委员会</w:t>
      </w:r>
      <w:r>
        <w:rPr>
          <w:rFonts w:hint="eastAsia" w:ascii="宋体" w:hAnsi="宋体" w:cs="宋体"/>
          <w:color w:val="auto"/>
          <w:szCs w:val="21"/>
          <w:highlight w:val="none"/>
          <w:lang w:eastAsia="zh-TW"/>
        </w:rPr>
        <w:t>依法组建，由5</w:t>
      </w:r>
      <w:r>
        <w:rPr>
          <w:rFonts w:hint="eastAsia" w:ascii="宋体" w:hAnsi="宋体" w:cs="宋体"/>
          <w:color w:val="auto"/>
          <w:szCs w:val="21"/>
          <w:highlight w:val="none"/>
        </w:rPr>
        <w:t>人</w:t>
      </w:r>
      <w:r>
        <w:rPr>
          <w:rFonts w:hint="eastAsia" w:ascii="宋体" w:hAnsi="宋体" w:cs="宋体"/>
          <w:color w:val="auto"/>
          <w:szCs w:val="21"/>
          <w:highlight w:val="none"/>
          <w:lang w:eastAsia="zh-TW"/>
        </w:rPr>
        <w:t>单数组成。</w:t>
      </w:r>
    </w:p>
    <w:p>
      <w:pPr>
        <w:pStyle w:val="84"/>
        <w:widowControl/>
        <w:numPr>
          <w:ilvl w:val="1"/>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rPr>
        <w:t>评审委员会</w:t>
      </w:r>
      <w:r>
        <w:rPr>
          <w:rFonts w:hint="eastAsia" w:ascii="宋体" w:hAnsi="宋体" w:cs="宋体"/>
          <w:color w:val="auto"/>
          <w:szCs w:val="21"/>
          <w:highlight w:val="none"/>
          <w:lang w:eastAsia="zh-TW"/>
        </w:rPr>
        <w:t>成员名单在评标结果公告前应当保密。评审专家有下列情形之一的，受到邀请应主动提出回避，采购当事人也可以要求该评审专家回避：</w:t>
      </w:r>
    </w:p>
    <w:p>
      <w:pPr>
        <w:pStyle w:val="114"/>
        <w:widowControl/>
        <w:numPr>
          <w:ilvl w:val="2"/>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参加采购活动前3年内与供应商存在劳动关系；</w:t>
      </w:r>
    </w:p>
    <w:p>
      <w:pPr>
        <w:pStyle w:val="114"/>
        <w:widowControl/>
        <w:numPr>
          <w:ilvl w:val="2"/>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参加采购活动前3年内担任供应商的董事、监事；</w:t>
      </w:r>
    </w:p>
    <w:p>
      <w:pPr>
        <w:pStyle w:val="114"/>
        <w:widowControl/>
        <w:numPr>
          <w:ilvl w:val="2"/>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参加采购活动前3年内是供应商的控股股东或者实际控制人；</w:t>
      </w:r>
    </w:p>
    <w:p>
      <w:pPr>
        <w:pStyle w:val="114"/>
        <w:widowControl/>
        <w:numPr>
          <w:ilvl w:val="2"/>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与供应商的法定代表人或者负责人有夫妻、直系血亲、三代以内旁系血亲或者近姻亲关系；</w:t>
      </w:r>
    </w:p>
    <w:p>
      <w:pPr>
        <w:pStyle w:val="114"/>
        <w:widowControl/>
        <w:numPr>
          <w:ilvl w:val="2"/>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与供应商有其他可能影响采购活动公平、公正进行的关系。</w:t>
      </w:r>
    </w:p>
    <w:p>
      <w:pPr>
        <w:pStyle w:val="84"/>
        <w:widowControl/>
        <w:numPr>
          <w:ilvl w:val="1"/>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rPr>
        <w:t>评审委员会</w:t>
      </w:r>
      <w:r>
        <w:rPr>
          <w:rFonts w:hint="eastAsia" w:ascii="宋体" w:hAnsi="宋体" w:cs="宋体"/>
          <w:color w:val="auto"/>
          <w:szCs w:val="21"/>
          <w:highlight w:val="none"/>
          <w:lang w:eastAsia="zh-TW"/>
        </w:rPr>
        <w:t>和有关工作人员不得透露对投标文件的评审和比较以及与评标有关的其他情况。</w:t>
      </w:r>
    </w:p>
    <w:p>
      <w:pPr>
        <w:pStyle w:val="84"/>
        <w:widowControl/>
        <w:numPr>
          <w:ilvl w:val="1"/>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rPr>
        <w:t>评审委员会</w:t>
      </w:r>
      <w:r>
        <w:rPr>
          <w:rFonts w:hint="eastAsia" w:ascii="宋体" w:hAnsi="宋体" w:cs="宋体"/>
          <w:color w:val="auto"/>
          <w:szCs w:val="21"/>
          <w:highlight w:val="none"/>
          <w:lang w:eastAsia="zh-TW"/>
        </w:rPr>
        <w:t>负责具体评标事务，并独立履行下列职责：</w:t>
      </w:r>
    </w:p>
    <w:p>
      <w:pPr>
        <w:pStyle w:val="84"/>
        <w:widowControl/>
        <w:numPr>
          <w:ilvl w:val="2"/>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审查、评价投标文件是否符合招标文件的商务、技术等实质性要求；</w:t>
      </w:r>
    </w:p>
    <w:p>
      <w:pPr>
        <w:pStyle w:val="84"/>
        <w:widowControl/>
        <w:numPr>
          <w:ilvl w:val="2"/>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要求投标人对投标文件有关事项作出澄清或者说明；</w:t>
      </w:r>
    </w:p>
    <w:p>
      <w:pPr>
        <w:pStyle w:val="84"/>
        <w:widowControl/>
        <w:numPr>
          <w:ilvl w:val="2"/>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对投标文件进行比较和评价；</w:t>
      </w:r>
    </w:p>
    <w:p>
      <w:pPr>
        <w:pStyle w:val="84"/>
        <w:widowControl/>
        <w:numPr>
          <w:ilvl w:val="2"/>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确定中标候选人名单，以及根据采购人委托直接确定中标人；</w:t>
      </w:r>
    </w:p>
    <w:p>
      <w:pPr>
        <w:pStyle w:val="84"/>
        <w:widowControl/>
        <w:numPr>
          <w:ilvl w:val="2"/>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向采购人、采购代理机构或者有关部门报告评标中发现的违法行为。</w:t>
      </w:r>
    </w:p>
    <w:p>
      <w:pPr>
        <w:pStyle w:val="84"/>
        <w:widowControl/>
        <w:numPr>
          <w:ilvl w:val="1"/>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对于投标文件中含义不明确、同类问题表述不一致或者有明显文字和计算错误的内容，</w:t>
      </w:r>
      <w:r>
        <w:rPr>
          <w:rFonts w:hint="eastAsia" w:ascii="宋体" w:hAnsi="宋体" w:cs="宋体"/>
          <w:color w:val="auto"/>
          <w:szCs w:val="21"/>
          <w:highlight w:val="none"/>
        </w:rPr>
        <w:t>评审委员会</w:t>
      </w:r>
      <w:r>
        <w:rPr>
          <w:rFonts w:hint="eastAsia" w:ascii="宋体" w:hAnsi="宋体" w:cs="宋体"/>
          <w:color w:val="auto"/>
          <w:szCs w:val="21"/>
          <w:highlight w:val="none"/>
          <w:lang w:eastAsia="zh-TW"/>
        </w:rPr>
        <w:t>应当以书面形式要求投标人作出必要的澄清、说明或者补正。</w:t>
      </w:r>
    </w:p>
    <w:p>
      <w:pPr>
        <w:pStyle w:val="84"/>
        <w:widowControl/>
        <w:numPr>
          <w:ilvl w:val="1"/>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114"/>
        <w:widowControl/>
        <w:numPr>
          <w:ilvl w:val="1"/>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投标文件报价出现前后不一致的，按照下列规定修正：</w:t>
      </w:r>
    </w:p>
    <w:p>
      <w:pPr>
        <w:pStyle w:val="114"/>
        <w:widowControl/>
        <w:numPr>
          <w:ilvl w:val="2"/>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投标文件中开标一览表（报价表）内容与投标文件中相应内容不一致的，以开标一览表（报价表）为准；</w:t>
      </w:r>
    </w:p>
    <w:p>
      <w:pPr>
        <w:pStyle w:val="114"/>
        <w:widowControl/>
        <w:numPr>
          <w:ilvl w:val="2"/>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大写金额和小写金额不一致的，以大写金额为准；</w:t>
      </w:r>
    </w:p>
    <w:p>
      <w:pPr>
        <w:pStyle w:val="114"/>
        <w:widowControl/>
        <w:numPr>
          <w:ilvl w:val="2"/>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单价金额小数点或者百分比有明显错位的，以开标一览表的总价为准，并修改单价；</w:t>
      </w:r>
    </w:p>
    <w:p>
      <w:pPr>
        <w:pStyle w:val="114"/>
        <w:widowControl/>
        <w:numPr>
          <w:ilvl w:val="2"/>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总价金额与按单价汇总金额不一致的，以单价金额计算结果为准。</w:t>
      </w:r>
    </w:p>
    <w:p>
      <w:pPr>
        <w:widowControl/>
        <w:spacing w:line="360" w:lineRule="auto"/>
        <w:ind w:firstLine="420" w:firstLineChars="200"/>
        <w:jc w:val="left"/>
        <w:rPr>
          <w:rFonts w:ascii="宋体" w:hAnsi="宋体" w:eastAsia="PMingLiU" w:cs="宋体"/>
          <w:color w:val="auto"/>
          <w:szCs w:val="21"/>
          <w:highlight w:val="none"/>
          <w:lang w:eastAsia="zh-TW"/>
        </w:rPr>
      </w:pPr>
      <w:r>
        <w:rPr>
          <w:rFonts w:hint="eastAsia" w:ascii="宋体" w:hAnsi="宋体" w:cs="宋体"/>
          <w:color w:val="auto"/>
          <w:szCs w:val="21"/>
          <w:highlight w:val="none"/>
          <w:lang w:eastAsia="zh-TW"/>
        </w:rPr>
        <w:t>同时出现两种以上不一致的，按照前款规定的顺序修正。修正后的报价按照《政府采购货物和服务招标投标管理办法》第五十一条第二款的规定经投标人确认后产生约束力，投标人不确认的，其投标无效。</w:t>
      </w:r>
    </w:p>
    <w:p>
      <w:pPr>
        <w:pStyle w:val="84"/>
        <w:widowControl/>
        <w:numPr>
          <w:ilvl w:val="1"/>
          <w:numId w:val="11"/>
        </w:numPr>
        <w:spacing w:line="360" w:lineRule="auto"/>
        <w:ind w:firstLineChars="0"/>
        <w:jc w:val="left"/>
        <w:rPr>
          <w:rFonts w:ascii="宋体" w:hAnsi="宋体" w:eastAsia="PMingLiU" w:cs="宋体"/>
          <w:color w:val="auto"/>
          <w:szCs w:val="21"/>
          <w:highlight w:val="none"/>
          <w:lang w:eastAsia="zh-TW"/>
        </w:rPr>
      </w:pPr>
      <w:r>
        <w:rPr>
          <w:rFonts w:eastAsia="PMingLiU"/>
          <w:color w:val="auto"/>
          <w:highlight w:val="none"/>
          <w:lang w:eastAsia="zh-TW"/>
        </w:rPr>
        <w:t xml:space="preserve"> </w:t>
      </w:r>
      <w:r>
        <w:rPr>
          <w:rFonts w:hint="eastAsia" w:eastAsia="PMingLiU"/>
          <w:color w:val="auto"/>
          <w:highlight w:val="none"/>
          <w:lang w:eastAsia="zh-TW"/>
        </w:rPr>
        <w:t>平台报价与</w:t>
      </w:r>
      <w:r>
        <w:rPr>
          <w:rFonts w:hint="eastAsia"/>
          <w:color w:val="auto"/>
          <w:highlight w:val="none"/>
          <w:lang w:eastAsia="zh-TW"/>
        </w:rPr>
        <w:t>投标</w:t>
      </w:r>
      <w:r>
        <w:rPr>
          <w:rFonts w:hint="eastAsia" w:asciiTheme="minorEastAsia" w:hAnsiTheme="minorEastAsia" w:eastAsiaTheme="minorEastAsia"/>
          <w:color w:val="auto"/>
          <w:highlight w:val="none"/>
          <w:lang w:eastAsia="zh-TW"/>
        </w:rPr>
        <w:t>文件</w:t>
      </w:r>
      <w:r>
        <w:rPr>
          <w:rFonts w:hint="eastAsia" w:eastAsia="PMingLiU"/>
          <w:color w:val="auto"/>
          <w:highlight w:val="none"/>
          <w:lang w:eastAsia="zh-TW"/>
        </w:rPr>
        <w:t>不一致的，以</w:t>
      </w:r>
      <w:r>
        <w:rPr>
          <w:rFonts w:hint="eastAsia"/>
          <w:color w:val="auto"/>
          <w:highlight w:val="none"/>
          <w:lang w:eastAsia="zh-CN"/>
        </w:rPr>
        <w:t>投标人在</w:t>
      </w:r>
      <w:r>
        <w:rPr>
          <w:rFonts w:hint="eastAsia" w:ascii="宋体" w:hAnsi="宋体"/>
          <w:color w:val="auto"/>
          <w:szCs w:val="21"/>
          <w:highlight w:val="none"/>
        </w:rPr>
        <w:t>采链线上采购一体化平台</w:t>
      </w:r>
      <w:r>
        <w:rPr>
          <w:rFonts w:hint="eastAsia"/>
          <w:color w:val="auto"/>
          <w:highlight w:val="none"/>
          <w:lang w:eastAsia="zh-CN"/>
        </w:rPr>
        <w:t>上传的</w:t>
      </w:r>
      <w:r>
        <w:rPr>
          <w:rFonts w:hint="eastAsia" w:asciiTheme="minorEastAsia" w:hAnsiTheme="minorEastAsia" w:eastAsiaTheme="minorEastAsia"/>
          <w:color w:val="auto"/>
          <w:highlight w:val="none"/>
          <w:lang w:eastAsia="zh-TW"/>
        </w:rPr>
        <w:t>投标文件</w:t>
      </w:r>
      <w:r>
        <w:rPr>
          <w:rFonts w:hint="eastAsia" w:asciiTheme="minorEastAsia" w:hAnsiTheme="minorEastAsia" w:eastAsiaTheme="minorEastAsia"/>
          <w:color w:val="auto"/>
          <w:highlight w:val="none"/>
          <w:lang w:val="en-US" w:eastAsia="zh-CN"/>
        </w:rPr>
        <w:t>的《</w:t>
      </w:r>
      <w:r>
        <w:rPr>
          <w:rFonts w:hint="eastAsia" w:ascii="宋体" w:hAnsi="宋体" w:cs="宋体"/>
          <w:color w:val="auto"/>
          <w:szCs w:val="21"/>
          <w:highlight w:val="none"/>
          <w:lang w:eastAsia="zh-TW"/>
        </w:rPr>
        <w:t>开标一览表（报价表）</w:t>
      </w:r>
      <w:r>
        <w:rPr>
          <w:rFonts w:hint="eastAsia" w:ascii="宋体" w:hAnsi="宋体" w:cs="宋体"/>
          <w:color w:val="auto"/>
          <w:szCs w:val="21"/>
          <w:highlight w:val="none"/>
          <w:lang w:eastAsia="zh-CN"/>
        </w:rPr>
        <w:t>》</w:t>
      </w:r>
      <w:r>
        <w:rPr>
          <w:rFonts w:hint="eastAsia" w:eastAsia="PMingLiU"/>
          <w:color w:val="auto"/>
          <w:highlight w:val="none"/>
          <w:lang w:eastAsia="zh-TW"/>
        </w:rPr>
        <w:t>为准；</w:t>
      </w:r>
    </w:p>
    <w:p>
      <w:pPr>
        <w:pStyle w:val="84"/>
        <w:widowControl/>
        <w:numPr>
          <w:ilvl w:val="1"/>
          <w:numId w:val="11"/>
        </w:numPr>
        <w:spacing w:line="360" w:lineRule="auto"/>
        <w:ind w:firstLineChars="0"/>
        <w:jc w:val="left"/>
        <w:rPr>
          <w:rFonts w:ascii="宋体" w:hAnsi="宋体" w:cs="宋体"/>
          <w:color w:val="auto"/>
          <w:szCs w:val="21"/>
          <w:highlight w:val="none"/>
          <w:lang w:eastAsia="zh-TW"/>
        </w:rPr>
      </w:pPr>
      <w:r>
        <w:rPr>
          <w:rFonts w:hint="eastAsia"/>
          <w:color w:val="auto"/>
          <w:highlight w:val="none"/>
        </w:rPr>
        <w:t>评审委员会</w:t>
      </w:r>
      <w:r>
        <w:rPr>
          <w:color w:val="auto"/>
          <w:highlight w:val="none"/>
        </w:rPr>
        <w:t>决定投标的响应性只根据投标文件中提供的材料内容，而不依据外部的材料证据</w:t>
      </w:r>
      <w:r>
        <w:rPr>
          <w:rFonts w:hint="eastAsia" w:ascii="宋体" w:hAnsi="宋体" w:cs="宋体"/>
          <w:color w:val="auto"/>
          <w:szCs w:val="21"/>
          <w:highlight w:val="none"/>
          <w:lang w:eastAsia="zh-TW"/>
        </w:rPr>
        <w:t>。</w:t>
      </w:r>
    </w:p>
    <w:p>
      <w:pPr>
        <w:pStyle w:val="84"/>
        <w:widowControl/>
        <w:numPr>
          <w:ilvl w:val="1"/>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rPr>
        <w:t>评审委员会</w:t>
      </w:r>
      <w:r>
        <w:rPr>
          <w:rFonts w:hint="eastAsia" w:ascii="宋体" w:hAnsi="宋体" w:cs="宋体"/>
          <w:color w:val="auto"/>
          <w:szCs w:val="21"/>
          <w:highlight w:val="none"/>
          <w:lang w:eastAsia="zh-TW"/>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cs="宋体"/>
          <w:color w:val="auto"/>
          <w:szCs w:val="21"/>
          <w:highlight w:val="none"/>
        </w:rPr>
        <w:t>评审委员会</w:t>
      </w:r>
      <w:r>
        <w:rPr>
          <w:rFonts w:hint="eastAsia" w:ascii="宋体" w:hAnsi="宋体" w:cs="宋体"/>
          <w:color w:val="auto"/>
          <w:szCs w:val="21"/>
          <w:highlight w:val="none"/>
          <w:lang w:eastAsia="zh-TW"/>
        </w:rPr>
        <w:t>应当将其作为无效投标处理。</w:t>
      </w:r>
      <w:r>
        <w:rPr>
          <w:rFonts w:hint="eastAsia" w:ascii="宋体" w:hAnsi="宋体" w:cs="宋体"/>
          <w:color w:val="auto"/>
          <w:szCs w:val="21"/>
          <w:highlight w:val="none"/>
        </w:rPr>
        <w:t>若评审委员会成员对是否须由投标人作出报价合理性说明，以及书面说明是否采纳等判断不一致的，按照“少数服从多数”的原则确定评审委员会的意见。</w:t>
      </w:r>
    </w:p>
    <w:p>
      <w:pPr>
        <w:pStyle w:val="84"/>
        <w:widowControl/>
        <w:numPr>
          <w:ilvl w:val="1"/>
          <w:numId w:val="11"/>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rPr>
        <w:t>评审委员会</w:t>
      </w:r>
      <w:r>
        <w:rPr>
          <w:rFonts w:hint="eastAsia" w:ascii="宋体" w:hAnsi="宋体" w:cs="宋体"/>
          <w:color w:val="auto"/>
          <w:szCs w:val="21"/>
          <w:highlight w:val="none"/>
          <w:lang w:eastAsia="zh-TW"/>
        </w:rPr>
        <w:t>成员对需要共同认定的事项存在争议的，应当按照少数服从多数的原则作出结论。持不同意见的</w:t>
      </w:r>
      <w:r>
        <w:rPr>
          <w:rFonts w:hint="eastAsia" w:ascii="宋体" w:hAnsi="宋体" w:cs="宋体"/>
          <w:color w:val="auto"/>
          <w:szCs w:val="21"/>
          <w:highlight w:val="none"/>
        </w:rPr>
        <w:t>评审委员会</w:t>
      </w:r>
      <w:r>
        <w:rPr>
          <w:rFonts w:hint="eastAsia" w:ascii="宋体" w:hAnsi="宋体" w:cs="宋体"/>
          <w:color w:val="auto"/>
          <w:szCs w:val="21"/>
          <w:highlight w:val="none"/>
          <w:lang w:eastAsia="zh-TW"/>
        </w:rPr>
        <w:t>成员应当在评标报告上签署不同意见及理由，否则视为同意评标报告。</w:t>
      </w:r>
    </w:p>
    <w:p>
      <w:pPr>
        <w:pStyle w:val="84"/>
        <w:widowControl/>
        <w:numPr>
          <w:ilvl w:val="0"/>
          <w:numId w:val="11"/>
        </w:numPr>
        <w:spacing w:line="360" w:lineRule="auto"/>
        <w:ind w:firstLineChars="0"/>
        <w:jc w:val="left"/>
        <w:rPr>
          <w:rFonts w:hAnsi="宋体"/>
          <w:b/>
          <w:color w:val="auto"/>
          <w:highlight w:val="none"/>
        </w:rPr>
      </w:pPr>
      <w:r>
        <w:rPr>
          <w:rFonts w:hint="eastAsia" w:hAnsi="宋体"/>
          <w:b/>
          <w:color w:val="auto"/>
          <w:highlight w:val="none"/>
        </w:rPr>
        <w:t>评标（适用综合评分法）：</w:t>
      </w:r>
    </w:p>
    <w:p>
      <w:pPr>
        <w:pStyle w:val="84"/>
        <w:widowControl/>
        <w:numPr>
          <w:ilvl w:val="1"/>
          <w:numId w:val="11"/>
        </w:numPr>
        <w:spacing w:line="360" w:lineRule="auto"/>
        <w:ind w:firstLineChars="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评标方法：</w:t>
      </w:r>
      <w:r>
        <w:rPr>
          <w:rFonts w:hint="eastAsia" w:asciiTheme="minorEastAsia" w:hAnsiTheme="minorEastAsia" w:eastAsiaTheme="minorEastAsia" w:cstheme="minorEastAsia"/>
          <w:color w:val="auto"/>
          <w:highlight w:val="none"/>
        </w:rPr>
        <w:t>综合评分法，是指投标文件满足招标文件全部实质性要求，且按照评审因素的量化指标评审得分最高的投标人为中标候选人的评标方法。</w:t>
      </w:r>
    </w:p>
    <w:p>
      <w:pPr>
        <w:pStyle w:val="84"/>
        <w:widowControl/>
        <w:spacing w:line="360" w:lineRule="auto"/>
        <w:ind w:left="567" w:firstLine="0" w:firstLineChars="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评标总得分＝F1×A1＋F2×A2＋……＋Fn×An </w:t>
      </w:r>
    </w:p>
    <w:p>
      <w:pPr>
        <w:pStyle w:val="84"/>
        <w:widowControl/>
        <w:spacing w:line="360" w:lineRule="auto"/>
        <w:ind w:left="567" w:firstLine="0" w:firstLineChars="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F1、F2……Fn分别为各项评审因素的得分； </w:t>
      </w:r>
    </w:p>
    <w:p>
      <w:pPr>
        <w:pStyle w:val="84"/>
        <w:widowControl/>
        <w:spacing w:line="360" w:lineRule="auto"/>
        <w:ind w:left="567" w:firstLine="0" w:firstLineChars="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A1、A2、……An 分别为各项评审因素所占的权重(A1＋A2＋……＋An＝1)。</w:t>
      </w:r>
    </w:p>
    <w:p>
      <w:pPr>
        <w:pStyle w:val="84"/>
        <w:widowControl/>
        <w:numPr>
          <w:ilvl w:val="1"/>
          <w:numId w:val="11"/>
        </w:numPr>
        <w:spacing w:line="360" w:lineRule="auto"/>
        <w:ind w:firstLineChars="0"/>
        <w:jc w:val="left"/>
        <w:rPr>
          <w:rFonts w:ascii="宋体" w:hAnsi="宋体"/>
          <w:bCs/>
          <w:color w:val="auto"/>
          <w:szCs w:val="21"/>
          <w:highlight w:val="none"/>
        </w:rPr>
      </w:pPr>
      <w:r>
        <w:rPr>
          <w:rFonts w:hint="eastAsia" w:ascii="宋体" w:hAnsi="宋体"/>
          <w:bCs/>
          <w:color w:val="auto"/>
          <w:szCs w:val="21"/>
          <w:highlight w:val="none"/>
        </w:rPr>
        <w:t>评标步骤：</w:t>
      </w:r>
    </w:p>
    <w:p>
      <w:pPr>
        <w:pStyle w:val="84"/>
        <w:widowControl/>
        <w:numPr>
          <w:ilvl w:val="2"/>
          <w:numId w:val="11"/>
        </w:numPr>
        <w:spacing w:line="360" w:lineRule="auto"/>
        <w:ind w:firstLineChars="0"/>
        <w:jc w:val="left"/>
        <w:rPr>
          <w:rFonts w:ascii="宋体" w:cs="宋体"/>
          <w:color w:val="auto"/>
          <w:szCs w:val="21"/>
          <w:highlight w:val="none"/>
        </w:rPr>
      </w:pPr>
      <w:r>
        <w:rPr>
          <w:rFonts w:hint="eastAsia" w:ascii="宋体" w:hAnsi="宋体"/>
          <w:bCs/>
          <w:color w:val="auto"/>
          <w:szCs w:val="21"/>
          <w:highlight w:val="none"/>
        </w:rPr>
        <w:t>资格性审查：</w:t>
      </w:r>
      <w:r>
        <w:rPr>
          <w:rFonts w:hint="eastAsia" w:ascii="宋体" w:cs="宋体"/>
          <w:color w:val="auto"/>
          <w:szCs w:val="21"/>
          <w:highlight w:val="none"/>
        </w:rPr>
        <w:t>开标结束后，采购人或者采购代理机构应当依法对投标人的资格进行审查，详见《资格性审查表》。对初步被认定为资格性审查不合格的，可实行告知投标当事人，以让其核证、澄清事实。未通过资格性审查的投标人，不进入符合性审查。</w:t>
      </w:r>
    </w:p>
    <w:p>
      <w:pPr>
        <w:pStyle w:val="84"/>
        <w:widowControl/>
        <w:numPr>
          <w:ilvl w:val="2"/>
          <w:numId w:val="11"/>
        </w:numPr>
        <w:spacing w:line="360" w:lineRule="auto"/>
        <w:ind w:firstLineChars="0"/>
        <w:jc w:val="left"/>
        <w:rPr>
          <w:rFonts w:ascii="宋体" w:cs="宋体"/>
          <w:color w:val="auto"/>
          <w:szCs w:val="21"/>
          <w:highlight w:val="none"/>
        </w:rPr>
      </w:pPr>
      <w:r>
        <w:rPr>
          <w:rFonts w:hint="eastAsia" w:ascii="宋体" w:cs="宋体"/>
          <w:color w:val="auto"/>
          <w:szCs w:val="21"/>
          <w:highlight w:val="none"/>
        </w:rPr>
        <w:t>符合性审查：评审委员会应当对符合资格的投标人的投标文件进行符合性审查，详见《符合性审查表》，以确定其是否满足招标文件的实质性要求。</w:t>
      </w:r>
      <w:r>
        <w:rPr>
          <w:rFonts w:hint="eastAsia" w:ascii="宋体" w:hAnsi="宋体" w:cs="宋体"/>
          <w:color w:val="auto"/>
          <w:szCs w:val="21"/>
          <w:highlight w:val="none"/>
        </w:rPr>
        <w:t>评审委员会</w:t>
      </w:r>
      <w:r>
        <w:rPr>
          <w:rFonts w:hint="eastAsia" w:ascii="宋体" w:hAnsi="宋体" w:cs="宋体"/>
          <w:color w:val="auto"/>
          <w:szCs w:val="21"/>
          <w:highlight w:val="none"/>
          <w:lang w:eastAsia="zh-TW"/>
        </w:rPr>
        <w:t>对初步被认定为符合性审查不合格或无效投标者</w:t>
      </w:r>
      <w:r>
        <w:rPr>
          <w:rFonts w:hint="eastAsia" w:ascii="宋体" w:hAnsi="宋体" w:cs="宋体"/>
          <w:color w:val="auto"/>
          <w:szCs w:val="21"/>
          <w:highlight w:val="none"/>
        </w:rPr>
        <w:t>可</w:t>
      </w:r>
      <w:r>
        <w:rPr>
          <w:rFonts w:hint="eastAsia" w:ascii="宋体" w:hAnsi="宋体" w:cs="宋体"/>
          <w:color w:val="auto"/>
          <w:szCs w:val="21"/>
          <w:highlight w:val="none"/>
          <w:lang w:eastAsia="zh-TW"/>
        </w:rPr>
        <w:t>实行告知</w:t>
      </w:r>
      <w:r>
        <w:rPr>
          <w:rFonts w:hint="eastAsia" w:ascii="宋体" w:cs="宋体"/>
          <w:color w:val="auto"/>
          <w:szCs w:val="21"/>
          <w:highlight w:val="none"/>
        </w:rPr>
        <w:t>投标当事人</w:t>
      </w:r>
      <w:r>
        <w:rPr>
          <w:rFonts w:hint="eastAsia" w:ascii="宋体" w:hAnsi="宋体" w:cs="宋体"/>
          <w:color w:val="auto"/>
          <w:szCs w:val="21"/>
          <w:highlight w:val="none"/>
        </w:rPr>
        <w:t>，</w:t>
      </w:r>
      <w:r>
        <w:rPr>
          <w:rFonts w:hint="eastAsia" w:ascii="宋体" w:hAnsi="宋体" w:cs="宋体"/>
          <w:color w:val="auto"/>
          <w:szCs w:val="21"/>
          <w:highlight w:val="none"/>
          <w:lang w:eastAsia="zh-TW"/>
        </w:rPr>
        <w:t>由</w:t>
      </w:r>
      <w:r>
        <w:rPr>
          <w:rFonts w:hint="eastAsia" w:ascii="宋体" w:hAnsi="宋体" w:cs="宋体"/>
          <w:color w:val="auto"/>
          <w:szCs w:val="21"/>
          <w:highlight w:val="none"/>
        </w:rPr>
        <w:t>评审委员会</w:t>
      </w:r>
      <w:r>
        <w:rPr>
          <w:rFonts w:hint="eastAsia" w:ascii="宋体" w:hAnsi="宋体" w:cs="宋体"/>
          <w:color w:val="auto"/>
          <w:szCs w:val="21"/>
          <w:highlight w:val="none"/>
          <w:lang w:eastAsia="zh-TW"/>
        </w:rPr>
        <w:t>主任或采购人代表将集体意见现场及时告知投标当事人，以让其核证、澄清事实。</w:t>
      </w:r>
      <w:r>
        <w:rPr>
          <w:rFonts w:hint="eastAsia" w:ascii="宋体" w:cs="宋体"/>
          <w:color w:val="auto"/>
          <w:szCs w:val="21"/>
          <w:highlight w:val="none"/>
        </w:rPr>
        <w:t>未通过符合性审查的投标人，不进入技术、商务和价格评审。</w:t>
      </w:r>
    </w:p>
    <w:p>
      <w:pPr>
        <w:pStyle w:val="84"/>
        <w:widowControl/>
        <w:numPr>
          <w:ilvl w:val="2"/>
          <w:numId w:val="11"/>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详细评审及推荐中标候选人：</w:t>
      </w:r>
    </w:p>
    <w:p>
      <w:pPr>
        <w:pStyle w:val="84"/>
        <w:widowControl/>
        <w:numPr>
          <w:ilvl w:val="3"/>
          <w:numId w:val="11"/>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评审委员会对符合性审查合格的投标文件进行商务和技术评估，综合比较与评价，具体技术、商务、价格部分的评审因素详见《综合评分表》。</w:t>
      </w:r>
    </w:p>
    <w:p>
      <w:pPr>
        <w:pStyle w:val="84"/>
        <w:widowControl/>
        <w:numPr>
          <w:ilvl w:val="3"/>
          <w:numId w:val="11"/>
        </w:numPr>
        <w:spacing w:line="360" w:lineRule="auto"/>
        <w:ind w:firstLineChars="0"/>
        <w:jc w:val="left"/>
        <w:rPr>
          <w:rFonts w:ascii="宋体" w:cs="宋体"/>
          <w:color w:val="auto"/>
          <w:szCs w:val="21"/>
          <w:highlight w:val="none"/>
        </w:rPr>
      </w:pPr>
      <w:r>
        <w:rPr>
          <w:rFonts w:hint="eastAsia" w:ascii="宋体" w:hAnsi="宋体"/>
          <w:bCs/>
          <w:color w:val="auto"/>
          <w:highlight w:val="none"/>
        </w:rPr>
        <w:t>评标过程中，不得去掉报价中的最高报价和最低报价。</w:t>
      </w:r>
    </w:p>
    <w:p>
      <w:pPr>
        <w:pStyle w:val="84"/>
        <w:widowControl/>
        <w:numPr>
          <w:ilvl w:val="3"/>
          <w:numId w:val="11"/>
        </w:numPr>
        <w:spacing w:line="360" w:lineRule="auto"/>
        <w:ind w:firstLineChars="0"/>
        <w:jc w:val="left"/>
        <w:rPr>
          <w:rFonts w:ascii="宋体" w:hAnsi="宋体"/>
          <w:color w:val="auto"/>
          <w:szCs w:val="21"/>
          <w:highlight w:val="none"/>
        </w:rPr>
      </w:pPr>
      <w:bookmarkStart w:id="35" w:name="EB067d940baba349e582b898bfd18c9719"/>
      <w:r>
        <w:rPr>
          <w:rFonts w:ascii="宋体" w:hAnsi="宋体" w:cs="宋体"/>
          <w:color w:val="auto"/>
          <w:szCs w:val="21"/>
          <w:highlight w:val="none"/>
        </w:rPr>
        <w:t>综合</w:t>
      </w:r>
      <w:r>
        <w:rPr>
          <w:rFonts w:hint="eastAsia" w:ascii="宋体" w:hAnsi="宋体" w:cs="宋体"/>
          <w:color w:val="auto"/>
          <w:szCs w:val="21"/>
          <w:highlight w:val="none"/>
        </w:rPr>
        <w:t>得分</w:t>
      </w:r>
      <w:r>
        <w:rPr>
          <w:rFonts w:ascii="宋体" w:hAnsi="宋体" w:cs="宋体"/>
          <w:color w:val="auto"/>
          <w:szCs w:val="21"/>
          <w:highlight w:val="none"/>
        </w:rPr>
        <w:t>=技术</w:t>
      </w:r>
      <w:r>
        <w:rPr>
          <w:rFonts w:hint="eastAsia" w:ascii="宋体" w:hAnsi="宋体" w:cs="宋体"/>
          <w:color w:val="auto"/>
          <w:szCs w:val="21"/>
          <w:highlight w:val="none"/>
        </w:rPr>
        <w:t>得分</w:t>
      </w:r>
      <w:r>
        <w:rPr>
          <w:rFonts w:ascii="宋体" w:hAnsi="宋体" w:cs="宋体"/>
          <w:color w:val="auto"/>
          <w:szCs w:val="21"/>
          <w:highlight w:val="none"/>
        </w:rPr>
        <w:t>+商务</w:t>
      </w:r>
      <w:r>
        <w:rPr>
          <w:rFonts w:hint="eastAsia" w:ascii="宋体" w:hAnsi="宋体" w:cs="宋体"/>
          <w:color w:val="auto"/>
          <w:szCs w:val="21"/>
          <w:highlight w:val="none"/>
        </w:rPr>
        <w:t>得分</w:t>
      </w:r>
      <w:r>
        <w:rPr>
          <w:rFonts w:ascii="宋体" w:hAnsi="宋体" w:cs="宋体"/>
          <w:color w:val="auto"/>
          <w:szCs w:val="21"/>
          <w:highlight w:val="none"/>
        </w:rPr>
        <w:t>+价格</w:t>
      </w:r>
      <w:bookmarkEnd w:id="35"/>
      <w:r>
        <w:rPr>
          <w:rFonts w:hint="eastAsia" w:ascii="宋体" w:hAnsi="宋体" w:cs="宋体"/>
          <w:color w:val="auto"/>
          <w:szCs w:val="21"/>
          <w:highlight w:val="none"/>
        </w:rPr>
        <w:t>得分。</w:t>
      </w:r>
    </w:p>
    <w:p>
      <w:pPr>
        <w:pStyle w:val="84"/>
        <w:widowControl/>
        <w:numPr>
          <w:ilvl w:val="3"/>
          <w:numId w:val="11"/>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84"/>
        <w:widowControl/>
        <w:numPr>
          <w:ilvl w:val="3"/>
          <w:numId w:val="11"/>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推荐综合得分排名第一的投标人为第一中标候选人，排名第二的投标人为第二中标候选人，排名第三的投标人为第三中标候选人。</w:t>
      </w:r>
    </w:p>
    <w:p>
      <w:pPr>
        <w:pStyle w:val="84"/>
        <w:widowControl/>
        <w:numPr>
          <w:ilvl w:val="3"/>
          <w:numId w:val="11"/>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第一中标候选人并列的，由采购人采取随机抽取的方式确定中标人。</w:t>
      </w:r>
    </w:p>
    <w:p>
      <w:pPr>
        <w:pStyle w:val="114"/>
        <w:widowControl/>
        <w:numPr>
          <w:ilvl w:val="0"/>
          <w:numId w:val="11"/>
        </w:numPr>
        <w:spacing w:line="360" w:lineRule="auto"/>
        <w:ind w:firstLineChars="0"/>
        <w:jc w:val="left"/>
        <w:rPr>
          <w:rFonts w:ascii="宋体" w:hAnsi="宋体"/>
          <w:b/>
          <w:color w:val="auto"/>
          <w:szCs w:val="21"/>
          <w:highlight w:val="none"/>
        </w:rPr>
      </w:pPr>
      <w:r>
        <w:rPr>
          <w:rFonts w:hint="eastAsia" w:ascii="宋体" w:hAnsi="宋体"/>
          <w:b/>
          <w:color w:val="auto"/>
          <w:szCs w:val="21"/>
          <w:highlight w:val="none"/>
        </w:rPr>
        <w:t>定标</w:t>
      </w:r>
    </w:p>
    <w:p>
      <w:pPr>
        <w:pStyle w:val="114"/>
        <w:widowControl/>
        <w:numPr>
          <w:ilvl w:val="1"/>
          <w:numId w:val="11"/>
        </w:numPr>
        <w:spacing w:line="360" w:lineRule="auto"/>
        <w:ind w:left="426" w:hanging="426" w:firstLineChars="0"/>
        <w:jc w:val="left"/>
        <w:rPr>
          <w:rFonts w:ascii="宋体" w:hAnsi="宋体"/>
          <w:color w:val="auto"/>
          <w:szCs w:val="21"/>
          <w:highlight w:val="none"/>
        </w:rPr>
      </w:pPr>
      <w:r>
        <w:rPr>
          <w:rFonts w:hint="eastAsia" w:ascii="宋体" w:hAnsi="宋体"/>
          <w:color w:val="auto"/>
          <w:szCs w:val="21"/>
          <w:highlight w:val="none"/>
        </w:rPr>
        <w:t>采购代理机构</w:t>
      </w:r>
      <w:r>
        <w:rPr>
          <w:rFonts w:ascii="宋体" w:hAnsi="宋体"/>
          <w:color w:val="auto"/>
          <w:szCs w:val="21"/>
          <w:highlight w:val="none"/>
        </w:rPr>
        <w:t>提</w:t>
      </w:r>
      <w:r>
        <w:rPr>
          <w:rFonts w:hint="eastAsia" w:ascii="宋体" w:hAnsi="宋体"/>
          <w:color w:val="auto"/>
          <w:szCs w:val="21"/>
          <w:highlight w:val="none"/>
        </w:rPr>
        <w:t>交</w:t>
      </w:r>
      <w:r>
        <w:rPr>
          <w:rFonts w:ascii="宋体" w:hAnsi="宋体"/>
          <w:color w:val="auto"/>
          <w:szCs w:val="21"/>
          <w:highlight w:val="none"/>
        </w:rPr>
        <w:t>评</w:t>
      </w:r>
      <w:r>
        <w:rPr>
          <w:rFonts w:hint="eastAsia" w:ascii="宋体" w:hAnsi="宋体"/>
          <w:color w:val="auto"/>
          <w:szCs w:val="21"/>
          <w:highlight w:val="none"/>
        </w:rPr>
        <w:t>标</w:t>
      </w:r>
      <w:r>
        <w:rPr>
          <w:rFonts w:ascii="宋体" w:hAnsi="宋体"/>
          <w:color w:val="auto"/>
          <w:szCs w:val="21"/>
          <w:highlight w:val="none"/>
        </w:rPr>
        <w:t>报告报</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确认，采购人在收到评标报告3个工作日内确定中标人，按照评标报告中推荐的中标候选人顺序确定中标人，也可以事先授权评审委员会直接确定中标人。确认后采购代理机构将在刊登本项目招标公告的法定媒体上</w:t>
      </w:r>
      <w:r>
        <w:rPr>
          <w:rFonts w:ascii="宋体" w:hAnsi="宋体"/>
          <w:color w:val="auto"/>
          <w:szCs w:val="21"/>
          <w:highlight w:val="none"/>
        </w:rPr>
        <w:t>发</w:t>
      </w:r>
      <w:r>
        <w:rPr>
          <w:rFonts w:hint="eastAsia" w:ascii="宋体" w:hAnsi="宋体"/>
          <w:color w:val="auto"/>
          <w:szCs w:val="21"/>
          <w:highlight w:val="none"/>
        </w:rPr>
        <w:t>布中标公告。</w:t>
      </w:r>
    </w:p>
    <w:p>
      <w:pPr>
        <w:pStyle w:val="114"/>
        <w:widowControl/>
        <w:numPr>
          <w:ilvl w:val="1"/>
          <w:numId w:val="11"/>
        </w:numPr>
        <w:spacing w:line="360" w:lineRule="auto"/>
        <w:ind w:left="426" w:hanging="426" w:firstLineChars="0"/>
        <w:jc w:val="left"/>
        <w:rPr>
          <w:rFonts w:ascii="宋体" w:hAnsi="宋体"/>
          <w:color w:val="auto"/>
          <w:szCs w:val="21"/>
          <w:highlight w:val="none"/>
        </w:rPr>
      </w:pPr>
      <w:r>
        <w:rPr>
          <w:rFonts w:hint="eastAsia" w:ascii="宋体" w:hAnsi="宋体"/>
          <w:color w:val="auto"/>
          <w:szCs w:val="21"/>
          <w:highlight w:val="none"/>
        </w:rPr>
        <w:t>中标人拒绝与采购人签订合同的，采购人可以按照评审报告推荐的中标候选人名单排序，确定下一候选人为中标人，也可以重新开展采购活动。</w:t>
      </w:r>
    </w:p>
    <w:p>
      <w:pPr>
        <w:pStyle w:val="84"/>
        <w:widowControl/>
        <w:numPr>
          <w:ilvl w:val="0"/>
          <w:numId w:val="11"/>
        </w:numPr>
        <w:spacing w:line="360" w:lineRule="auto"/>
        <w:ind w:firstLineChars="0"/>
        <w:jc w:val="left"/>
        <w:rPr>
          <w:rFonts w:ascii="宋体" w:hAnsi="宋体"/>
          <w:b/>
          <w:color w:val="auto"/>
          <w:szCs w:val="21"/>
          <w:highlight w:val="none"/>
        </w:rPr>
      </w:pPr>
      <w:r>
        <w:rPr>
          <w:rFonts w:ascii="宋体" w:hAnsi="宋体"/>
          <w:b/>
          <w:color w:val="auto"/>
          <w:szCs w:val="21"/>
          <w:highlight w:val="none"/>
        </w:rPr>
        <w:t>特别说明</w:t>
      </w:r>
    </w:p>
    <w:p>
      <w:pPr>
        <w:pStyle w:val="84"/>
        <w:widowControl/>
        <w:numPr>
          <w:ilvl w:val="1"/>
          <w:numId w:val="11"/>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有下列情形之一的，视为投标人串通投标，其投标无效：</w:t>
      </w:r>
    </w:p>
    <w:p>
      <w:pPr>
        <w:pStyle w:val="84"/>
        <w:widowControl/>
        <w:numPr>
          <w:ilvl w:val="2"/>
          <w:numId w:val="11"/>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不同投标人的投标文件由同一单位或者个人编制；</w:t>
      </w:r>
    </w:p>
    <w:p>
      <w:pPr>
        <w:pStyle w:val="114"/>
        <w:numPr>
          <w:ilvl w:val="2"/>
          <w:numId w:val="11"/>
        </w:numPr>
        <w:spacing w:line="360" w:lineRule="auto"/>
        <w:ind w:firstLineChars="0"/>
        <w:rPr>
          <w:rFonts w:ascii="宋体" w:hAnsi="宋体"/>
          <w:color w:val="auto"/>
          <w:szCs w:val="21"/>
          <w:highlight w:val="none"/>
        </w:rPr>
      </w:pPr>
      <w:r>
        <w:rPr>
          <w:rFonts w:hint="eastAsia" w:ascii="宋体" w:hAnsi="宋体"/>
          <w:color w:val="auto"/>
          <w:szCs w:val="21"/>
          <w:highlight w:val="none"/>
        </w:rPr>
        <w:t>不同投标人使用同一IP地址参与投标；</w:t>
      </w:r>
    </w:p>
    <w:p>
      <w:pPr>
        <w:pStyle w:val="84"/>
        <w:widowControl/>
        <w:numPr>
          <w:ilvl w:val="2"/>
          <w:numId w:val="11"/>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不同投标人委托同一单位或者个人办理投标事宜；</w:t>
      </w:r>
    </w:p>
    <w:p>
      <w:pPr>
        <w:pStyle w:val="84"/>
        <w:widowControl/>
        <w:numPr>
          <w:ilvl w:val="2"/>
          <w:numId w:val="11"/>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不同投标人的投标文件载明的项目管理成员或者联系人员为同一人；</w:t>
      </w:r>
    </w:p>
    <w:p>
      <w:pPr>
        <w:pStyle w:val="84"/>
        <w:widowControl/>
        <w:numPr>
          <w:ilvl w:val="2"/>
          <w:numId w:val="11"/>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不同投标人的投标文件异常一致或者投标报价呈规律性差异；</w:t>
      </w:r>
    </w:p>
    <w:p>
      <w:pPr>
        <w:pStyle w:val="84"/>
        <w:widowControl/>
        <w:numPr>
          <w:ilvl w:val="2"/>
          <w:numId w:val="11"/>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不同投标人的投标文件相互混装；</w:t>
      </w:r>
    </w:p>
    <w:p>
      <w:pPr>
        <w:pStyle w:val="84"/>
        <w:widowControl/>
        <w:numPr>
          <w:ilvl w:val="1"/>
          <w:numId w:val="11"/>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投标人存在下列情况之一的，投标无效：</w:t>
      </w:r>
    </w:p>
    <w:p>
      <w:pPr>
        <w:pStyle w:val="84"/>
        <w:widowControl/>
        <w:numPr>
          <w:ilvl w:val="2"/>
          <w:numId w:val="11"/>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投标文件未按招标文件要求签署、盖章的；</w:t>
      </w:r>
    </w:p>
    <w:p>
      <w:pPr>
        <w:pStyle w:val="84"/>
        <w:widowControl/>
        <w:numPr>
          <w:ilvl w:val="2"/>
          <w:numId w:val="11"/>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不具备招标文件中规定的资格要求的；</w:t>
      </w:r>
    </w:p>
    <w:p>
      <w:pPr>
        <w:pStyle w:val="84"/>
        <w:widowControl/>
        <w:numPr>
          <w:ilvl w:val="2"/>
          <w:numId w:val="11"/>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报价超过招标文件中规定的预算金额或者最高限价的；</w:t>
      </w:r>
    </w:p>
    <w:p>
      <w:pPr>
        <w:pStyle w:val="84"/>
        <w:widowControl/>
        <w:numPr>
          <w:ilvl w:val="2"/>
          <w:numId w:val="11"/>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投标文件含有采购人不能接受的附加条件的;</w:t>
      </w:r>
    </w:p>
    <w:p>
      <w:pPr>
        <w:pStyle w:val="84"/>
        <w:widowControl/>
        <w:numPr>
          <w:ilvl w:val="2"/>
          <w:numId w:val="11"/>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法律、法规和招标文件规定的其他无效情形。</w:t>
      </w:r>
    </w:p>
    <w:p>
      <w:pPr>
        <w:pStyle w:val="84"/>
        <w:widowControl/>
        <w:numPr>
          <w:ilvl w:val="1"/>
          <w:numId w:val="11"/>
        </w:numPr>
        <w:spacing w:line="360" w:lineRule="auto"/>
        <w:ind w:firstLineChars="0"/>
        <w:jc w:val="left"/>
        <w:rPr>
          <w:rFonts w:ascii="宋体" w:hAnsi="宋体"/>
          <w:b/>
          <w:color w:val="auto"/>
          <w:szCs w:val="21"/>
          <w:highlight w:val="none"/>
        </w:rPr>
      </w:pPr>
      <w:r>
        <w:rPr>
          <w:rFonts w:ascii="宋体" w:hAnsi="宋体"/>
          <w:b/>
          <w:color w:val="auto"/>
          <w:szCs w:val="21"/>
          <w:highlight w:val="none"/>
        </w:rPr>
        <w:t>废标</w:t>
      </w:r>
    </w:p>
    <w:p>
      <w:pPr>
        <w:pStyle w:val="84"/>
        <w:widowControl/>
        <w:numPr>
          <w:ilvl w:val="2"/>
          <w:numId w:val="11"/>
        </w:numPr>
        <w:spacing w:line="360" w:lineRule="auto"/>
        <w:ind w:firstLineChars="0"/>
        <w:jc w:val="left"/>
        <w:rPr>
          <w:rFonts w:ascii="宋体" w:hAnsi="宋体"/>
          <w:color w:val="auto"/>
          <w:szCs w:val="21"/>
          <w:highlight w:val="none"/>
        </w:rPr>
      </w:pPr>
      <w:r>
        <w:rPr>
          <w:rFonts w:ascii="宋体" w:hAnsi="宋体"/>
          <w:color w:val="auto"/>
          <w:szCs w:val="21"/>
          <w:highlight w:val="none"/>
        </w:rPr>
        <w:t>在招标采购中，出现下列情形之一的，应予废标</w:t>
      </w:r>
      <w:r>
        <w:rPr>
          <w:rFonts w:hint="eastAsia" w:ascii="宋体" w:hAnsi="宋体"/>
          <w:color w:val="auto"/>
          <w:szCs w:val="21"/>
          <w:highlight w:val="none"/>
        </w:rPr>
        <w:t>。</w:t>
      </w:r>
    </w:p>
    <w:p>
      <w:pPr>
        <w:pStyle w:val="84"/>
        <w:widowControl/>
        <w:numPr>
          <w:ilvl w:val="2"/>
          <w:numId w:val="11"/>
        </w:numPr>
        <w:spacing w:line="360" w:lineRule="auto"/>
        <w:ind w:firstLineChars="0"/>
        <w:jc w:val="left"/>
        <w:rPr>
          <w:rFonts w:ascii="宋体" w:hAnsi="宋体"/>
          <w:color w:val="auto"/>
          <w:szCs w:val="21"/>
          <w:highlight w:val="none"/>
        </w:rPr>
      </w:pPr>
      <w:r>
        <w:rPr>
          <w:rFonts w:ascii="宋体" w:hAnsi="宋体"/>
          <w:color w:val="auto"/>
          <w:szCs w:val="21"/>
          <w:highlight w:val="none"/>
        </w:rPr>
        <w:t>符合专业条件的供应商或者对</w:t>
      </w:r>
      <w:r>
        <w:rPr>
          <w:rFonts w:hint="eastAsia" w:ascii="宋体" w:hAnsi="宋体"/>
          <w:color w:val="auto"/>
          <w:szCs w:val="21"/>
          <w:highlight w:val="none"/>
        </w:rPr>
        <w:t>招标</w:t>
      </w:r>
      <w:r>
        <w:rPr>
          <w:rFonts w:ascii="宋体" w:hAnsi="宋体"/>
          <w:color w:val="auto"/>
          <w:szCs w:val="21"/>
          <w:highlight w:val="none"/>
        </w:rPr>
        <w:t>文件作实质响应的供应商不足三家的；</w:t>
      </w:r>
    </w:p>
    <w:p>
      <w:pPr>
        <w:pStyle w:val="84"/>
        <w:widowControl/>
        <w:numPr>
          <w:ilvl w:val="2"/>
          <w:numId w:val="11"/>
        </w:numPr>
        <w:spacing w:line="360" w:lineRule="auto"/>
        <w:ind w:firstLineChars="0"/>
        <w:jc w:val="left"/>
        <w:rPr>
          <w:rFonts w:ascii="宋体" w:hAnsi="宋体"/>
          <w:color w:val="auto"/>
          <w:szCs w:val="21"/>
          <w:highlight w:val="none"/>
        </w:rPr>
      </w:pPr>
      <w:r>
        <w:rPr>
          <w:rFonts w:ascii="宋体" w:hAnsi="宋体"/>
          <w:color w:val="auto"/>
          <w:szCs w:val="21"/>
          <w:highlight w:val="none"/>
        </w:rPr>
        <w:t>出现影响采购公正的违法、违规行为的；</w:t>
      </w:r>
    </w:p>
    <w:p>
      <w:pPr>
        <w:pStyle w:val="84"/>
        <w:widowControl/>
        <w:numPr>
          <w:ilvl w:val="2"/>
          <w:numId w:val="11"/>
        </w:numPr>
        <w:spacing w:line="360" w:lineRule="auto"/>
        <w:ind w:firstLineChars="0"/>
        <w:jc w:val="left"/>
        <w:rPr>
          <w:rFonts w:ascii="宋体" w:hAnsi="宋体"/>
          <w:color w:val="auto"/>
          <w:szCs w:val="21"/>
          <w:highlight w:val="none"/>
        </w:rPr>
      </w:pPr>
      <w:r>
        <w:rPr>
          <w:rFonts w:ascii="宋体" w:hAnsi="宋体"/>
          <w:color w:val="auto"/>
          <w:szCs w:val="21"/>
          <w:highlight w:val="none"/>
        </w:rPr>
        <w:t>投标人的报价均超过了采购预算，采购人不能支付的；</w:t>
      </w:r>
    </w:p>
    <w:p>
      <w:pPr>
        <w:pStyle w:val="84"/>
        <w:widowControl/>
        <w:numPr>
          <w:ilvl w:val="2"/>
          <w:numId w:val="11"/>
        </w:numPr>
        <w:spacing w:line="360" w:lineRule="auto"/>
        <w:ind w:firstLineChars="0"/>
        <w:jc w:val="left"/>
        <w:rPr>
          <w:rFonts w:ascii="宋体" w:hAnsi="宋体"/>
          <w:color w:val="auto"/>
          <w:szCs w:val="21"/>
          <w:highlight w:val="none"/>
        </w:rPr>
      </w:pPr>
      <w:r>
        <w:rPr>
          <w:rFonts w:ascii="宋体" w:hAnsi="宋体"/>
          <w:color w:val="auto"/>
          <w:szCs w:val="21"/>
          <w:highlight w:val="none"/>
        </w:rPr>
        <w:t>因重大变故，采购任务取消的</w:t>
      </w:r>
      <w:r>
        <w:rPr>
          <w:rFonts w:hint="eastAsia" w:ascii="宋体" w:hAnsi="宋体"/>
          <w:color w:val="auto"/>
          <w:szCs w:val="21"/>
          <w:highlight w:val="none"/>
        </w:rPr>
        <w:t>。</w:t>
      </w:r>
    </w:p>
    <w:p>
      <w:pPr>
        <w:rPr>
          <w:rFonts w:ascii="宋体" w:hAnsi="宋体"/>
          <w:color w:val="auto"/>
          <w:szCs w:val="21"/>
          <w:highlight w:val="none"/>
        </w:rPr>
      </w:pPr>
      <w:r>
        <w:rPr>
          <w:rFonts w:hint="eastAsia" w:ascii="宋体" w:hAnsi="宋体"/>
          <w:color w:val="auto"/>
          <w:szCs w:val="21"/>
          <w:highlight w:val="none"/>
        </w:rPr>
        <w:br w:type="page"/>
      </w:r>
    </w:p>
    <w:p>
      <w:pPr>
        <w:spacing w:before="156" w:beforeLines="50" w:after="156" w:afterLines="50" w:line="360" w:lineRule="auto"/>
        <w:jc w:val="center"/>
        <w:outlineLvl w:val="0"/>
        <w:rPr>
          <w:b/>
          <w:bCs/>
          <w:color w:val="auto"/>
          <w:sz w:val="28"/>
          <w:szCs w:val="28"/>
          <w:highlight w:val="none"/>
        </w:rPr>
      </w:pPr>
      <w:bookmarkStart w:id="36" w:name="_Toc435109306"/>
      <w:bookmarkStart w:id="37" w:name="_Toc30300_WPSOffice_Level1"/>
      <w:bookmarkStart w:id="38" w:name="_Toc8307304"/>
      <w:bookmarkStart w:id="39" w:name="_Toc30641"/>
      <w:bookmarkStart w:id="40" w:name="_Toc8116"/>
      <w:bookmarkStart w:id="41" w:name="_Toc15437"/>
      <w:bookmarkStart w:id="42" w:name="_Toc435514850"/>
      <w:bookmarkStart w:id="43" w:name="_Toc435115055"/>
      <w:r>
        <w:rPr>
          <w:rFonts w:hint="eastAsia" w:asciiTheme="majorEastAsia" w:hAnsiTheme="majorEastAsia" w:eastAsiaTheme="majorEastAsia" w:cstheme="majorEastAsia"/>
          <w:b/>
          <w:bCs/>
          <w:color w:val="auto"/>
          <w:kern w:val="0"/>
          <w:sz w:val="32"/>
          <w:szCs w:val="32"/>
          <w:highlight w:val="none"/>
        </w:rPr>
        <w:t>第五章</w:t>
      </w:r>
      <w:bookmarkEnd w:id="36"/>
      <w:bookmarkStart w:id="44" w:name="_Toc435109307"/>
      <w:r>
        <w:rPr>
          <w:rFonts w:hint="eastAsia" w:asciiTheme="majorEastAsia" w:hAnsiTheme="majorEastAsia" w:eastAsiaTheme="majorEastAsia" w:cstheme="majorEastAsia"/>
          <w:b/>
          <w:bCs/>
          <w:color w:val="auto"/>
          <w:kern w:val="0"/>
          <w:sz w:val="32"/>
          <w:szCs w:val="32"/>
          <w:highlight w:val="none"/>
        </w:rPr>
        <w:t xml:space="preserve"> 合同文本（</w:t>
      </w:r>
      <w:r>
        <w:rPr>
          <w:rFonts w:hint="eastAsia" w:asciiTheme="majorEastAsia" w:hAnsiTheme="majorEastAsia" w:eastAsiaTheme="majorEastAsia" w:cstheme="majorEastAsia"/>
          <w:b/>
          <w:bCs/>
          <w:color w:val="auto"/>
          <w:kern w:val="0"/>
          <w:sz w:val="32"/>
          <w:szCs w:val="32"/>
          <w:highlight w:val="none"/>
          <w:lang w:eastAsia="zh-CN"/>
        </w:rPr>
        <w:t>仅供参考</w:t>
      </w:r>
      <w:r>
        <w:rPr>
          <w:rFonts w:hint="eastAsia" w:asciiTheme="majorEastAsia" w:hAnsiTheme="majorEastAsia" w:eastAsiaTheme="majorEastAsia" w:cstheme="majorEastAsia"/>
          <w:b/>
          <w:bCs/>
          <w:color w:val="auto"/>
          <w:kern w:val="0"/>
          <w:sz w:val="32"/>
          <w:szCs w:val="32"/>
          <w:highlight w:val="none"/>
        </w:rPr>
        <w:t>）</w:t>
      </w:r>
      <w:bookmarkEnd w:id="37"/>
      <w:bookmarkEnd w:id="38"/>
      <w:bookmarkEnd w:id="39"/>
      <w:bookmarkEnd w:id="40"/>
      <w:bookmarkEnd w:id="41"/>
    </w:p>
    <w:p>
      <w:pPr>
        <w:tabs>
          <w:tab w:val="left" w:pos="720"/>
        </w:tabs>
        <w:spacing w:line="360" w:lineRule="auto"/>
        <w:jc w:val="center"/>
        <w:rPr>
          <w:rFonts w:ascii="宋体" w:hAnsi="宋体" w:cs="宋体"/>
          <w:b/>
          <w:color w:val="auto"/>
          <w:sz w:val="24"/>
          <w:szCs w:val="21"/>
          <w:highlight w:val="none"/>
        </w:rPr>
      </w:pPr>
      <w:bookmarkStart w:id="45" w:name="_Toc9178_WPSOffice_Level1"/>
      <w:r>
        <w:rPr>
          <w:rFonts w:hint="eastAsia" w:ascii="宋体" w:hAnsi="宋体" w:cs="宋体"/>
          <w:b/>
          <w:color w:val="auto"/>
          <w:sz w:val="24"/>
          <w:szCs w:val="21"/>
          <w:highlight w:val="none"/>
        </w:rPr>
        <w:t>合同通用条款</w:t>
      </w:r>
      <w:bookmarkEnd w:id="42"/>
      <w:bookmarkEnd w:id="43"/>
      <w:bookmarkEnd w:id="44"/>
      <w:bookmarkEnd w:id="45"/>
    </w:p>
    <w:p>
      <w:pPr>
        <w:tabs>
          <w:tab w:val="left" w:pos="720"/>
        </w:tabs>
        <w:spacing w:line="360" w:lineRule="auto"/>
        <w:rPr>
          <w:rFonts w:ascii="宋体" w:hAnsi="宋体" w:cs="宋体"/>
          <w:color w:val="auto"/>
          <w:szCs w:val="21"/>
          <w:highlight w:val="none"/>
        </w:rPr>
      </w:pPr>
      <w:bookmarkStart w:id="46" w:name="_Toc4689_WPSOffice_Level1"/>
      <w:r>
        <w:rPr>
          <w:rFonts w:hint="eastAsia" w:ascii="宋体" w:hAnsi="宋体" w:cs="宋体"/>
          <w:color w:val="auto"/>
          <w:szCs w:val="21"/>
          <w:highlight w:val="none"/>
        </w:rPr>
        <w:t>甲    方（采购人）：</w:t>
      </w:r>
      <w:bookmarkEnd w:id="46"/>
    </w:p>
    <w:p>
      <w:pPr>
        <w:spacing w:line="360" w:lineRule="auto"/>
        <w:rPr>
          <w:rFonts w:ascii="宋体" w:hAnsi="宋体" w:cs="宋体"/>
          <w:color w:val="auto"/>
          <w:szCs w:val="21"/>
          <w:highlight w:val="none"/>
        </w:rPr>
      </w:pPr>
      <w:r>
        <w:rPr>
          <w:rFonts w:hint="eastAsia" w:ascii="宋体" w:hAnsi="宋体" w:cs="宋体"/>
          <w:color w:val="auto"/>
          <w:szCs w:val="21"/>
          <w:highlight w:val="none"/>
        </w:rPr>
        <w:t>电    话：           　   传  真：           住  所：</w:t>
      </w:r>
    </w:p>
    <w:p>
      <w:pPr>
        <w:spacing w:line="360" w:lineRule="auto"/>
        <w:rPr>
          <w:rFonts w:ascii="宋体" w:hAnsi="宋体" w:cs="宋体"/>
          <w:color w:val="auto"/>
          <w:szCs w:val="21"/>
          <w:highlight w:val="none"/>
        </w:rPr>
      </w:pPr>
      <w:bookmarkStart w:id="47" w:name="_Toc32196_WPSOffice_Level1"/>
      <w:r>
        <w:rPr>
          <w:rFonts w:hint="eastAsia" w:ascii="宋体" w:hAnsi="宋体" w:cs="宋体"/>
          <w:color w:val="auto"/>
          <w:szCs w:val="21"/>
          <w:highlight w:val="none"/>
        </w:rPr>
        <w:t>乙    方（中标人）：</w:t>
      </w:r>
      <w:bookmarkEnd w:id="47"/>
    </w:p>
    <w:p>
      <w:pPr>
        <w:spacing w:line="360" w:lineRule="auto"/>
        <w:rPr>
          <w:rFonts w:ascii="宋体" w:hAnsi="宋体" w:cs="宋体"/>
          <w:color w:val="auto"/>
          <w:szCs w:val="21"/>
          <w:highlight w:val="none"/>
        </w:rPr>
      </w:pPr>
      <w:r>
        <w:rPr>
          <w:rFonts w:hint="eastAsia" w:ascii="宋体" w:hAnsi="宋体" w:cs="宋体"/>
          <w:color w:val="auto"/>
          <w:szCs w:val="21"/>
          <w:highlight w:val="none"/>
        </w:rPr>
        <w:t>电    话：                传  真：           住  所：</w:t>
      </w:r>
    </w:p>
    <w:p>
      <w:pPr>
        <w:tabs>
          <w:tab w:val="left" w:pos="720"/>
        </w:tabs>
        <w:spacing w:line="360" w:lineRule="auto"/>
        <w:rPr>
          <w:rFonts w:ascii="宋体" w:hAnsi="宋体" w:cs="宋体"/>
          <w:color w:val="auto"/>
          <w:szCs w:val="21"/>
          <w:highlight w:val="none"/>
        </w:rPr>
      </w:pPr>
      <w:r>
        <w:rPr>
          <w:rFonts w:hint="eastAsia" w:ascii="宋体" w:hAnsi="宋体" w:cs="宋体"/>
          <w:color w:val="auto"/>
          <w:szCs w:val="21"/>
          <w:highlight w:val="none"/>
        </w:rPr>
        <w:t>项目名称：                                   项目编号：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深圳市疾病预防控制中心艾防硒标耗材一批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olor w:val="auto"/>
          <w:highlight w:val="none"/>
          <w:lang w:eastAsia="zh-CN"/>
        </w:rPr>
        <w:t>CD-1711098581051A</w:t>
      </w:r>
      <w:r>
        <w:rPr>
          <w:rFonts w:hint="eastAsia" w:ascii="宋体" w:hAnsi="宋体" w:cs="宋体"/>
          <w:color w:val="auto"/>
          <w:szCs w:val="21"/>
          <w:highlight w:val="none"/>
        </w:rPr>
        <w:t>）的采购结果，按照</w:t>
      </w:r>
      <w:r>
        <w:rPr>
          <w:rFonts w:hint="eastAsia" w:asciiTheme="minorEastAsia" w:hAnsiTheme="minorEastAsia" w:eastAsiaTheme="minorEastAsia"/>
          <w:color w:val="auto"/>
          <w:szCs w:val="21"/>
          <w:highlight w:val="none"/>
        </w:rPr>
        <w:t>《中华人民共和国民法典》和《深圳经济特区政府采购条例》</w:t>
      </w:r>
      <w:r>
        <w:rPr>
          <w:rFonts w:hint="eastAsia" w:ascii="宋体" w:hAnsi="宋体" w:cs="宋体"/>
          <w:color w:val="auto"/>
          <w:szCs w:val="21"/>
          <w:highlight w:val="none"/>
        </w:rPr>
        <w:t>的规定，经双方协商，本着平等互利和诚实信用的原则，一致同意签订本合同如下。</w:t>
      </w:r>
    </w:p>
    <w:p>
      <w:pPr>
        <w:numPr>
          <w:ilvl w:val="0"/>
          <w:numId w:val="12"/>
        </w:numPr>
        <w:tabs>
          <w:tab w:val="left" w:pos="425"/>
        </w:tabs>
        <w:spacing w:line="420" w:lineRule="auto"/>
        <w:ind w:left="0" w:firstLine="0"/>
        <w:outlineLvl w:val="2"/>
        <w:rPr>
          <w:rFonts w:ascii="宋体" w:hAnsi="宋体" w:cs="宋体"/>
          <w:b/>
          <w:color w:val="auto"/>
          <w:szCs w:val="21"/>
          <w:highlight w:val="none"/>
        </w:rPr>
      </w:pPr>
      <w:bookmarkStart w:id="48" w:name="_Toc32645"/>
      <w:r>
        <w:rPr>
          <w:rFonts w:hint="eastAsia" w:ascii="宋体" w:hAnsi="宋体" w:cs="宋体"/>
          <w:b/>
          <w:color w:val="auto"/>
          <w:szCs w:val="21"/>
          <w:highlight w:val="none"/>
        </w:rPr>
        <w:t>采购标的</w:t>
      </w:r>
      <w:bookmarkEnd w:id="48"/>
    </w:p>
    <w:tbl>
      <w:tblPr>
        <w:tblStyle w:val="38"/>
        <w:tblW w:w="912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4"/>
        <w:gridCol w:w="1250"/>
        <w:gridCol w:w="3209"/>
        <w:gridCol w:w="974"/>
        <w:gridCol w:w="974"/>
        <w:gridCol w:w="1169"/>
        <w:gridCol w:w="9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574" w:type="dxa"/>
            <w:vAlign w:val="center"/>
          </w:tcPr>
          <w:p>
            <w:pPr>
              <w:ind w:left="-65" w:leftChars="-31" w:right="-92" w:rightChars="-44"/>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50" w:type="dxa"/>
            <w:vAlign w:val="center"/>
          </w:tcPr>
          <w:p>
            <w:pPr>
              <w:ind w:left="-65" w:leftChars="-31" w:right="-92" w:rightChars="-44"/>
              <w:jc w:val="center"/>
              <w:rPr>
                <w:rFonts w:ascii="宋体" w:hAnsi="宋体" w:cs="宋体"/>
                <w:color w:val="auto"/>
                <w:szCs w:val="21"/>
                <w:highlight w:val="none"/>
              </w:rPr>
            </w:pPr>
            <w:r>
              <w:rPr>
                <w:rFonts w:hint="eastAsia" w:ascii="宋体" w:hAnsi="宋体" w:cs="宋体"/>
                <w:color w:val="auto"/>
                <w:szCs w:val="21"/>
                <w:highlight w:val="none"/>
              </w:rPr>
              <w:t>商品名称</w:t>
            </w:r>
          </w:p>
        </w:tc>
        <w:tc>
          <w:tcPr>
            <w:tcW w:w="3209" w:type="dxa"/>
            <w:vAlign w:val="center"/>
          </w:tcPr>
          <w:p>
            <w:pPr>
              <w:ind w:left="-65" w:leftChars="-31" w:right="-92" w:rightChars="-44"/>
              <w:jc w:val="center"/>
              <w:rPr>
                <w:rFonts w:ascii="宋体" w:hAnsi="宋体" w:cs="宋体"/>
                <w:color w:val="auto"/>
                <w:szCs w:val="21"/>
                <w:highlight w:val="none"/>
              </w:rPr>
            </w:pPr>
            <w:r>
              <w:rPr>
                <w:rFonts w:hint="eastAsia" w:ascii="宋体" w:hAnsi="宋体" w:cs="宋体"/>
                <w:color w:val="auto"/>
                <w:szCs w:val="21"/>
                <w:highlight w:val="none"/>
              </w:rPr>
              <w:t>品牌、规格型号、配置（性能参数）</w:t>
            </w:r>
          </w:p>
        </w:tc>
        <w:tc>
          <w:tcPr>
            <w:tcW w:w="974" w:type="dxa"/>
            <w:vAlign w:val="center"/>
          </w:tcPr>
          <w:p>
            <w:pPr>
              <w:ind w:left="-65" w:leftChars="-31" w:right="-92" w:rightChars="-44"/>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974" w:type="dxa"/>
            <w:vAlign w:val="center"/>
          </w:tcPr>
          <w:p>
            <w:pPr>
              <w:ind w:left="-65" w:leftChars="-31" w:right="-92" w:rightChars="-44"/>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169" w:type="dxa"/>
            <w:vAlign w:val="center"/>
          </w:tcPr>
          <w:p>
            <w:pPr>
              <w:ind w:left="-65" w:leftChars="-31" w:right="-92" w:rightChars="-44"/>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974" w:type="dxa"/>
            <w:vAlign w:val="center"/>
          </w:tcPr>
          <w:p>
            <w:pPr>
              <w:ind w:left="-65" w:leftChars="-31" w:right="-92" w:rightChars="-44"/>
              <w:jc w:val="center"/>
              <w:rPr>
                <w:rFonts w:ascii="宋体" w:hAnsi="宋体" w:cs="宋体"/>
                <w:color w:val="auto"/>
                <w:szCs w:val="21"/>
                <w:highlight w:val="none"/>
              </w:rPr>
            </w:pPr>
            <w:r>
              <w:rPr>
                <w:rFonts w:hint="eastAsia" w:ascii="宋体" w:hAnsi="宋体" w:cs="宋体"/>
                <w:color w:val="auto"/>
                <w:szCs w:val="21"/>
                <w:highlight w:val="none"/>
              </w:rPr>
              <w:t>金额(元)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 w:hRule="atLeast"/>
        </w:trPr>
        <w:tc>
          <w:tcPr>
            <w:tcW w:w="57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50" w:type="dxa"/>
            <w:vAlign w:val="center"/>
          </w:tcPr>
          <w:p>
            <w:pPr>
              <w:rPr>
                <w:rFonts w:ascii="宋体" w:hAnsi="宋体" w:cs="宋体"/>
                <w:color w:val="auto"/>
                <w:szCs w:val="21"/>
                <w:highlight w:val="none"/>
              </w:rPr>
            </w:pPr>
          </w:p>
        </w:tc>
        <w:tc>
          <w:tcPr>
            <w:tcW w:w="3209" w:type="dxa"/>
            <w:vAlign w:val="center"/>
          </w:tcPr>
          <w:p>
            <w:pPr>
              <w:rPr>
                <w:rFonts w:ascii="宋体" w:hAnsi="宋体" w:cs="宋体"/>
                <w:color w:val="auto"/>
                <w:szCs w:val="21"/>
                <w:highlight w:val="none"/>
              </w:rPr>
            </w:pPr>
          </w:p>
        </w:tc>
        <w:tc>
          <w:tcPr>
            <w:tcW w:w="974" w:type="dxa"/>
            <w:vAlign w:val="center"/>
          </w:tcPr>
          <w:p>
            <w:pPr>
              <w:rPr>
                <w:rFonts w:ascii="宋体" w:hAnsi="宋体" w:cs="宋体"/>
                <w:color w:val="auto"/>
                <w:szCs w:val="21"/>
                <w:highlight w:val="none"/>
              </w:rPr>
            </w:pPr>
          </w:p>
        </w:tc>
        <w:tc>
          <w:tcPr>
            <w:tcW w:w="974" w:type="dxa"/>
            <w:vAlign w:val="center"/>
          </w:tcPr>
          <w:p>
            <w:pPr>
              <w:rPr>
                <w:rFonts w:ascii="宋体" w:hAnsi="宋体" w:cs="宋体"/>
                <w:color w:val="auto"/>
                <w:szCs w:val="21"/>
                <w:highlight w:val="none"/>
              </w:rPr>
            </w:pPr>
          </w:p>
        </w:tc>
        <w:tc>
          <w:tcPr>
            <w:tcW w:w="1169" w:type="dxa"/>
            <w:vAlign w:val="center"/>
          </w:tcPr>
          <w:p>
            <w:pPr>
              <w:rPr>
                <w:rFonts w:ascii="宋体" w:hAnsi="宋体" w:cs="宋体"/>
                <w:color w:val="auto"/>
                <w:szCs w:val="21"/>
                <w:highlight w:val="none"/>
              </w:rPr>
            </w:pPr>
          </w:p>
        </w:tc>
        <w:tc>
          <w:tcPr>
            <w:tcW w:w="974" w:type="dxa"/>
            <w:vAlign w:val="center"/>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 w:hRule="atLeast"/>
        </w:trPr>
        <w:tc>
          <w:tcPr>
            <w:tcW w:w="57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250" w:type="dxa"/>
            <w:vAlign w:val="center"/>
          </w:tcPr>
          <w:p>
            <w:pPr>
              <w:rPr>
                <w:rFonts w:ascii="宋体" w:hAnsi="宋体" w:cs="宋体"/>
                <w:color w:val="auto"/>
                <w:szCs w:val="21"/>
                <w:highlight w:val="none"/>
              </w:rPr>
            </w:pPr>
          </w:p>
        </w:tc>
        <w:tc>
          <w:tcPr>
            <w:tcW w:w="3209" w:type="dxa"/>
            <w:vAlign w:val="center"/>
          </w:tcPr>
          <w:p>
            <w:pPr>
              <w:rPr>
                <w:rFonts w:ascii="宋体" w:hAnsi="宋体" w:cs="宋体"/>
                <w:color w:val="auto"/>
                <w:szCs w:val="21"/>
                <w:highlight w:val="none"/>
              </w:rPr>
            </w:pPr>
          </w:p>
        </w:tc>
        <w:tc>
          <w:tcPr>
            <w:tcW w:w="974" w:type="dxa"/>
            <w:vAlign w:val="center"/>
          </w:tcPr>
          <w:p>
            <w:pPr>
              <w:rPr>
                <w:rFonts w:ascii="宋体" w:hAnsi="宋体" w:cs="宋体"/>
                <w:color w:val="auto"/>
                <w:szCs w:val="21"/>
                <w:highlight w:val="none"/>
              </w:rPr>
            </w:pPr>
          </w:p>
        </w:tc>
        <w:tc>
          <w:tcPr>
            <w:tcW w:w="974" w:type="dxa"/>
            <w:vAlign w:val="center"/>
          </w:tcPr>
          <w:p>
            <w:pPr>
              <w:rPr>
                <w:rFonts w:ascii="宋体" w:hAnsi="宋体" w:cs="宋体"/>
                <w:color w:val="auto"/>
                <w:szCs w:val="21"/>
                <w:highlight w:val="none"/>
              </w:rPr>
            </w:pPr>
          </w:p>
        </w:tc>
        <w:tc>
          <w:tcPr>
            <w:tcW w:w="1169" w:type="dxa"/>
            <w:vAlign w:val="center"/>
          </w:tcPr>
          <w:p>
            <w:pPr>
              <w:rPr>
                <w:rFonts w:ascii="宋体" w:hAnsi="宋体" w:cs="宋体"/>
                <w:color w:val="auto"/>
                <w:szCs w:val="21"/>
                <w:highlight w:val="none"/>
              </w:rPr>
            </w:pPr>
          </w:p>
        </w:tc>
        <w:tc>
          <w:tcPr>
            <w:tcW w:w="974" w:type="dxa"/>
            <w:vAlign w:val="center"/>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5" w:hRule="atLeast"/>
        </w:trPr>
        <w:tc>
          <w:tcPr>
            <w:tcW w:w="57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250" w:type="dxa"/>
            <w:vAlign w:val="center"/>
          </w:tcPr>
          <w:p>
            <w:pPr>
              <w:rPr>
                <w:rFonts w:ascii="宋体" w:hAnsi="宋体" w:cs="宋体"/>
                <w:color w:val="auto"/>
                <w:szCs w:val="21"/>
                <w:highlight w:val="none"/>
              </w:rPr>
            </w:pPr>
          </w:p>
        </w:tc>
        <w:tc>
          <w:tcPr>
            <w:tcW w:w="3209" w:type="dxa"/>
            <w:vAlign w:val="center"/>
          </w:tcPr>
          <w:p>
            <w:pPr>
              <w:rPr>
                <w:rFonts w:ascii="宋体" w:hAnsi="宋体" w:cs="宋体"/>
                <w:color w:val="auto"/>
                <w:szCs w:val="21"/>
                <w:highlight w:val="none"/>
              </w:rPr>
            </w:pPr>
          </w:p>
        </w:tc>
        <w:tc>
          <w:tcPr>
            <w:tcW w:w="974" w:type="dxa"/>
            <w:vAlign w:val="center"/>
          </w:tcPr>
          <w:p>
            <w:pPr>
              <w:rPr>
                <w:rFonts w:ascii="宋体" w:hAnsi="宋体" w:cs="宋体"/>
                <w:color w:val="auto"/>
                <w:szCs w:val="21"/>
                <w:highlight w:val="none"/>
              </w:rPr>
            </w:pPr>
          </w:p>
        </w:tc>
        <w:tc>
          <w:tcPr>
            <w:tcW w:w="974" w:type="dxa"/>
            <w:vAlign w:val="center"/>
          </w:tcPr>
          <w:p>
            <w:pPr>
              <w:rPr>
                <w:rFonts w:ascii="宋体" w:hAnsi="宋体" w:cs="宋体"/>
                <w:color w:val="auto"/>
                <w:szCs w:val="21"/>
                <w:highlight w:val="none"/>
              </w:rPr>
            </w:pPr>
          </w:p>
        </w:tc>
        <w:tc>
          <w:tcPr>
            <w:tcW w:w="1169" w:type="dxa"/>
            <w:vAlign w:val="center"/>
          </w:tcPr>
          <w:p>
            <w:pPr>
              <w:rPr>
                <w:rFonts w:ascii="宋体" w:hAnsi="宋体" w:cs="宋体"/>
                <w:color w:val="auto"/>
                <w:szCs w:val="21"/>
                <w:highlight w:val="none"/>
              </w:rPr>
            </w:pPr>
          </w:p>
        </w:tc>
        <w:tc>
          <w:tcPr>
            <w:tcW w:w="974" w:type="dxa"/>
            <w:vAlign w:val="center"/>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9124" w:type="dxa"/>
            <w:gridSpan w:val="7"/>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  合计总额：￥ 元；    大写：</w:t>
            </w:r>
          </w:p>
        </w:tc>
      </w:tr>
    </w:tbl>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合同总额包括乙方设计、安装、随机零配件、标配工具、运输保险、调试、培训、质保期服务、各项税费及合同实施过程中不可预见费用等项目相关的一切费用。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注：货物名称内容必须与投标文件中货物名称内容一致。</w:t>
      </w:r>
    </w:p>
    <w:p>
      <w:pPr>
        <w:numPr>
          <w:ilvl w:val="0"/>
          <w:numId w:val="12"/>
        </w:numPr>
        <w:tabs>
          <w:tab w:val="left" w:pos="425"/>
        </w:tabs>
        <w:spacing w:line="360" w:lineRule="auto"/>
        <w:ind w:left="0" w:firstLine="0"/>
        <w:outlineLvl w:val="2"/>
        <w:rPr>
          <w:rFonts w:ascii="宋体" w:hAnsi="宋体" w:cs="宋体"/>
          <w:b/>
          <w:color w:val="auto"/>
          <w:szCs w:val="21"/>
          <w:highlight w:val="none"/>
        </w:rPr>
      </w:pPr>
      <w:bookmarkStart w:id="49" w:name="_Toc6982"/>
      <w:r>
        <w:rPr>
          <w:rFonts w:hint="eastAsia" w:ascii="宋体" w:hAnsi="宋体" w:cs="宋体"/>
          <w:b/>
          <w:color w:val="auto"/>
          <w:szCs w:val="21"/>
          <w:highlight w:val="none"/>
        </w:rPr>
        <w:t>合同金额</w:t>
      </w:r>
      <w:bookmarkEnd w:id="49"/>
    </w:p>
    <w:p>
      <w:pPr>
        <w:pStyle w:val="2"/>
        <w:adjustRightInd w:val="0"/>
        <w:snapToGrid w:val="0"/>
        <w:spacing w:line="360" w:lineRule="auto"/>
        <w:ind w:firstLine="420" w:firstLineChars="200"/>
        <w:rPr>
          <w:rFonts w:hAnsi="宋体" w:cs="宋体"/>
          <w:color w:val="auto"/>
          <w:kern w:val="0"/>
          <w:highlight w:val="none"/>
        </w:rPr>
      </w:pPr>
      <w:r>
        <w:rPr>
          <w:rFonts w:hint="eastAsia" w:hAnsi="宋体" w:cs="宋体"/>
          <w:color w:val="auto"/>
          <w:kern w:val="0"/>
          <w:highlight w:val="none"/>
        </w:rPr>
        <w:t>合同金额为（大写）：</w:t>
      </w:r>
      <w:r>
        <w:rPr>
          <w:rFonts w:hint="eastAsia" w:hAnsi="宋体" w:cs="宋体"/>
          <w:color w:val="auto"/>
          <w:kern w:val="0"/>
          <w:highlight w:val="none"/>
          <w:u w:val="single"/>
        </w:rPr>
        <w:t>元（￥元）</w:t>
      </w:r>
      <w:r>
        <w:rPr>
          <w:rFonts w:hint="eastAsia" w:hAnsi="宋体" w:cs="宋体"/>
          <w:color w:val="auto"/>
          <w:kern w:val="0"/>
          <w:highlight w:val="none"/>
        </w:rPr>
        <w:t>。</w:t>
      </w:r>
    </w:p>
    <w:p>
      <w:pPr>
        <w:numPr>
          <w:ilvl w:val="0"/>
          <w:numId w:val="12"/>
        </w:numPr>
        <w:tabs>
          <w:tab w:val="left" w:pos="425"/>
        </w:tabs>
        <w:spacing w:line="360" w:lineRule="auto"/>
        <w:ind w:left="0" w:firstLine="0"/>
        <w:outlineLvl w:val="2"/>
        <w:rPr>
          <w:rFonts w:ascii="宋体" w:hAnsi="宋体" w:cs="宋体"/>
          <w:b/>
          <w:color w:val="auto"/>
          <w:szCs w:val="21"/>
          <w:highlight w:val="none"/>
        </w:rPr>
      </w:pPr>
      <w:bookmarkStart w:id="50" w:name="_Toc25015"/>
      <w:r>
        <w:rPr>
          <w:rFonts w:hint="eastAsia" w:ascii="宋体" w:hAnsi="宋体" w:cs="宋体"/>
          <w:b/>
          <w:color w:val="auto"/>
          <w:szCs w:val="21"/>
          <w:highlight w:val="none"/>
        </w:rPr>
        <w:t>设备要求</w:t>
      </w:r>
      <w:bookmarkEnd w:id="50"/>
    </w:p>
    <w:p>
      <w:pPr>
        <w:numPr>
          <w:ilvl w:val="0"/>
          <w:numId w:val="13"/>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货物为原制造商制造的全新产品，整机无污染，无侵权行为、表面无划损、无任何缺陷隐患，在中国境内可依常规安全合法使用。</w:t>
      </w:r>
    </w:p>
    <w:p>
      <w:pPr>
        <w:numPr>
          <w:ilvl w:val="0"/>
          <w:numId w:val="13"/>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交付验收标准依次序对照适用标准为：①符合中华人民共和国国家安全质量标准、环保标准或行业标准；②符合招标文件和响应承诺中甲方认可的合理最佳配置、参数及各项要求；③货物来源国官方标准。</w:t>
      </w:r>
    </w:p>
    <w:p>
      <w:pPr>
        <w:numPr>
          <w:ilvl w:val="0"/>
          <w:numId w:val="13"/>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进口产品必须具备原产地证明和商检局的检验证明及合法进货渠道证明（如有适用）。</w:t>
      </w:r>
    </w:p>
    <w:p>
      <w:pPr>
        <w:numPr>
          <w:ilvl w:val="0"/>
          <w:numId w:val="13"/>
        </w:numPr>
        <w:tabs>
          <w:tab w:val="left" w:pos="735"/>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货物为原厂商未启封全新包装，具出厂合格证，序列号、包装箱号与出厂批号一致，并可追索查阅。</w:t>
      </w:r>
    </w:p>
    <w:p>
      <w:pPr>
        <w:numPr>
          <w:ilvl w:val="0"/>
          <w:numId w:val="13"/>
        </w:numPr>
        <w:tabs>
          <w:tab w:val="left" w:pos="360"/>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乙方应将关键主机设备的用户手册、保修手册、有关单证资料及配备件、随机工具等交付给甲方，使用操作及安全须知等重要资料应附有中文说明。</w:t>
      </w:r>
    </w:p>
    <w:p>
      <w:pPr>
        <w:numPr>
          <w:ilvl w:val="0"/>
          <w:numId w:val="12"/>
        </w:numPr>
        <w:tabs>
          <w:tab w:val="left" w:pos="425"/>
        </w:tabs>
        <w:spacing w:line="360" w:lineRule="auto"/>
        <w:ind w:left="0" w:firstLine="0"/>
        <w:outlineLvl w:val="2"/>
        <w:rPr>
          <w:rFonts w:ascii="宋体" w:hAnsi="宋体" w:cs="宋体"/>
          <w:b/>
          <w:color w:val="auto"/>
          <w:szCs w:val="21"/>
          <w:highlight w:val="none"/>
        </w:rPr>
      </w:pPr>
      <w:bookmarkStart w:id="51" w:name="_Toc9082"/>
      <w:r>
        <w:rPr>
          <w:rFonts w:hint="eastAsia" w:ascii="宋体" w:hAnsi="宋体" w:cs="宋体"/>
          <w:b/>
          <w:color w:val="auto"/>
          <w:szCs w:val="21"/>
          <w:highlight w:val="none"/>
        </w:rPr>
        <w:t>质量要求：</w:t>
      </w:r>
      <w:bookmarkEnd w:id="51"/>
    </w:p>
    <w:p>
      <w:pPr>
        <w:numPr>
          <w:ilvl w:val="0"/>
          <w:numId w:val="1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乙方须提供全新的货物（含零部件、配件等）表面无划伤、无碰撞痕迹，且权属清楚，不得侵害他人的知识产权。</w:t>
      </w:r>
    </w:p>
    <w:p>
      <w:pPr>
        <w:numPr>
          <w:ilvl w:val="0"/>
          <w:numId w:val="1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货物必须符合或优于国家（行业）</w:t>
      </w:r>
      <w:r>
        <w:rPr>
          <w:rFonts w:hint="eastAsia" w:ascii="宋体" w:hAnsi="宋体" w:cs="宋体"/>
          <w:color w:val="auto"/>
          <w:szCs w:val="21"/>
          <w:highlight w:val="none"/>
          <w:u w:val="single"/>
        </w:rPr>
        <w:t xml:space="preserve">    行业   </w:t>
      </w:r>
      <w:r>
        <w:rPr>
          <w:rFonts w:hint="eastAsia" w:ascii="宋体" w:hAnsi="宋体" w:cs="宋体"/>
          <w:color w:val="auto"/>
          <w:szCs w:val="21"/>
          <w:highlight w:val="none"/>
        </w:rPr>
        <w:t>标准，以及本项目招标文件的质量要求和技术指标与出厂标准。</w:t>
      </w:r>
    </w:p>
    <w:p>
      <w:pPr>
        <w:numPr>
          <w:ilvl w:val="0"/>
          <w:numId w:val="1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乙方须在本合同签订之日起 日内送交货物成品样品给甲方确认，在甲方出具样品确认书并封存成品样品外观尺寸后，乙方才能按样生产，并以此样品作为验收样品；每台货物上均应有产品质量检验合格标志。</w:t>
      </w:r>
    </w:p>
    <w:p>
      <w:pPr>
        <w:numPr>
          <w:ilvl w:val="0"/>
          <w:numId w:val="1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货物制造质量出现问题，乙方应负责三包（包修、包换、包退），费用由乙方负担，甲方有权到乙方生产场地检查货物质量和生产进度。</w:t>
      </w:r>
    </w:p>
    <w:p>
      <w:pPr>
        <w:numPr>
          <w:ilvl w:val="0"/>
          <w:numId w:val="1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货到现场后由于甲方保管不当造成的质量问题，乙方亦应负责修理，但费用由甲方负担。</w:t>
      </w:r>
    </w:p>
    <w:p>
      <w:pPr>
        <w:numPr>
          <w:ilvl w:val="0"/>
          <w:numId w:val="12"/>
        </w:numPr>
        <w:tabs>
          <w:tab w:val="left" w:pos="425"/>
        </w:tabs>
        <w:spacing w:line="360" w:lineRule="auto"/>
        <w:ind w:left="0" w:firstLine="0"/>
        <w:outlineLvl w:val="2"/>
        <w:rPr>
          <w:rFonts w:ascii="宋体" w:hAnsi="宋体" w:cs="宋体"/>
          <w:b/>
          <w:color w:val="auto"/>
          <w:szCs w:val="21"/>
          <w:highlight w:val="none"/>
        </w:rPr>
      </w:pPr>
      <w:bookmarkStart w:id="52" w:name="_Toc14428"/>
      <w:r>
        <w:rPr>
          <w:rFonts w:hint="eastAsia" w:ascii="宋体" w:hAnsi="宋体" w:cs="宋体"/>
          <w:b/>
          <w:color w:val="auto"/>
          <w:szCs w:val="21"/>
          <w:highlight w:val="none"/>
        </w:rPr>
        <w:t>交货期、交货方式及交货地点</w:t>
      </w:r>
      <w:bookmarkEnd w:id="52"/>
    </w:p>
    <w:p>
      <w:pPr>
        <w:numPr>
          <w:ilvl w:val="0"/>
          <w:numId w:val="1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交货期：</w:t>
      </w:r>
    </w:p>
    <w:p>
      <w:pPr>
        <w:numPr>
          <w:ilvl w:val="0"/>
          <w:numId w:val="1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交货方式：</w:t>
      </w:r>
    </w:p>
    <w:p>
      <w:pPr>
        <w:numPr>
          <w:ilvl w:val="0"/>
          <w:numId w:val="1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交货地点：</w:t>
      </w:r>
    </w:p>
    <w:p>
      <w:pPr>
        <w:numPr>
          <w:ilvl w:val="0"/>
          <w:numId w:val="12"/>
        </w:numPr>
        <w:tabs>
          <w:tab w:val="left" w:pos="425"/>
        </w:tabs>
        <w:spacing w:line="360" w:lineRule="auto"/>
        <w:ind w:left="0" w:firstLine="0"/>
        <w:outlineLvl w:val="2"/>
        <w:rPr>
          <w:rFonts w:ascii="宋体" w:hAnsi="宋体" w:cs="宋体"/>
          <w:b/>
          <w:color w:val="auto"/>
          <w:szCs w:val="21"/>
          <w:highlight w:val="none"/>
        </w:rPr>
      </w:pPr>
      <w:bookmarkStart w:id="53" w:name="_Toc24297"/>
      <w:r>
        <w:rPr>
          <w:rFonts w:hint="eastAsia" w:ascii="宋体" w:hAnsi="宋体" w:cs="宋体"/>
          <w:b/>
          <w:color w:val="auto"/>
          <w:szCs w:val="21"/>
          <w:highlight w:val="none"/>
        </w:rPr>
        <w:t>付款方式：</w:t>
      </w:r>
      <w:bookmarkEnd w:id="53"/>
    </w:p>
    <w:p>
      <w:pPr>
        <w:tabs>
          <w:tab w:val="left" w:pos="425"/>
          <w:tab w:val="left" w:pos="960"/>
        </w:tabs>
        <w:spacing w:line="360" w:lineRule="auto"/>
        <w:outlineLvl w:val="2"/>
        <w:rPr>
          <w:rFonts w:ascii="宋体" w:hAnsi="宋体" w:cs="宋体"/>
          <w:b/>
          <w:color w:val="auto"/>
          <w:szCs w:val="21"/>
          <w:highlight w:val="none"/>
        </w:rPr>
      </w:pPr>
    </w:p>
    <w:p>
      <w:pPr>
        <w:numPr>
          <w:ilvl w:val="0"/>
          <w:numId w:val="12"/>
        </w:numPr>
        <w:tabs>
          <w:tab w:val="left" w:pos="425"/>
        </w:tabs>
        <w:spacing w:line="360" w:lineRule="auto"/>
        <w:ind w:left="0" w:firstLine="0"/>
        <w:outlineLvl w:val="2"/>
        <w:rPr>
          <w:rFonts w:ascii="宋体" w:hAnsi="宋体" w:cs="宋体"/>
          <w:b/>
          <w:color w:val="auto"/>
          <w:szCs w:val="21"/>
          <w:highlight w:val="none"/>
        </w:rPr>
      </w:pPr>
      <w:bookmarkStart w:id="54" w:name="_Toc8340"/>
      <w:r>
        <w:rPr>
          <w:rFonts w:hint="eastAsia" w:ascii="宋体" w:hAnsi="宋体" w:cs="宋体"/>
          <w:b/>
          <w:color w:val="auto"/>
          <w:szCs w:val="21"/>
          <w:highlight w:val="none"/>
        </w:rPr>
        <w:t>质保期及售后服务要求</w:t>
      </w:r>
      <w:bookmarkEnd w:id="54"/>
    </w:p>
    <w:p>
      <w:pPr>
        <w:numPr>
          <w:ilvl w:val="0"/>
          <w:numId w:val="16"/>
        </w:numPr>
        <w:autoSpaceDE w:val="0"/>
        <w:autoSpaceDN w:val="0"/>
        <w:adjustRightInd w:val="0"/>
        <w:snapToGrid w:val="0"/>
        <w:spacing w:line="360" w:lineRule="auto"/>
        <w:rPr>
          <w:rFonts w:ascii="仿宋_GB2312" w:hAnsi="宋体" w:eastAsia="仿宋_GB2312" w:cs="仿宋_GB2312"/>
          <w:color w:val="auto"/>
          <w:sz w:val="32"/>
          <w:szCs w:val="32"/>
          <w:highlight w:val="none"/>
        </w:rPr>
      </w:pPr>
      <w:r>
        <w:rPr>
          <w:rFonts w:hint="eastAsia" w:ascii="宋体" w:hAnsi="宋体" w:cs="宋体"/>
          <w:color w:val="auto"/>
          <w:szCs w:val="21"/>
          <w:highlight w:val="none"/>
        </w:rPr>
        <w:t>本合同的质量保证期（简称“质保期”）为年，质保期自货物最终验收合格之日起算，质保期内乙方对所供货物实行包修、包换、包退、包维护保养，期满后可同时提供终身 (免费/有偿) 维修保养服务。</w:t>
      </w:r>
    </w:p>
    <w:p>
      <w:pPr>
        <w:numPr>
          <w:ilvl w:val="0"/>
          <w:numId w:val="16"/>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质保期内，如设备或零部件因非人为因素出现故障而造成短期停用时，则质保期和免费维修期相应顺延。如停用时间累计超过60天则质保期重新计算。</w:t>
      </w:r>
    </w:p>
    <w:p>
      <w:pPr>
        <w:numPr>
          <w:ilvl w:val="0"/>
          <w:numId w:val="16"/>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对甲方的服务通知，乙方在接报后1小时内响应，4小时内到达现场，48小时内处理完毕。若在48小时内仍未能有效解决，乙方须免费提供同档次的设备予甲方临时使用。</w:t>
      </w:r>
    </w:p>
    <w:p>
      <w:pPr>
        <w:numPr>
          <w:ilvl w:val="0"/>
          <w:numId w:val="12"/>
        </w:numPr>
        <w:tabs>
          <w:tab w:val="left" w:pos="425"/>
        </w:tabs>
        <w:spacing w:line="360" w:lineRule="auto"/>
        <w:ind w:left="0" w:firstLine="0"/>
        <w:outlineLvl w:val="2"/>
        <w:rPr>
          <w:rFonts w:ascii="宋体" w:hAnsi="宋体" w:cs="宋体"/>
          <w:b/>
          <w:color w:val="auto"/>
          <w:szCs w:val="21"/>
          <w:highlight w:val="none"/>
        </w:rPr>
      </w:pPr>
      <w:bookmarkStart w:id="55" w:name="_Toc19660"/>
      <w:r>
        <w:rPr>
          <w:rFonts w:hint="eastAsia" w:ascii="宋体" w:hAnsi="宋体" w:cs="宋体"/>
          <w:b/>
          <w:color w:val="auto"/>
          <w:szCs w:val="21"/>
          <w:highlight w:val="none"/>
        </w:rPr>
        <w:t>安装与调试</w:t>
      </w:r>
      <w:bookmarkEnd w:id="55"/>
    </w:p>
    <w:p>
      <w:pPr>
        <w:autoSpaceDE w:val="0"/>
        <w:autoSpaceDN w:val="0"/>
        <w:adjustRightInd w:val="0"/>
        <w:snapToGrid w:val="0"/>
        <w:spacing w:line="360" w:lineRule="auto"/>
        <w:ind w:left="424" w:leftChars="202"/>
        <w:rPr>
          <w:rFonts w:ascii="宋体" w:hAnsi="宋体" w:cs="宋体"/>
          <w:color w:val="auto"/>
          <w:szCs w:val="21"/>
          <w:highlight w:val="none"/>
        </w:rPr>
      </w:pPr>
      <w:r>
        <w:rPr>
          <w:rFonts w:hint="eastAsia" w:ascii="宋体" w:hAnsi="宋体" w:cs="宋体"/>
          <w:color w:val="auto"/>
          <w:szCs w:val="21"/>
          <w:highlight w:val="none"/>
        </w:rPr>
        <w:t>乙方必须依照招标文件的要求和投标文件的承诺，将设备、系统安装并调试至正常运行的最佳状态。</w:t>
      </w:r>
    </w:p>
    <w:p>
      <w:pPr>
        <w:numPr>
          <w:ilvl w:val="0"/>
          <w:numId w:val="12"/>
        </w:numPr>
        <w:tabs>
          <w:tab w:val="left" w:pos="425"/>
        </w:tabs>
        <w:spacing w:line="360" w:lineRule="auto"/>
        <w:ind w:left="0" w:firstLine="0"/>
        <w:outlineLvl w:val="2"/>
        <w:rPr>
          <w:rFonts w:ascii="宋体" w:hAnsi="宋体" w:cs="宋体"/>
          <w:b/>
          <w:color w:val="auto"/>
          <w:szCs w:val="21"/>
          <w:highlight w:val="none"/>
        </w:rPr>
      </w:pPr>
      <w:bookmarkStart w:id="56" w:name="_Toc235"/>
      <w:r>
        <w:rPr>
          <w:rFonts w:hint="eastAsia" w:ascii="宋体" w:hAnsi="宋体" w:cs="宋体"/>
          <w:b/>
          <w:color w:val="auto"/>
          <w:szCs w:val="21"/>
          <w:highlight w:val="none"/>
        </w:rPr>
        <w:t>验收</w:t>
      </w:r>
      <w:bookmarkEnd w:id="56"/>
    </w:p>
    <w:p>
      <w:pPr>
        <w:numPr>
          <w:ilvl w:val="0"/>
          <w:numId w:val="17"/>
        </w:numPr>
        <w:tabs>
          <w:tab w:val="left" w:pos="900"/>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货物若有国家标准按照国家标准验收，若无国家标准按行业标准验收，为原制造商制造的全新产品，整机无污染，无侵权行为、表面无划损、无任何缺陷隐患，在中国境内可依常规安全合法使用。 </w:t>
      </w:r>
    </w:p>
    <w:p>
      <w:pPr>
        <w:numPr>
          <w:ilvl w:val="0"/>
          <w:numId w:val="17"/>
        </w:numPr>
        <w:tabs>
          <w:tab w:val="left" w:pos="900"/>
        </w:tabs>
        <w:autoSpaceDE w:val="0"/>
        <w:autoSpaceDN w:val="0"/>
        <w:adjustRightInd w:val="0"/>
        <w:snapToGrid w:val="0"/>
        <w:spacing w:line="360" w:lineRule="auto"/>
        <w:rPr>
          <w:rFonts w:ascii="宋体" w:hAnsi="宋体" w:cs="宋体"/>
          <w:color w:val="auto"/>
          <w:szCs w:val="21"/>
          <w:highlight w:val="none"/>
        </w:rPr>
      </w:pPr>
      <w:r>
        <w:rPr>
          <w:rFonts w:hint="eastAsia" w:ascii="宋体" w:cs="宋体"/>
          <w:color w:val="auto"/>
          <w:szCs w:val="21"/>
          <w:highlight w:val="none"/>
        </w:rPr>
        <w:t>进口产品必须具备原产地证明和商检局的检验证明及合法进货渠道证明。甲方有权要求乙方提供进口货物的报关单（如有适用）。</w:t>
      </w:r>
    </w:p>
    <w:p>
      <w:pPr>
        <w:numPr>
          <w:ilvl w:val="0"/>
          <w:numId w:val="17"/>
        </w:numPr>
        <w:tabs>
          <w:tab w:val="left" w:pos="900"/>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货物为原厂商未启封全新包装，具出厂合格证，序列号、包装箱号与出厂批号一致，并可追索查阅。所有随设备的附件必须齐全。</w:t>
      </w:r>
    </w:p>
    <w:p>
      <w:pPr>
        <w:numPr>
          <w:ilvl w:val="0"/>
          <w:numId w:val="17"/>
        </w:numPr>
        <w:tabs>
          <w:tab w:val="left" w:pos="900"/>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乙方应将关键主机设备的用户手册、保修手册、有关单证资料及配备件、随机工具等交付给甲方，使用操作及安全须知等重要资料应附有中文说明。</w:t>
      </w:r>
    </w:p>
    <w:p>
      <w:pPr>
        <w:numPr>
          <w:ilvl w:val="0"/>
          <w:numId w:val="17"/>
        </w:numPr>
        <w:tabs>
          <w:tab w:val="left" w:pos="900"/>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numPr>
          <w:ilvl w:val="0"/>
          <w:numId w:val="12"/>
        </w:numPr>
        <w:tabs>
          <w:tab w:val="left" w:pos="425"/>
        </w:tabs>
        <w:spacing w:line="360" w:lineRule="auto"/>
        <w:ind w:left="0" w:firstLine="0"/>
        <w:outlineLvl w:val="2"/>
        <w:rPr>
          <w:rFonts w:ascii="宋体" w:hAnsi="宋体" w:cs="宋体"/>
          <w:b/>
          <w:color w:val="auto"/>
          <w:szCs w:val="21"/>
          <w:highlight w:val="none"/>
        </w:rPr>
      </w:pPr>
      <w:bookmarkStart w:id="57" w:name="_Toc21736"/>
      <w:r>
        <w:rPr>
          <w:rFonts w:hint="eastAsia" w:ascii="宋体" w:hAnsi="宋体" w:cs="宋体"/>
          <w:b/>
          <w:color w:val="auto"/>
          <w:szCs w:val="21"/>
          <w:highlight w:val="none"/>
        </w:rPr>
        <w:t>违约责任与赔偿损失</w:t>
      </w:r>
      <w:bookmarkEnd w:id="57"/>
    </w:p>
    <w:p>
      <w:pPr>
        <w:numPr>
          <w:ilvl w:val="0"/>
          <w:numId w:val="18"/>
        </w:numPr>
        <w:tabs>
          <w:tab w:val="left" w:pos="900"/>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乙方交付的货物、工程/提供的服务不符合招标文件、投标文件或本合同规定的，甲方有权拒收，并且乙方须向甲方支付本合同总价5%的违约金。</w:t>
      </w:r>
    </w:p>
    <w:p>
      <w:pPr>
        <w:numPr>
          <w:ilvl w:val="0"/>
          <w:numId w:val="18"/>
        </w:numPr>
        <w:tabs>
          <w:tab w:val="left" w:pos="900"/>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numPr>
          <w:ilvl w:val="0"/>
          <w:numId w:val="1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甲方无正当理由拒收货物/接受服务，到期拒付货物/服务款项的，甲方向乙方偿付本合同总价的5%的违约金。甲方逾期付款，则每日按本合同总价的3‰向乙方偿付违约金。</w:t>
      </w:r>
    </w:p>
    <w:p>
      <w:pPr>
        <w:numPr>
          <w:ilvl w:val="0"/>
          <w:numId w:val="1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其它违约责任按《中华人民共和国</w:t>
      </w:r>
      <w:r>
        <w:rPr>
          <w:rFonts w:hint="eastAsia" w:asciiTheme="minorEastAsia" w:hAnsiTheme="minorEastAsia" w:eastAsiaTheme="minorEastAsia"/>
          <w:color w:val="auto"/>
          <w:szCs w:val="21"/>
          <w:highlight w:val="none"/>
        </w:rPr>
        <w:t>民法典</w:t>
      </w:r>
      <w:r>
        <w:rPr>
          <w:rFonts w:hint="eastAsia" w:ascii="宋体" w:hAnsi="宋体" w:cs="宋体"/>
          <w:color w:val="auto"/>
          <w:szCs w:val="21"/>
          <w:highlight w:val="none"/>
        </w:rPr>
        <w:t>》处理。</w:t>
      </w:r>
    </w:p>
    <w:p>
      <w:pPr>
        <w:numPr>
          <w:ilvl w:val="0"/>
          <w:numId w:val="12"/>
        </w:numPr>
        <w:tabs>
          <w:tab w:val="left" w:pos="425"/>
        </w:tabs>
        <w:spacing w:line="360" w:lineRule="auto"/>
        <w:ind w:left="0" w:firstLine="0"/>
        <w:outlineLvl w:val="2"/>
        <w:rPr>
          <w:rFonts w:ascii="宋体" w:hAnsi="宋体" w:cs="宋体"/>
          <w:b/>
          <w:color w:val="auto"/>
          <w:szCs w:val="21"/>
          <w:highlight w:val="none"/>
        </w:rPr>
      </w:pPr>
      <w:bookmarkStart w:id="58" w:name="_Toc30672"/>
      <w:r>
        <w:rPr>
          <w:rFonts w:hint="eastAsia" w:ascii="宋体" w:hAnsi="宋体" w:cs="宋体"/>
          <w:b/>
          <w:color w:val="auto"/>
          <w:szCs w:val="21"/>
          <w:highlight w:val="none"/>
        </w:rPr>
        <w:t>争议的解决</w:t>
      </w:r>
      <w:bookmarkEnd w:id="58"/>
    </w:p>
    <w:p>
      <w:pPr>
        <w:tabs>
          <w:tab w:val="left" w:pos="824"/>
        </w:tabs>
        <w:snapToGrid w:val="0"/>
        <w:spacing w:line="360" w:lineRule="auto"/>
        <w:ind w:left="424" w:leftChars="202"/>
        <w:rPr>
          <w:rFonts w:ascii="宋体" w:hAnsi="宋体" w:cs="宋体"/>
          <w:color w:val="auto"/>
          <w:szCs w:val="21"/>
          <w:highlight w:val="none"/>
        </w:rPr>
      </w:pPr>
      <w:r>
        <w:rPr>
          <w:rFonts w:hint="eastAsia" w:ascii="宋体" w:hAnsi="宋体" w:cs="宋体"/>
          <w:color w:val="auto"/>
          <w:szCs w:val="21"/>
          <w:highlight w:val="none"/>
        </w:rPr>
        <w:t>合同执行过程中发生的任何争议，如双方不能通过友好协商解决，甲、乙双方一致同意向甲方所在地人民法院提起诉讼。</w:t>
      </w:r>
    </w:p>
    <w:p>
      <w:pPr>
        <w:numPr>
          <w:ilvl w:val="0"/>
          <w:numId w:val="12"/>
        </w:numPr>
        <w:tabs>
          <w:tab w:val="left" w:pos="425"/>
        </w:tabs>
        <w:spacing w:line="360" w:lineRule="auto"/>
        <w:ind w:left="0" w:firstLine="0"/>
        <w:outlineLvl w:val="2"/>
        <w:rPr>
          <w:rFonts w:ascii="宋体" w:hAnsi="宋体" w:cs="宋体"/>
          <w:b/>
          <w:color w:val="auto"/>
          <w:szCs w:val="21"/>
          <w:highlight w:val="none"/>
        </w:rPr>
      </w:pPr>
      <w:bookmarkStart w:id="59" w:name="_Toc8877"/>
      <w:r>
        <w:rPr>
          <w:rFonts w:hint="eastAsia" w:ascii="宋体" w:hAnsi="宋体" w:cs="宋体"/>
          <w:b/>
          <w:color w:val="auto"/>
          <w:szCs w:val="21"/>
          <w:highlight w:val="none"/>
        </w:rPr>
        <w:t>不可抗力</w:t>
      </w:r>
      <w:bookmarkEnd w:id="59"/>
    </w:p>
    <w:p>
      <w:pPr>
        <w:tabs>
          <w:tab w:val="left" w:pos="824"/>
        </w:tabs>
        <w:snapToGrid w:val="0"/>
        <w:spacing w:line="360" w:lineRule="auto"/>
        <w:ind w:left="424" w:leftChars="202"/>
        <w:rPr>
          <w:rFonts w:ascii="宋体" w:hAnsi="宋体" w:cs="宋体"/>
          <w:color w:val="auto"/>
          <w:szCs w:val="21"/>
          <w:highlight w:val="none"/>
        </w:rPr>
      </w:pPr>
      <w:r>
        <w:rPr>
          <w:rFonts w:hint="eastAsia" w:ascii="宋体" w:hAnsi="宋体" w:cs="宋体"/>
          <w:color w:val="auto"/>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2"/>
        </w:numPr>
        <w:tabs>
          <w:tab w:val="left" w:pos="425"/>
        </w:tabs>
        <w:spacing w:line="360" w:lineRule="auto"/>
        <w:ind w:left="0" w:firstLine="0"/>
        <w:outlineLvl w:val="2"/>
        <w:rPr>
          <w:rFonts w:ascii="宋体" w:hAnsi="宋体" w:cs="宋体"/>
          <w:b/>
          <w:color w:val="auto"/>
          <w:szCs w:val="21"/>
          <w:highlight w:val="none"/>
        </w:rPr>
      </w:pPr>
      <w:bookmarkStart w:id="60" w:name="_Toc22217"/>
      <w:r>
        <w:rPr>
          <w:rFonts w:hint="eastAsia" w:ascii="宋体" w:hAnsi="宋体" w:cs="宋体"/>
          <w:b/>
          <w:color w:val="auto"/>
          <w:szCs w:val="21"/>
          <w:highlight w:val="none"/>
        </w:rPr>
        <w:t>税费</w:t>
      </w:r>
      <w:bookmarkEnd w:id="60"/>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在中国境内、外发生的与本合同执行有关的一切税费均由乙方负担。</w:t>
      </w:r>
    </w:p>
    <w:p>
      <w:pPr>
        <w:numPr>
          <w:ilvl w:val="0"/>
          <w:numId w:val="12"/>
        </w:numPr>
        <w:tabs>
          <w:tab w:val="left" w:pos="425"/>
        </w:tabs>
        <w:spacing w:line="360" w:lineRule="auto"/>
        <w:ind w:left="0" w:firstLine="0"/>
        <w:outlineLvl w:val="2"/>
        <w:rPr>
          <w:rFonts w:ascii="宋体" w:hAnsi="宋体" w:cs="宋体"/>
          <w:b/>
          <w:color w:val="auto"/>
          <w:szCs w:val="21"/>
          <w:highlight w:val="none"/>
        </w:rPr>
      </w:pPr>
      <w:bookmarkStart w:id="61" w:name="_Toc3603"/>
      <w:r>
        <w:rPr>
          <w:rFonts w:hint="eastAsia" w:ascii="宋体" w:hAnsi="宋体" w:cs="宋体"/>
          <w:b/>
          <w:color w:val="auto"/>
          <w:szCs w:val="21"/>
          <w:highlight w:val="none"/>
        </w:rPr>
        <w:t>其它</w:t>
      </w:r>
      <w:bookmarkEnd w:id="61"/>
    </w:p>
    <w:p>
      <w:pPr>
        <w:numPr>
          <w:ilvl w:val="0"/>
          <w:numId w:val="19"/>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本合同所有附件、招标文件、投标文件、中标通知书均为合同的有效组成部分，与本合同具有同等法律效力。</w:t>
      </w:r>
    </w:p>
    <w:p>
      <w:pPr>
        <w:numPr>
          <w:ilvl w:val="0"/>
          <w:numId w:val="19"/>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在执行本合同的过程中，所有经双方签署确认的文件（包括会议纪要、补充协议、往来信函）即成为本合同的有效组成部分。</w:t>
      </w:r>
    </w:p>
    <w:p>
      <w:pPr>
        <w:numPr>
          <w:ilvl w:val="0"/>
          <w:numId w:val="19"/>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如一方地址、电话、传真号码有变更，应在变更当日内书面通知对方，否则，应承担相应责任。 </w:t>
      </w:r>
    </w:p>
    <w:p>
      <w:pPr>
        <w:numPr>
          <w:ilvl w:val="0"/>
          <w:numId w:val="19"/>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除甲方事先书面同意外，乙方不得部分或全部转让其应履行的合同项下的义务。</w:t>
      </w:r>
    </w:p>
    <w:p>
      <w:pPr>
        <w:numPr>
          <w:ilvl w:val="0"/>
          <w:numId w:val="12"/>
        </w:numPr>
        <w:tabs>
          <w:tab w:val="left" w:pos="425"/>
        </w:tabs>
        <w:spacing w:line="360" w:lineRule="auto"/>
        <w:ind w:left="0" w:firstLine="0"/>
        <w:outlineLvl w:val="2"/>
        <w:rPr>
          <w:rFonts w:ascii="宋体" w:hAnsi="宋体" w:cs="宋体"/>
          <w:b/>
          <w:color w:val="auto"/>
          <w:szCs w:val="21"/>
          <w:highlight w:val="none"/>
        </w:rPr>
      </w:pPr>
      <w:bookmarkStart w:id="62" w:name="_Toc22602"/>
      <w:r>
        <w:rPr>
          <w:rFonts w:hint="eastAsia" w:ascii="宋体" w:hAnsi="宋体" w:cs="宋体"/>
          <w:b/>
          <w:color w:val="auto"/>
          <w:szCs w:val="21"/>
          <w:highlight w:val="none"/>
        </w:rPr>
        <w:t>合同生效</w:t>
      </w:r>
      <w:bookmarkEnd w:id="62"/>
    </w:p>
    <w:p>
      <w:pPr>
        <w:numPr>
          <w:ilvl w:val="0"/>
          <w:numId w:val="20"/>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合同自甲乙双方法人代表或其授权代表签字盖章之日起生效。</w:t>
      </w:r>
    </w:p>
    <w:p>
      <w:pPr>
        <w:numPr>
          <w:ilvl w:val="0"/>
          <w:numId w:val="20"/>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合同壹式份，其中甲乙双方各执份，采购代理机构执壹份。</w:t>
      </w:r>
    </w:p>
    <w:p>
      <w:pPr>
        <w:autoSpaceDE w:val="0"/>
        <w:autoSpaceDN w:val="0"/>
        <w:adjustRightInd w:val="0"/>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甲方（盖章）：                          乙方（盖章）：</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代表：                                  代表：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签定地点：</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签定日期：        年     月    日       签定日期：        年     月     日    </w:t>
      </w:r>
    </w:p>
    <w:p>
      <w:pPr>
        <w:snapToGrid w:val="0"/>
        <w:spacing w:line="360" w:lineRule="auto"/>
        <w:ind w:firstLine="4200" w:firstLineChars="2000"/>
        <w:rPr>
          <w:rFonts w:ascii="宋体" w:hAnsi="宋体" w:cs="宋体"/>
          <w:color w:val="auto"/>
          <w:szCs w:val="21"/>
          <w:highlight w:val="none"/>
        </w:rPr>
      </w:pPr>
      <w:r>
        <w:rPr>
          <w:rFonts w:hint="eastAsia" w:ascii="宋体" w:hAnsi="宋体" w:cs="宋体"/>
          <w:color w:val="auto"/>
          <w:szCs w:val="21"/>
          <w:highlight w:val="none"/>
        </w:rPr>
        <w:t>开户名称：</w:t>
      </w:r>
    </w:p>
    <w:p>
      <w:pPr>
        <w:snapToGrid w:val="0"/>
        <w:spacing w:line="360" w:lineRule="auto"/>
        <w:ind w:firstLine="4200" w:firstLineChars="2000"/>
        <w:rPr>
          <w:rFonts w:ascii="宋体" w:hAnsi="宋体" w:cs="宋体"/>
          <w:color w:val="auto"/>
          <w:szCs w:val="21"/>
          <w:highlight w:val="none"/>
        </w:rPr>
      </w:pPr>
      <w:r>
        <w:rPr>
          <w:rFonts w:hint="eastAsia" w:ascii="宋体" w:hAnsi="宋体" w:cs="宋体"/>
          <w:color w:val="auto"/>
          <w:szCs w:val="21"/>
          <w:highlight w:val="none"/>
        </w:rPr>
        <w:t>银行账号：</w:t>
      </w:r>
    </w:p>
    <w:p>
      <w:pPr>
        <w:snapToGrid w:val="0"/>
        <w:spacing w:line="360" w:lineRule="auto"/>
        <w:ind w:firstLine="4200" w:firstLineChars="2000"/>
        <w:rPr>
          <w:color w:val="auto"/>
          <w:highlight w:val="none"/>
        </w:rPr>
      </w:pPr>
      <w:r>
        <w:rPr>
          <w:rFonts w:hint="eastAsia" w:ascii="宋体" w:hAnsi="宋体" w:cs="宋体"/>
          <w:color w:val="auto"/>
          <w:szCs w:val="21"/>
          <w:highlight w:val="none"/>
        </w:rPr>
        <w:t>开 户 行：</w:t>
      </w:r>
    </w:p>
    <w:p>
      <w:pPr>
        <w:widowControl/>
        <w:jc w:val="left"/>
        <w:rPr>
          <w:rFonts w:ascii="宋体" w:hAnsi="宋体"/>
          <w:b/>
          <w:color w:val="auto"/>
          <w:highlight w:val="none"/>
        </w:rPr>
      </w:pPr>
      <w:r>
        <w:rPr>
          <w:rFonts w:ascii="宋体" w:hAnsi="宋体"/>
          <w:b/>
          <w:color w:val="auto"/>
          <w:highlight w:val="none"/>
        </w:rPr>
        <w:br w:type="page"/>
      </w:r>
    </w:p>
    <w:p>
      <w:pPr>
        <w:pStyle w:val="3"/>
        <w:jc w:val="center"/>
        <w:rPr>
          <w:rFonts w:asciiTheme="majorEastAsia" w:hAnsiTheme="majorEastAsia" w:eastAsiaTheme="majorEastAsia" w:cstheme="majorEastAsia"/>
          <w:color w:val="auto"/>
          <w:sz w:val="32"/>
          <w:szCs w:val="32"/>
          <w:highlight w:val="none"/>
        </w:rPr>
      </w:pPr>
      <w:bookmarkStart w:id="63" w:name="_Toc12306"/>
      <w:bookmarkStart w:id="64" w:name="_Toc9128_WPSOffice_Level1"/>
      <w:bookmarkStart w:id="65" w:name="_Toc435514851"/>
      <w:bookmarkStart w:id="66" w:name="_Toc8307306"/>
      <w:bookmarkStart w:id="67" w:name="_Toc24338"/>
      <w:bookmarkStart w:id="68" w:name="_Toc435115056"/>
      <w:bookmarkStart w:id="69" w:name="_Toc22206"/>
      <w:r>
        <w:rPr>
          <w:rFonts w:hint="eastAsia" w:asciiTheme="majorEastAsia" w:hAnsiTheme="majorEastAsia" w:eastAsiaTheme="majorEastAsia" w:cstheme="majorEastAsia"/>
          <w:color w:val="auto"/>
          <w:sz w:val="32"/>
          <w:szCs w:val="32"/>
          <w:highlight w:val="none"/>
        </w:rPr>
        <w:t>第六章 投标文件格式</w:t>
      </w:r>
      <w:bookmarkEnd w:id="63"/>
      <w:bookmarkEnd w:id="64"/>
      <w:bookmarkEnd w:id="65"/>
      <w:bookmarkEnd w:id="66"/>
      <w:bookmarkEnd w:id="67"/>
      <w:bookmarkEnd w:id="68"/>
      <w:bookmarkEnd w:id="69"/>
    </w:p>
    <w:p>
      <w:pPr>
        <w:pStyle w:val="4"/>
        <w:numPr>
          <w:ilvl w:val="0"/>
          <w:numId w:val="21"/>
        </w:numPr>
        <w:spacing w:line="240" w:lineRule="auto"/>
        <w:jc w:val="center"/>
        <w:rPr>
          <w:rFonts w:asciiTheme="majorEastAsia" w:hAnsiTheme="majorEastAsia" w:eastAsiaTheme="majorEastAsia"/>
          <w:color w:val="auto"/>
          <w:sz w:val="30"/>
          <w:szCs w:val="30"/>
          <w:highlight w:val="none"/>
        </w:rPr>
      </w:pPr>
      <w:bookmarkStart w:id="70" w:name="_Toc435514852"/>
      <w:bookmarkStart w:id="71" w:name="_Toc8080"/>
      <w:bookmarkStart w:id="72" w:name="_Toc435515292"/>
      <w:bookmarkStart w:id="73" w:name="_Toc28793"/>
      <w:r>
        <w:rPr>
          <w:rFonts w:hint="eastAsia" w:asciiTheme="majorEastAsia" w:hAnsiTheme="majorEastAsia" w:eastAsiaTheme="majorEastAsia"/>
          <w:color w:val="auto"/>
          <w:sz w:val="30"/>
          <w:szCs w:val="30"/>
          <w:highlight w:val="none"/>
        </w:rPr>
        <w:t>投标文件包装封面参考</w:t>
      </w:r>
      <w:bookmarkEnd w:id="70"/>
      <w:bookmarkEnd w:id="71"/>
      <w:bookmarkEnd w:id="72"/>
      <w:bookmarkEnd w:id="73"/>
    </w:p>
    <w:tbl>
      <w:tblPr>
        <w:tblStyle w:val="38"/>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pPr>
              <w:pStyle w:val="14"/>
              <w:spacing w:line="360" w:lineRule="auto"/>
              <w:ind w:firstLine="482" w:firstLineChars="150"/>
              <w:rPr>
                <w:rFonts w:ascii="仿宋_GB2312" w:eastAsia="仿宋_GB2312"/>
                <w:b/>
                <w:color w:val="auto"/>
                <w:sz w:val="32"/>
                <w:highlight w:val="none"/>
              </w:rPr>
            </w:pPr>
          </w:p>
          <w:p>
            <w:pPr>
              <w:pStyle w:val="14"/>
              <w:spacing w:line="360" w:lineRule="auto"/>
              <w:ind w:firstLine="482" w:firstLineChars="150"/>
              <w:rPr>
                <w:rFonts w:ascii="仿宋_GB2312" w:eastAsia="仿宋_GB2312"/>
                <w:b/>
                <w:color w:val="auto"/>
                <w:sz w:val="32"/>
                <w:highlight w:val="none"/>
              </w:rPr>
            </w:pPr>
          </w:p>
          <w:p>
            <w:pPr>
              <w:pStyle w:val="14"/>
              <w:spacing w:line="360" w:lineRule="auto"/>
              <w:ind w:firstLine="482" w:firstLineChars="150"/>
              <w:rPr>
                <w:rFonts w:ascii="仿宋_GB2312" w:eastAsia="仿宋_GB2312"/>
                <w:b/>
                <w:color w:val="auto"/>
                <w:sz w:val="32"/>
                <w:highlight w:val="none"/>
              </w:rPr>
            </w:pPr>
          </w:p>
          <w:p>
            <w:pPr>
              <w:pStyle w:val="14"/>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pStyle w:val="14"/>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正本</w:t>
            </w:r>
          </w:p>
          <w:p>
            <w:pPr>
              <w:pStyle w:val="14"/>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副本</w:t>
            </w:r>
          </w:p>
          <w:p>
            <w:pPr>
              <w:pStyle w:val="14"/>
              <w:spacing w:line="360" w:lineRule="auto"/>
              <w:rPr>
                <w:rFonts w:ascii="仿宋_GB2312" w:eastAsia="仿宋_GB2312"/>
                <w:b/>
                <w:color w:val="auto"/>
                <w:sz w:val="32"/>
                <w:highlight w:val="none"/>
              </w:rPr>
            </w:pPr>
          </w:p>
          <w:p>
            <w:pPr>
              <w:pStyle w:val="14"/>
              <w:spacing w:line="360" w:lineRule="auto"/>
              <w:rPr>
                <w:rFonts w:ascii="仿宋_GB2312" w:eastAsia="仿宋_GB2312"/>
                <w:b/>
                <w:color w:val="auto"/>
                <w:sz w:val="32"/>
                <w:highlight w:val="none"/>
              </w:rPr>
            </w:pPr>
          </w:p>
          <w:p>
            <w:pPr>
              <w:pStyle w:val="14"/>
              <w:spacing w:line="360" w:lineRule="auto"/>
              <w:rPr>
                <w:rFonts w:ascii="仿宋_GB2312" w:eastAsia="仿宋_GB2312"/>
                <w:b/>
                <w:color w:val="auto"/>
                <w:sz w:val="32"/>
                <w:highlight w:val="none"/>
              </w:rPr>
            </w:pPr>
          </w:p>
          <w:p>
            <w:pPr>
              <w:pStyle w:val="14"/>
              <w:spacing w:line="400" w:lineRule="exact"/>
              <w:ind w:firstLine="900" w:firstLineChars="320"/>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lang w:eastAsia="zh-CN"/>
              </w:rPr>
              <w:t>CD-1711098581051A</w:t>
            </w:r>
          </w:p>
          <w:p>
            <w:pPr>
              <w:pStyle w:val="14"/>
              <w:spacing w:line="400" w:lineRule="exact"/>
              <w:ind w:firstLine="900" w:firstLineChars="320"/>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lang w:eastAsia="zh-CN"/>
              </w:rPr>
              <w:t>深圳市疾病预防控制中心艾防硒标耗材一批</w:t>
            </w:r>
          </w:p>
          <w:p>
            <w:pPr>
              <w:pStyle w:val="14"/>
              <w:spacing w:line="400" w:lineRule="exact"/>
              <w:ind w:firstLine="900" w:firstLineChars="32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w:t>
            </w:r>
          </w:p>
          <w:p>
            <w:pPr>
              <w:pStyle w:val="14"/>
              <w:spacing w:line="400" w:lineRule="exact"/>
              <w:ind w:firstLine="900" w:firstLineChars="32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投标人地址：</w:t>
            </w:r>
          </w:p>
          <w:p>
            <w:pPr>
              <w:tabs>
                <w:tab w:val="left" w:pos="851"/>
              </w:tabs>
              <w:autoSpaceDE w:val="0"/>
              <w:autoSpaceDN w:val="0"/>
              <w:adjustRightInd w:val="0"/>
              <w:snapToGrid w:val="0"/>
              <w:spacing w:line="420" w:lineRule="auto"/>
              <w:ind w:firstLine="829" w:firstLineChars="295"/>
              <w:rPr>
                <w:rFonts w:ascii="仿宋_GB2312" w:eastAsia="仿宋_GB2312"/>
                <w:b/>
                <w:color w:val="auto"/>
                <w:sz w:val="32"/>
                <w:highlight w:val="none"/>
              </w:rPr>
            </w:pPr>
            <w:r>
              <w:rPr>
                <w:rFonts w:hint="eastAsia" w:ascii="仿宋_GB2312" w:eastAsia="仿宋_GB2312"/>
                <w:b/>
                <w:color w:val="auto"/>
                <w:sz w:val="28"/>
                <w:szCs w:val="28"/>
                <w:highlight w:val="none"/>
              </w:rPr>
              <w:t>开标之前不得启封</w:t>
            </w:r>
          </w:p>
        </w:tc>
      </w:tr>
    </w:tbl>
    <w:p>
      <w:pPr>
        <w:rPr>
          <w:color w:val="auto"/>
          <w:highlight w:val="none"/>
        </w:rPr>
      </w:pPr>
      <w:bookmarkStart w:id="74" w:name="_Toc435515305"/>
      <w:bookmarkStart w:id="75" w:name="_Toc435514865"/>
      <w:r>
        <w:rPr>
          <w:rFonts w:hint="eastAsia"/>
          <w:color w:val="auto"/>
          <w:highlight w:val="none"/>
        </w:rPr>
        <w:br w:type="page"/>
      </w:r>
    </w:p>
    <w:p>
      <w:pPr>
        <w:pStyle w:val="4"/>
        <w:numPr>
          <w:ilvl w:val="0"/>
          <w:numId w:val="21"/>
        </w:numPr>
        <w:spacing w:line="240" w:lineRule="auto"/>
        <w:jc w:val="center"/>
        <w:rPr>
          <w:rFonts w:asciiTheme="majorEastAsia" w:hAnsiTheme="majorEastAsia" w:eastAsiaTheme="majorEastAsia"/>
          <w:color w:val="auto"/>
          <w:sz w:val="30"/>
          <w:szCs w:val="30"/>
          <w:highlight w:val="none"/>
        </w:rPr>
      </w:pPr>
      <w:bookmarkStart w:id="76" w:name="_Toc146"/>
      <w:bookmarkStart w:id="77" w:name="_Toc29334"/>
      <w:r>
        <w:rPr>
          <w:rFonts w:hint="eastAsia" w:asciiTheme="majorEastAsia" w:hAnsiTheme="majorEastAsia" w:eastAsiaTheme="majorEastAsia"/>
          <w:color w:val="auto"/>
          <w:sz w:val="30"/>
          <w:szCs w:val="30"/>
          <w:highlight w:val="none"/>
        </w:rPr>
        <w:t>营业执照等资质文件</w:t>
      </w:r>
      <w:bookmarkEnd w:id="76"/>
    </w:p>
    <w:p>
      <w:pPr>
        <w:rPr>
          <w:rFonts w:asciiTheme="majorEastAsia" w:hAnsiTheme="majorEastAsia" w:eastAsiaTheme="majorEastAsia"/>
          <w:color w:val="auto"/>
          <w:sz w:val="30"/>
          <w:szCs w:val="30"/>
          <w:highlight w:val="none"/>
        </w:rPr>
      </w:pPr>
    </w:p>
    <w:p>
      <w:pPr>
        <w:rPr>
          <w:rFonts w:asciiTheme="majorEastAsia" w:hAnsiTheme="majorEastAsia" w:eastAsiaTheme="majorEastAsia"/>
          <w:color w:val="auto"/>
          <w:sz w:val="30"/>
          <w:szCs w:val="30"/>
          <w:highlight w:val="none"/>
        </w:rPr>
      </w:pPr>
      <w:r>
        <w:rPr>
          <w:rFonts w:hint="eastAsia" w:asciiTheme="majorEastAsia" w:hAnsiTheme="majorEastAsia" w:eastAsiaTheme="majorEastAsia"/>
          <w:color w:val="auto"/>
          <w:sz w:val="30"/>
          <w:szCs w:val="30"/>
          <w:highlight w:val="none"/>
        </w:rPr>
        <w:br w:type="page"/>
      </w:r>
    </w:p>
    <w:p>
      <w:pPr>
        <w:pStyle w:val="4"/>
        <w:numPr>
          <w:ilvl w:val="0"/>
          <w:numId w:val="21"/>
        </w:numPr>
        <w:spacing w:line="240" w:lineRule="auto"/>
        <w:jc w:val="center"/>
        <w:rPr>
          <w:rFonts w:asciiTheme="majorEastAsia" w:hAnsiTheme="majorEastAsia" w:eastAsiaTheme="majorEastAsia"/>
          <w:color w:val="auto"/>
          <w:sz w:val="30"/>
          <w:szCs w:val="30"/>
          <w:highlight w:val="none"/>
        </w:rPr>
      </w:pPr>
      <w:bookmarkStart w:id="78" w:name="_Toc29320"/>
      <w:r>
        <w:rPr>
          <w:rFonts w:hint="eastAsia" w:asciiTheme="majorEastAsia" w:hAnsiTheme="majorEastAsia" w:eastAsiaTheme="majorEastAsia"/>
          <w:color w:val="auto"/>
          <w:sz w:val="30"/>
          <w:szCs w:val="30"/>
          <w:highlight w:val="none"/>
        </w:rPr>
        <w:t>开标一览表(报价表)</w:t>
      </w:r>
      <w:bookmarkEnd w:id="77"/>
      <w:bookmarkEnd w:id="78"/>
    </w:p>
    <w:bookmarkEnd w:id="74"/>
    <w:bookmarkEnd w:id="75"/>
    <w:tbl>
      <w:tblPr>
        <w:tblStyle w:val="3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1084"/>
        <w:gridCol w:w="2910"/>
        <w:gridCol w:w="29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322" w:type="pct"/>
            <w:tcBorders>
              <w:top w:val="single" w:color="auto" w:sz="4" w:space="0"/>
              <w:left w:val="single" w:color="auto" w:sz="4" w:space="0"/>
              <w:bottom w:val="single" w:color="auto" w:sz="4" w:space="0"/>
            </w:tcBorders>
            <w:shd w:val="clear" w:color="auto" w:fill="EEECE1"/>
            <w:vAlign w:val="center"/>
          </w:tcPr>
          <w:p>
            <w:pPr>
              <w:adjustRightInd w:val="0"/>
              <w:snapToGrid w:val="0"/>
              <w:jc w:val="center"/>
              <w:rPr>
                <w:rFonts w:ascii="宋体"/>
                <w:b/>
                <w:color w:val="auto"/>
                <w:szCs w:val="21"/>
                <w:highlight w:val="none"/>
              </w:rPr>
            </w:pPr>
            <w:r>
              <w:rPr>
                <w:rFonts w:hint="eastAsia" w:ascii="宋体"/>
                <w:b/>
                <w:color w:val="auto"/>
                <w:szCs w:val="21"/>
                <w:highlight w:val="none"/>
              </w:rPr>
              <w:t>采购内容</w:t>
            </w:r>
          </w:p>
        </w:tc>
        <w:tc>
          <w:tcPr>
            <w:tcW w:w="577" w:type="pct"/>
            <w:tcBorders>
              <w:top w:val="single" w:color="auto" w:sz="4" w:space="0"/>
              <w:bottom w:val="single" w:color="auto" w:sz="4" w:space="0"/>
            </w:tcBorders>
            <w:shd w:val="clear" w:color="auto" w:fill="EEECE1"/>
            <w:vAlign w:val="center"/>
          </w:tcPr>
          <w:p>
            <w:pPr>
              <w:adjustRightInd w:val="0"/>
              <w:snapToGrid w:val="0"/>
              <w:jc w:val="center"/>
              <w:rPr>
                <w:rFonts w:ascii="宋体"/>
                <w:b/>
                <w:color w:val="auto"/>
                <w:szCs w:val="21"/>
                <w:highlight w:val="none"/>
              </w:rPr>
            </w:pPr>
            <w:r>
              <w:rPr>
                <w:rFonts w:hint="eastAsia" w:ascii="宋体"/>
                <w:b/>
                <w:color w:val="auto"/>
                <w:szCs w:val="21"/>
                <w:highlight w:val="none"/>
              </w:rPr>
              <w:t>数量</w:t>
            </w:r>
          </w:p>
        </w:tc>
        <w:tc>
          <w:tcPr>
            <w:tcW w:w="1549" w:type="pct"/>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b/>
                <w:color w:val="auto"/>
                <w:szCs w:val="21"/>
                <w:highlight w:val="none"/>
              </w:rPr>
            </w:pPr>
            <w:r>
              <w:rPr>
                <w:rFonts w:hint="eastAsia" w:ascii="宋体"/>
                <w:b/>
                <w:color w:val="auto"/>
                <w:szCs w:val="21"/>
                <w:highlight w:val="none"/>
              </w:rPr>
              <w:t>投标报价</w:t>
            </w:r>
          </w:p>
          <w:p>
            <w:pPr>
              <w:adjustRightInd w:val="0"/>
              <w:snapToGrid w:val="0"/>
              <w:jc w:val="center"/>
              <w:rPr>
                <w:rFonts w:ascii="宋体"/>
                <w:b/>
                <w:color w:val="auto"/>
                <w:szCs w:val="21"/>
                <w:highlight w:val="none"/>
              </w:rPr>
            </w:pPr>
            <w:r>
              <w:rPr>
                <w:rFonts w:hint="eastAsia" w:ascii="宋体"/>
                <w:b/>
                <w:color w:val="auto"/>
                <w:szCs w:val="21"/>
                <w:highlight w:val="none"/>
              </w:rPr>
              <w:t>（人民币 元）</w:t>
            </w:r>
          </w:p>
        </w:tc>
        <w:tc>
          <w:tcPr>
            <w:tcW w:w="2912"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hint="eastAsia" w:ascii="宋体"/>
                <w:b/>
                <w:color w:val="auto"/>
                <w:szCs w:val="21"/>
                <w:highlight w:val="none"/>
              </w:rPr>
            </w:pPr>
            <w:r>
              <w:rPr>
                <w:rFonts w:hint="eastAsia" w:ascii="宋体"/>
                <w:b/>
                <w:color w:val="auto"/>
                <w:szCs w:val="21"/>
                <w:highlight w:val="none"/>
                <w:lang w:eastAsia="zh-CN"/>
              </w:rPr>
              <w:t>是否属于中小微企业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322" w:type="pct"/>
            <w:tcBorders>
              <w:top w:val="single" w:color="auto" w:sz="4" w:space="0"/>
              <w:left w:val="single" w:color="auto" w:sz="4" w:space="0"/>
              <w:bottom w:val="single" w:color="auto" w:sz="4" w:space="0"/>
            </w:tcBorders>
            <w:vAlign w:val="center"/>
          </w:tcPr>
          <w:p>
            <w:pPr>
              <w:adjustRightInd w:val="0"/>
              <w:snapToGrid w:val="0"/>
              <w:jc w:val="center"/>
              <w:rPr>
                <w:rFonts w:hint="eastAsia" w:ascii="宋体" w:eastAsia="宋体"/>
                <w:bCs/>
                <w:color w:val="auto"/>
                <w:szCs w:val="21"/>
                <w:highlight w:val="none"/>
                <w:lang w:eastAsia="zh-CN"/>
              </w:rPr>
            </w:pPr>
            <w:r>
              <w:rPr>
                <w:rFonts w:hint="eastAsia" w:ascii="宋体" w:hAnsi="宋体" w:cs="宋体"/>
                <w:bCs/>
                <w:color w:val="auto"/>
                <w:szCs w:val="21"/>
                <w:highlight w:val="none"/>
                <w:lang w:eastAsia="zh-CN"/>
              </w:rPr>
              <w:t>深圳市疾病预防控制中心艾防硒标耗材一批</w:t>
            </w:r>
          </w:p>
        </w:tc>
        <w:tc>
          <w:tcPr>
            <w:tcW w:w="577" w:type="pct"/>
            <w:tcBorders>
              <w:top w:val="single" w:color="auto" w:sz="4" w:space="0"/>
              <w:bottom w:val="single" w:color="auto" w:sz="4" w:space="0"/>
            </w:tcBorders>
            <w:vAlign w:val="center"/>
          </w:tcPr>
          <w:p>
            <w:pPr>
              <w:adjustRightInd w:val="0"/>
              <w:snapToGrid w:val="0"/>
              <w:jc w:val="center"/>
              <w:rPr>
                <w:rFonts w:hint="eastAsia" w:ascii="宋体" w:eastAsia="宋体"/>
                <w:bCs/>
                <w:color w:val="auto"/>
                <w:szCs w:val="21"/>
                <w:highlight w:val="none"/>
                <w:lang w:val="en-US" w:eastAsia="zh-CN"/>
              </w:rPr>
            </w:pPr>
            <w:r>
              <w:rPr>
                <w:rFonts w:hint="eastAsia" w:ascii="宋体"/>
                <w:bCs/>
                <w:color w:val="auto"/>
                <w:szCs w:val="21"/>
                <w:highlight w:val="none"/>
                <w:lang w:val="en-US" w:eastAsia="zh-CN"/>
              </w:rPr>
              <w:t>1批</w:t>
            </w:r>
          </w:p>
        </w:tc>
        <w:tc>
          <w:tcPr>
            <w:tcW w:w="1549" w:type="pct"/>
            <w:tcBorders>
              <w:top w:val="single" w:color="auto" w:sz="4" w:space="0"/>
              <w:bottom w:val="single" w:color="auto" w:sz="4" w:space="0"/>
              <w:right w:val="single" w:color="auto" w:sz="4" w:space="0"/>
            </w:tcBorders>
            <w:vAlign w:val="center"/>
          </w:tcPr>
          <w:p>
            <w:pPr>
              <w:adjustRightInd w:val="0"/>
              <w:snapToGrid w:val="0"/>
              <w:rPr>
                <w:rFonts w:ascii="宋体"/>
                <w:bCs/>
                <w:color w:val="auto"/>
                <w:szCs w:val="21"/>
                <w:highlight w:val="none"/>
                <w:u w:val="single"/>
              </w:rPr>
            </w:pPr>
            <w:r>
              <w:rPr>
                <w:rFonts w:hint="eastAsia" w:ascii="宋体"/>
                <w:bCs/>
                <w:color w:val="auto"/>
                <w:szCs w:val="21"/>
                <w:highlight w:val="none"/>
              </w:rPr>
              <w:t>小写：RMB</w:t>
            </w:r>
          </w:p>
          <w:p>
            <w:pPr>
              <w:adjustRightInd w:val="0"/>
              <w:snapToGrid w:val="0"/>
              <w:rPr>
                <w:rFonts w:ascii="宋体"/>
                <w:bCs/>
                <w:color w:val="auto"/>
                <w:szCs w:val="21"/>
                <w:highlight w:val="none"/>
                <w:u w:val="single"/>
              </w:rPr>
            </w:pPr>
            <w:r>
              <w:rPr>
                <w:rFonts w:hint="eastAsia" w:ascii="宋体"/>
                <w:bCs/>
                <w:color w:val="auto"/>
                <w:szCs w:val="21"/>
                <w:highlight w:val="none"/>
              </w:rPr>
              <w:t>大写：</w:t>
            </w:r>
          </w:p>
        </w:tc>
        <w:tc>
          <w:tcPr>
            <w:tcW w:w="2912" w:type="dxa"/>
            <w:tcBorders>
              <w:top w:val="single" w:color="auto" w:sz="4" w:space="0"/>
              <w:bottom w:val="single" w:color="auto" w:sz="4" w:space="0"/>
              <w:right w:val="single" w:color="auto" w:sz="4" w:space="0"/>
            </w:tcBorders>
            <w:vAlign w:val="center"/>
          </w:tcPr>
          <w:p>
            <w:pPr>
              <w:adjustRightInd w:val="0"/>
              <w:snapToGrid w:val="0"/>
              <w:rPr>
                <w:rFonts w:hint="eastAsia" w:ascii="宋体"/>
                <w:bCs/>
                <w:color w:val="auto"/>
                <w:szCs w:val="21"/>
                <w:highlight w:val="none"/>
              </w:rPr>
            </w:pPr>
          </w:p>
        </w:tc>
      </w:tr>
    </w:tbl>
    <w:p>
      <w:pPr>
        <w:spacing w:line="500" w:lineRule="exact"/>
        <w:rPr>
          <w:color w:val="auto"/>
          <w:spacing w:val="4"/>
          <w:highlight w:val="none"/>
          <w:u w:val="dotted"/>
        </w:rPr>
      </w:pPr>
      <w:r>
        <w:rPr>
          <w:rFonts w:hint="eastAsia" w:ascii="宋体" w:hAnsi="宋体"/>
          <w:b/>
          <w:bCs/>
          <w:color w:val="auto"/>
          <w:highlight w:val="none"/>
          <w:u w:val="double"/>
          <w:lang w:val="en-US" w:eastAsia="zh-CN"/>
        </w:rPr>
        <w:t xml:space="preserve">我司（单位）承诺以上“是否属于中小微企业” 填写情况属实，如有虚假，愿依照国家相关法律处理，并承担由此给采购人带来的损失。 </w:t>
      </w:r>
      <w:r>
        <w:rPr>
          <w:rFonts w:hint="eastAsia"/>
          <w:color w:val="auto"/>
          <w:spacing w:val="4"/>
          <w:highlight w:val="none"/>
          <w:u w:val="dotted"/>
        </w:rPr>
        <w:t xml:space="preserve">                                                                              </w:t>
      </w:r>
    </w:p>
    <w:p>
      <w:pPr>
        <w:tabs>
          <w:tab w:val="left" w:pos="7740"/>
        </w:tabs>
        <w:adjustRightInd w:val="0"/>
        <w:snapToGrid w:val="0"/>
        <w:spacing w:line="360" w:lineRule="auto"/>
        <w:rPr>
          <w:b/>
          <w:bCs/>
          <w:color w:val="auto"/>
          <w:highlight w:val="none"/>
        </w:rPr>
      </w:pPr>
    </w:p>
    <w:p>
      <w:pPr>
        <w:pStyle w:val="2"/>
        <w:rPr>
          <w:color w:val="auto"/>
          <w:highlight w:val="none"/>
        </w:rPr>
      </w:pPr>
    </w:p>
    <w:p>
      <w:pPr>
        <w:spacing w:line="360" w:lineRule="auto"/>
        <w:rPr>
          <w:color w:val="auto"/>
          <w:sz w:val="24"/>
          <w:highlight w:val="none"/>
        </w:rPr>
      </w:pPr>
      <w:r>
        <w:rPr>
          <w:rFonts w:hint="eastAsia"/>
          <w:b/>
          <w:bCs/>
          <w:color w:val="auto"/>
          <w:sz w:val="24"/>
          <w:highlight w:val="none"/>
        </w:rPr>
        <w:t>投标人单位名称：</w:t>
      </w:r>
      <w:r>
        <w:rPr>
          <w:rFonts w:hint="eastAsia"/>
          <w:color w:val="auto"/>
          <w:sz w:val="24"/>
          <w:highlight w:val="none"/>
          <w:u w:val="single"/>
        </w:rPr>
        <w:t xml:space="preserve">                            </w:t>
      </w:r>
      <w:r>
        <w:rPr>
          <w:rFonts w:hint="eastAsia"/>
          <w:color w:val="auto"/>
          <w:sz w:val="24"/>
          <w:highlight w:val="none"/>
        </w:rPr>
        <w:t xml:space="preserve"> </w:t>
      </w:r>
    </w:p>
    <w:p>
      <w:pPr>
        <w:spacing w:line="360" w:lineRule="auto"/>
        <w:rPr>
          <w:rFonts w:ascii="宋体" w:hAnsi="宋体"/>
          <w:b/>
          <w:bCs/>
          <w:color w:val="auto"/>
          <w:sz w:val="24"/>
          <w:highlight w:val="none"/>
        </w:rPr>
      </w:pPr>
      <w:r>
        <w:rPr>
          <w:rFonts w:hint="eastAsia" w:ascii="宋体" w:hAnsi="宋体"/>
          <w:b/>
          <w:bCs/>
          <w:color w:val="auto"/>
          <w:sz w:val="24"/>
          <w:highlight w:val="none"/>
        </w:rPr>
        <w:t>日期：</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年</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月</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日</w:t>
      </w:r>
    </w:p>
    <w:p>
      <w:pPr>
        <w:spacing w:line="360" w:lineRule="auto"/>
        <w:rPr>
          <w:color w:val="auto"/>
          <w:sz w:val="24"/>
          <w:highlight w:val="none"/>
        </w:rPr>
      </w:pPr>
      <w:r>
        <w:rPr>
          <w:rFonts w:hint="eastAsia"/>
          <w:b/>
          <w:color w:val="auto"/>
          <w:sz w:val="24"/>
          <w:highlight w:val="none"/>
        </w:rPr>
        <w:t>（此处加盖投标人单位公章）</w:t>
      </w:r>
    </w:p>
    <w:p>
      <w:pPr>
        <w:spacing w:line="400" w:lineRule="exact"/>
        <w:rPr>
          <w:rFonts w:ascii="宋体" w:hAnsi="宋体"/>
          <w:b/>
          <w:bCs/>
          <w:color w:val="auto"/>
          <w:szCs w:val="21"/>
          <w:highlight w:val="none"/>
        </w:rPr>
      </w:pPr>
    </w:p>
    <w:p>
      <w:pPr>
        <w:spacing w:line="400" w:lineRule="exact"/>
        <w:rPr>
          <w:rFonts w:ascii="宋体" w:hAnsi="宋体"/>
          <w:b/>
          <w:bCs/>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备注：</w:t>
      </w:r>
    </w:p>
    <w:p>
      <w:pPr>
        <w:numPr>
          <w:ilvl w:val="1"/>
          <w:numId w:val="22"/>
        </w:numPr>
        <w:tabs>
          <w:tab w:val="left" w:pos="360"/>
          <w:tab w:val="clear" w:pos="1620"/>
        </w:tabs>
        <w:snapToGrid w:val="0"/>
        <w:spacing w:line="360" w:lineRule="auto"/>
        <w:ind w:left="360"/>
        <w:rPr>
          <w:rFonts w:ascii="宋体" w:hAnsi="宋体"/>
          <w:color w:val="auto"/>
          <w:szCs w:val="21"/>
          <w:highlight w:val="none"/>
        </w:rPr>
      </w:pPr>
      <w:r>
        <w:rPr>
          <w:rFonts w:hint="eastAsia" w:ascii="宋体" w:hAnsi="宋体"/>
          <w:color w:val="auto"/>
          <w:highlight w:val="none"/>
        </w:rPr>
        <w:t>投标报价的小数点后保留两位有效数</w:t>
      </w:r>
      <w:r>
        <w:rPr>
          <w:rFonts w:hint="eastAsia" w:ascii="宋体" w:hAnsi="宋体"/>
          <w:color w:val="auto"/>
          <w:szCs w:val="21"/>
          <w:highlight w:val="none"/>
        </w:rPr>
        <w:t>。</w:t>
      </w:r>
    </w:p>
    <w:p>
      <w:pPr>
        <w:numPr>
          <w:ilvl w:val="1"/>
          <w:numId w:val="22"/>
        </w:numPr>
        <w:tabs>
          <w:tab w:val="left" w:pos="360"/>
          <w:tab w:val="left" w:pos="840"/>
          <w:tab w:val="clear" w:pos="1620"/>
        </w:tabs>
        <w:snapToGrid w:val="0"/>
        <w:spacing w:line="360" w:lineRule="auto"/>
        <w:ind w:left="360"/>
        <w:rPr>
          <w:color w:val="auto"/>
          <w:highlight w:val="none"/>
        </w:rPr>
      </w:pPr>
      <w:r>
        <w:rPr>
          <w:rFonts w:hint="eastAsia"/>
          <w:color w:val="auto"/>
          <w:highlight w:val="none"/>
        </w:rPr>
        <w:t>除招标文件另有规定外，投标文件内不得含有任何对本报价进行价格折扣的说明或资料，否则为无效投标。</w:t>
      </w:r>
    </w:p>
    <w:p>
      <w:pPr>
        <w:numPr>
          <w:ilvl w:val="1"/>
          <w:numId w:val="22"/>
        </w:numPr>
        <w:tabs>
          <w:tab w:val="left" w:pos="360"/>
          <w:tab w:val="left" w:pos="840"/>
          <w:tab w:val="clear" w:pos="1620"/>
        </w:tabs>
        <w:snapToGrid w:val="0"/>
        <w:spacing w:line="360" w:lineRule="auto"/>
        <w:ind w:left="360"/>
        <w:rPr>
          <w:color w:val="auto"/>
          <w:highlight w:val="none"/>
        </w:rPr>
      </w:pPr>
      <w:r>
        <w:rPr>
          <w:rFonts w:hint="eastAsia"/>
          <w:color w:val="auto"/>
          <w:highlight w:val="none"/>
        </w:rPr>
        <w:t>投标报价要求具体见第七章“</w:t>
      </w:r>
      <w:bookmarkStart w:id="79" w:name="_Toc322076489"/>
      <w:r>
        <w:rPr>
          <w:rFonts w:hint="eastAsia"/>
          <w:color w:val="auto"/>
          <w:highlight w:val="none"/>
        </w:rPr>
        <w:t>投标</w:t>
      </w:r>
      <w:r>
        <w:rPr>
          <w:rFonts w:hint="eastAsia" w:ascii="宋体" w:hAnsi="宋体"/>
          <w:color w:val="auto"/>
          <w:szCs w:val="21"/>
          <w:highlight w:val="none"/>
        </w:rPr>
        <w:t>报价</w:t>
      </w:r>
      <w:bookmarkEnd w:id="79"/>
      <w:r>
        <w:rPr>
          <w:rFonts w:hint="eastAsia"/>
          <w:color w:val="auto"/>
          <w:highlight w:val="none"/>
        </w:rPr>
        <w:t>”及用户需求要求。</w:t>
      </w:r>
    </w:p>
    <w:p>
      <w:pPr>
        <w:numPr>
          <w:ilvl w:val="1"/>
          <w:numId w:val="22"/>
        </w:numPr>
        <w:tabs>
          <w:tab w:val="left" w:pos="360"/>
          <w:tab w:val="left" w:pos="840"/>
          <w:tab w:val="clear" w:pos="1620"/>
        </w:tabs>
        <w:snapToGrid w:val="0"/>
        <w:spacing w:line="360" w:lineRule="auto"/>
        <w:ind w:left="360"/>
        <w:rPr>
          <w:color w:val="auto"/>
          <w:highlight w:val="none"/>
        </w:rPr>
      </w:pPr>
      <w:r>
        <w:rPr>
          <w:rFonts w:hint="eastAsia" w:ascii="宋体" w:hAnsi="宋体"/>
          <w:b/>
          <w:bCs/>
          <w:color w:val="auto"/>
          <w:highlight w:val="none"/>
          <w:u w:val="double"/>
          <w:lang w:val="en-US" w:eastAsia="zh-CN"/>
        </w:rPr>
        <w:t>投标人应如实填写“是否属于中小微企业”情况，如投标人属于中小微企业，填“是”；如投标人不属于中小微企业，填“否”</w:t>
      </w:r>
      <w:r>
        <w:rPr>
          <w:rFonts w:hint="eastAsia" w:ascii="宋体" w:hAnsi="宋体"/>
          <w:b/>
          <w:bCs/>
          <w:color w:val="auto"/>
          <w:highlight w:val="none"/>
          <w:u w:val="double"/>
        </w:rPr>
        <w:t>。</w:t>
      </w:r>
    </w:p>
    <w:p>
      <w:pPr>
        <w:tabs>
          <w:tab w:val="left" w:pos="1200"/>
        </w:tabs>
        <w:snapToGrid w:val="0"/>
        <w:spacing w:line="360" w:lineRule="auto"/>
        <w:ind w:left="360"/>
        <w:rPr>
          <w:color w:val="auto"/>
          <w:highlight w:val="none"/>
        </w:rPr>
      </w:pPr>
    </w:p>
    <w:p>
      <w:pPr>
        <w:spacing w:line="400" w:lineRule="exact"/>
        <w:rPr>
          <w:rFonts w:ascii="宋体" w:hAnsi="宋体"/>
          <w:b/>
          <w:bCs/>
          <w:color w:val="auto"/>
          <w:szCs w:val="21"/>
          <w:highlight w:val="none"/>
        </w:rPr>
        <w:sectPr>
          <w:headerReference r:id="rId8" w:type="default"/>
          <w:footerReference r:id="rId9" w:type="default"/>
          <w:pgSz w:w="11906" w:h="16838"/>
          <w:pgMar w:top="1440" w:right="1286" w:bottom="1440" w:left="1440" w:header="851" w:footer="992" w:gutter="0"/>
          <w:cols w:space="720" w:num="1"/>
          <w:docGrid w:type="lines" w:linePitch="312" w:charSpace="0"/>
        </w:sectPr>
      </w:pPr>
    </w:p>
    <w:p>
      <w:pPr>
        <w:pStyle w:val="4"/>
        <w:numPr>
          <w:ilvl w:val="0"/>
          <w:numId w:val="21"/>
        </w:numPr>
        <w:spacing w:line="240" w:lineRule="auto"/>
        <w:jc w:val="center"/>
        <w:rPr>
          <w:rFonts w:asciiTheme="majorEastAsia" w:hAnsiTheme="majorEastAsia" w:eastAsiaTheme="majorEastAsia"/>
          <w:color w:val="auto"/>
          <w:sz w:val="30"/>
          <w:szCs w:val="30"/>
          <w:highlight w:val="none"/>
        </w:rPr>
      </w:pPr>
      <w:bookmarkStart w:id="80" w:name="_Toc13141"/>
      <w:bookmarkStart w:id="81" w:name="_Toc275865611"/>
      <w:bookmarkStart w:id="82" w:name="_Toc435514866"/>
      <w:bookmarkStart w:id="83" w:name="_Toc435515306"/>
      <w:bookmarkStart w:id="84" w:name="_Toc192662843"/>
      <w:bookmarkStart w:id="85" w:name="_Toc6350"/>
      <w:r>
        <w:rPr>
          <w:rFonts w:hint="eastAsia" w:asciiTheme="majorEastAsia" w:hAnsiTheme="majorEastAsia" w:eastAsiaTheme="majorEastAsia"/>
          <w:color w:val="auto"/>
          <w:sz w:val="30"/>
          <w:szCs w:val="30"/>
          <w:highlight w:val="none"/>
        </w:rPr>
        <w:t>投标分项报价表</w:t>
      </w:r>
      <w:bookmarkEnd w:id="80"/>
      <w:bookmarkEnd w:id="81"/>
      <w:bookmarkEnd w:id="82"/>
      <w:bookmarkEnd w:id="83"/>
      <w:bookmarkEnd w:id="84"/>
      <w:bookmarkEnd w:id="85"/>
    </w:p>
    <w:tbl>
      <w:tblPr>
        <w:tblStyle w:val="38"/>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343"/>
        <w:gridCol w:w="1147"/>
        <w:gridCol w:w="1112"/>
        <w:gridCol w:w="731"/>
        <w:gridCol w:w="704"/>
        <w:gridCol w:w="890"/>
        <w:gridCol w:w="890"/>
        <w:gridCol w:w="890"/>
        <w:gridCol w:w="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64" w:type="pct"/>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color w:val="auto"/>
                <w:highlight w:val="none"/>
              </w:rPr>
            </w:pPr>
            <w:r>
              <w:rPr>
                <w:rFonts w:hint="eastAsia" w:ascii="宋体" w:hAnsi="宋体"/>
                <w:color w:val="auto"/>
                <w:highlight w:val="none"/>
              </w:rPr>
              <w:t>序号</w:t>
            </w:r>
          </w:p>
        </w:tc>
        <w:tc>
          <w:tcPr>
            <w:tcW w:w="715" w:type="pct"/>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color w:val="auto"/>
                <w:highlight w:val="none"/>
              </w:rPr>
            </w:pPr>
            <w:r>
              <w:rPr>
                <w:rFonts w:hint="eastAsia" w:ascii="宋体" w:hAnsi="宋体"/>
                <w:color w:val="auto"/>
                <w:highlight w:val="none"/>
              </w:rPr>
              <w:t>产品</w:t>
            </w:r>
          </w:p>
          <w:p>
            <w:pPr>
              <w:widowControl/>
              <w:adjustRightInd w:val="0"/>
              <w:snapToGrid w:val="0"/>
              <w:jc w:val="center"/>
              <w:rPr>
                <w:rFonts w:ascii="宋体" w:hAnsi="宋体"/>
                <w:color w:val="auto"/>
                <w:highlight w:val="none"/>
              </w:rPr>
            </w:pPr>
            <w:r>
              <w:rPr>
                <w:rFonts w:ascii="宋体" w:hAnsi="宋体"/>
                <w:color w:val="auto"/>
                <w:highlight w:val="none"/>
              </w:rPr>
              <w:t>名称</w:t>
            </w:r>
          </w:p>
        </w:tc>
        <w:tc>
          <w:tcPr>
            <w:tcW w:w="611" w:type="pct"/>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color w:val="auto"/>
                <w:highlight w:val="none"/>
              </w:rPr>
            </w:pPr>
            <w:r>
              <w:rPr>
                <w:rFonts w:ascii="宋体" w:hAnsi="宋体"/>
                <w:color w:val="auto"/>
                <w:highlight w:val="none"/>
              </w:rPr>
              <w:t>规格型号</w:t>
            </w:r>
          </w:p>
        </w:tc>
        <w:tc>
          <w:tcPr>
            <w:tcW w:w="592" w:type="pct"/>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color w:val="auto"/>
                <w:highlight w:val="none"/>
              </w:rPr>
            </w:pPr>
            <w:r>
              <w:rPr>
                <w:rFonts w:hint="eastAsia" w:ascii="宋体" w:hAnsi="宋体"/>
                <w:color w:val="auto"/>
                <w:highlight w:val="none"/>
              </w:rPr>
              <w:t>品牌</w:t>
            </w:r>
          </w:p>
        </w:tc>
        <w:tc>
          <w:tcPr>
            <w:tcW w:w="389" w:type="pct"/>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color w:val="auto"/>
                <w:highlight w:val="none"/>
              </w:rPr>
            </w:pPr>
            <w:r>
              <w:rPr>
                <w:rFonts w:hint="eastAsia" w:ascii="宋体" w:hAnsi="宋体"/>
                <w:color w:val="auto"/>
                <w:highlight w:val="none"/>
              </w:rPr>
              <w:t>单位</w:t>
            </w:r>
          </w:p>
        </w:tc>
        <w:tc>
          <w:tcPr>
            <w:tcW w:w="375" w:type="pct"/>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color w:val="auto"/>
                <w:highlight w:val="none"/>
              </w:rPr>
            </w:pPr>
            <w:r>
              <w:rPr>
                <w:rFonts w:ascii="宋体" w:hAnsi="宋体"/>
                <w:color w:val="auto"/>
                <w:highlight w:val="none"/>
              </w:rPr>
              <w:t>数量</w:t>
            </w:r>
          </w:p>
        </w:tc>
        <w:tc>
          <w:tcPr>
            <w:tcW w:w="474" w:type="pct"/>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color w:val="auto"/>
                <w:highlight w:val="none"/>
              </w:rPr>
            </w:pPr>
            <w:r>
              <w:rPr>
                <w:rFonts w:hint="eastAsia" w:ascii="宋体" w:hAnsi="宋体"/>
                <w:color w:val="auto"/>
                <w:highlight w:val="none"/>
              </w:rPr>
              <w:t>最高单价限价（元）</w:t>
            </w:r>
          </w:p>
        </w:tc>
        <w:tc>
          <w:tcPr>
            <w:tcW w:w="474" w:type="pct"/>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color w:val="auto"/>
                <w:highlight w:val="none"/>
              </w:rPr>
            </w:pPr>
            <w:r>
              <w:rPr>
                <w:rFonts w:ascii="宋体" w:hAnsi="宋体"/>
                <w:color w:val="auto"/>
                <w:highlight w:val="none"/>
              </w:rPr>
              <w:t>单价（元）</w:t>
            </w:r>
          </w:p>
        </w:tc>
        <w:tc>
          <w:tcPr>
            <w:tcW w:w="474" w:type="pct"/>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color w:val="auto"/>
                <w:highlight w:val="none"/>
              </w:rPr>
            </w:pPr>
            <w:r>
              <w:rPr>
                <w:rFonts w:hint="eastAsia" w:ascii="宋体" w:hAnsi="宋体"/>
                <w:color w:val="auto"/>
                <w:highlight w:val="none"/>
              </w:rPr>
              <w:t>合计（元）</w:t>
            </w:r>
          </w:p>
        </w:tc>
        <w:tc>
          <w:tcPr>
            <w:tcW w:w="527" w:type="pct"/>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color w:val="auto"/>
                <w:highlight w:val="none"/>
              </w:rPr>
            </w:pPr>
            <w:r>
              <w:rPr>
                <w:rFonts w:ascii="宋体" w:hAnsi="宋体"/>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64" w:type="pct"/>
            <w:tcBorders>
              <w:top w:val="single" w:color="auto" w:sz="4" w:space="0"/>
              <w:left w:val="single" w:color="auto" w:sz="4" w:space="0"/>
              <w:bottom w:val="single" w:color="auto" w:sz="4" w:space="0"/>
            </w:tcBorders>
            <w:vAlign w:val="center"/>
          </w:tcPr>
          <w:p>
            <w:pPr>
              <w:jc w:val="center"/>
              <w:rPr>
                <w:rFonts w:ascii="宋体" w:hAnsi="宋体"/>
                <w:color w:val="auto"/>
                <w:highlight w:val="none"/>
              </w:rPr>
            </w:pPr>
            <w:r>
              <w:rPr>
                <w:rFonts w:hint="eastAsia" w:ascii="宋体" w:hAnsi="宋体"/>
                <w:color w:val="auto"/>
                <w:highlight w:val="none"/>
              </w:rPr>
              <w:t>1</w:t>
            </w:r>
          </w:p>
        </w:tc>
        <w:tc>
          <w:tcPr>
            <w:tcW w:w="1343"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人类免疫缺陷病毒p24抗原及抗体检测试剂盒（胶体硒法）</w:t>
            </w:r>
          </w:p>
        </w:tc>
        <w:tc>
          <w:tcPr>
            <w:tcW w:w="1147"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highlight w:val="none"/>
              </w:rPr>
            </w:pPr>
            <w:r>
              <w:rPr>
                <w:rFonts w:hint="eastAsia"/>
                <w:color w:val="auto"/>
                <w:highlight w:val="none"/>
                <w:lang w:eastAsia="zh-CN"/>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100人份/袋</w:t>
            </w:r>
          </w:p>
        </w:tc>
        <w:tc>
          <w:tcPr>
            <w:tcW w:w="592" w:type="pct"/>
            <w:tcBorders>
              <w:top w:val="single" w:color="auto" w:sz="4" w:space="0"/>
              <w:bottom w:val="single" w:color="auto" w:sz="4" w:space="0"/>
            </w:tcBorders>
            <w:vAlign w:val="center"/>
          </w:tcPr>
          <w:p>
            <w:pPr>
              <w:jc w:val="center"/>
              <w:rPr>
                <w:color w:val="auto"/>
                <w:highlight w:val="none"/>
              </w:rPr>
            </w:pPr>
          </w:p>
        </w:tc>
        <w:tc>
          <w:tcPr>
            <w:tcW w:w="731"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袋</w:t>
            </w:r>
          </w:p>
        </w:tc>
        <w:tc>
          <w:tcPr>
            <w:tcW w:w="704"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474" w:type="pct"/>
            <w:tcBorders>
              <w:top w:val="single" w:color="auto" w:sz="4" w:space="0"/>
              <w:bottom w:val="single" w:color="auto" w:sz="4" w:space="0"/>
            </w:tcBorders>
            <w:vAlign w:val="center"/>
          </w:tcPr>
          <w:p>
            <w:pPr>
              <w:jc w:val="center"/>
              <w:rPr>
                <w:color w:val="auto"/>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2660</w:t>
            </w:r>
          </w:p>
        </w:tc>
        <w:tc>
          <w:tcPr>
            <w:tcW w:w="474" w:type="pct"/>
            <w:tcBorders>
              <w:top w:val="single" w:color="auto" w:sz="4" w:space="0"/>
              <w:bottom w:val="single" w:color="auto" w:sz="4" w:space="0"/>
            </w:tcBorders>
            <w:vAlign w:val="center"/>
          </w:tcPr>
          <w:p>
            <w:pPr>
              <w:jc w:val="center"/>
              <w:rPr>
                <w:color w:val="auto"/>
                <w:highlight w:val="none"/>
              </w:rPr>
            </w:pPr>
          </w:p>
        </w:tc>
        <w:tc>
          <w:tcPr>
            <w:tcW w:w="474" w:type="pct"/>
            <w:tcBorders>
              <w:top w:val="single" w:color="auto" w:sz="4" w:space="0"/>
              <w:bottom w:val="single" w:color="auto" w:sz="4" w:space="0"/>
            </w:tcBorders>
            <w:vAlign w:val="center"/>
          </w:tcPr>
          <w:p>
            <w:pPr>
              <w:jc w:val="center"/>
              <w:rPr>
                <w:color w:val="auto"/>
                <w:highlight w:val="none"/>
              </w:rPr>
            </w:pPr>
          </w:p>
        </w:tc>
        <w:tc>
          <w:tcPr>
            <w:tcW w:w="527" w:type="pct"/>
            <w:tcBorders>
              <w:top w:val="single" w:color="auto" w:sz="4" w:space="0"/>
              <w:bottom w:val="single" w:color="auto" w:sz="4" w:space="0"/>
              <w:right w:val="single" w:color="auto" w:sz="4" w:space="0"/>
            </w:tcBorders>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64" w:type="pct"/>
            <w:tcBorders>
              <w:top w:val="single" w:color="auto" w:sz="4" w:space="0"/>
              <w:left w:val="single" w:color="auto" w:sz="4" w:space="0"/>
              <w:bottom w:val="single" w:color="auto" w:sz="4" w:space="0"/>
            </w:tcBorders>
            <w:vAlign w:val="center"/>
          </w:tcPr>
          <w:p>
            <w:pPr>
              <w:jc w:val="center"/>
              <w:rPr>
                <w:rFonts w:ascii="宋体" w:hAnsi="宋体"/>
                <w:color w:val="auto"/>
                <w:highlight w:val="none"/>
              </w:rPr>
            </w:pPr>
            <w:r>
              <w:rPr>
                <w:rFonts w:hint="eastAsia" w:ascii="宋体" w:hAnsi="宋体"/>
                <w:color w:val="auto"/>
                <w:highlight w:val="none"/>
              </w:rPr>
              <w:t>总计</w:t>
            </w:r>
          </w:p>
        </w:tc>
        <w:tc>
          <w:tcPr>
            <w:tcW w:w="4635" w:type="pct"/>
            <w:gridSpan w:val="9"/>
            <w:tcBorders>
              <w:top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            大写：</w:t>
            </w:r>
          </w:p>
        </w:tc>
      </w:tr>
    </w:tbl>
    <w:p>
      <w:pPr>
        <w:widowControl/>
        <w:wordWrap w:val="0"/>
        <w:spacing w:line="360" w:lineRule="auto"/>
        <w:jc w:val="left"/>
        <w:rPr>
          <w:rFonts w:ascii="ˎ̥" w:hAnsi="ˎ̥" w:cs="宋体"/>
          <w:color w:val="auto"/>
          <w:kern w:val="0"/>
          <w:sz w:val="18"/>
          <w:szCs w:val="18"/>
          <w:highlight w:val="none"/>
        </w:rPr>
      </w:pPr>
    </w:p>
    <w:p>
      <w:pPr>
        <w:spacing w:line="360" w:lineRule="auto"/>
        <w:rPr>
          <w:b/>
          <w:bCs/>
          <w:color w:val="auto"/>
          <w:sz w:val="24"/>
          <w:highlight w:val="none"/>
        </w:rPr>
      </w:pPr>
    </w:p>
    <w:p>
      <w:pPr>
        <w:spacing w:line="360" w:lineRule="auto"/>
        <w:rPr>
          <w:color w:val="auto"/>
          <w:sz w:val="24"/>
          <w:highlight w:val="none"/>
        </w:rPr>
      </w:pPr>
      <w:r>
        <w:rPr>
          <w:rFonts w:hint="eastAsia"/>
          <w:b/>
          <w:bCs/>
          <w:color w:val="auto"/>
          <w:sz w:val="24"/>
          <w:highlight w:val="none"/>
        </w:rPr>
        <w:t>投标人单位名称：</w:t>
      </w:r>
      <w:r>
        <w:rPr>
          <w:rFonts w:hint="eastAsia"/>
          <w:color w:val="auto"/>
          <w:sz w:val="24"/>
          <w:highlight w:val="none"/>
          <w:u w:val="single"/>
        </w:rPr>
        <w:t xml:space="preserve">                            </w:t>
      </w:r>
      <w:r>
        <w:rPr>
          <w:rFonts w:hint="eastAsia"/>
          <w:color w:val="auto"/>
          <w:sz w:val="24"/>
          <w:highlight w:val="none"/>
        </w:rPr>
        <w:t xml:space="preserve"> </w:t>
      </w:r>
    </w:p>
    <w:p>
      <w:pPr>
        <w:spacing w:line="360" w:lineRule="auto"/>
        <w:rPr>
          <w:rFonts w:ascii="宋体" w:hAnsi="宋体"/>
          <w:b/>
          <w:bCs/>
          <w:color w:val="auto"/>
          <w:sz w:val="24"/>
          <w:highlight w:val="none"/>
        </w:rPr>
      </w:pPr>
      <w:r>
        <w:rPr>
          <w:rFonts w:hint="eastAsia" w:ascii="宋体" w:hAnsi="宋体"/>
          <w:b/>
          <w:bCs/>
          <w:color w:val="auto"/>
          <w:sz w:val="24"/>
          <w:highlight w:val="none"/>
        </w:rPr>
        <w:t>日期：</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年</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月</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日</w:t>
      </w:r>
    </w:p>
    <w:p>
      <w:pPr>
        <w:spacing w:line="360" w:lineRule="auto"/>
        <w:rPr>
          <w:color w:val="auto"/>
          <w:sz w:val="24"/>
          <w:highlight w:val="none"/>
        </w:rPr>
      </w:pPr>
      <w:r>
        <w:rPr>
          <w:rFonts w:hint="eastAsia"/>
          <w:b/>
          <w:color w:val="auto"/>
          <w:sz w:val="24"/>
          <w:highlight w:val="none"/>
        </w:rPr>
        <w:t>（此处加盖投标人单位公章）</w:t>
      </w:r>
    </w:p>
    <w:p>
      <w:pPr>
        <w:tabs>
          <w:tab w:val="left" w:pos="567"/>
        </w:tabs>
        <w:snapToGrid w:val="0"/>
        <w:spacing w:line="360" w:lineRule="auto"/>
        <w:rPr>
          <w:rFonts w:ascii="宋体" w:hAnsi="宋体"/>
          <w:color w:val="auto"/>
          <w:highlight w:val="none"/>
        </w:rPr>
      </w:pPr>
    </w:p>
    <w:p>
      <w:pPr>
        <w:tabs>
          <w:tab w:val="left" w:pos="567"/>
        </w:tabs>
        <w:snapToGrid w:val="0"/>
        <w:spacing w:line="360" w:lineRule="auto"/>
        <w:rPr>
          <w:rFonts w:ascii="宋体" w:hAnsi="宋体"/>
          <w:color w:val="auto"/>
          <w:highlight w:val="none"/>
        </w:rPr>
      </w:pPr>
      <w:r>
        <w:rPr>
          <w:rFonts w:hint="eastAsia" w:ascii="宋体" w:hAnsi="宋体"/>
          <w:color w:val="auto"/>
          <w:highlight w:val="none"/>
        </w:rPr>
        <w:t>注：</w:t>
      </w:r>
    </w:p>
    <w:p>
      <w:pPr>
        <w:numPr>
          <w:ilvl w:val="1"/>
          <w:numId w:val="23"/>
        </w:numPr>
        <w:tabs>
          <w:tab w:val="left" w:pos="0"/>
          <w:tab w:val="clear" w:pos="1620"/>
        </w:tabs>
        <w:snapToGrid w:val="0"/>
        <w:spacing w:line="360" w:lineRule="auto"/>
        <w:ind w:left="0" w:firstLine="0"/>
        <w:rPr>
          <w:rFonts w:ascii="宋体" w:hAnsi="宋体"/>
          <w:color w:val="auto"/>
          <w:highlight w:val="none"/>
        </w:rPr>
      </w:pPr>
      <w:r>
        <w:rPr>
          <w:rFonts w:hint="eastAsia" w:ascii="宋体" w:hAnsi="宋体" w:eastAsia="宋体" w:cs="宋体"/>
          <w:color w:val="auto"/>
          <w:szCs w:val="21"/>
          <w:highlight w:val="none"/>
        </w:rPr>
        <w:t>单价投标报价均未超过</w:t>
      </w:r>
      <w:r>
        <w:rPr>
          <w:rFonts w:hint="eastAsia" w:ascii="宋体" w:hAnsi="宋体" w:eastAsia="宋体" w:cs="宋体"/>
          <w:color w:val="auto"/>
          <w:kern w:val="0"/>
          <w:szCs w:val="21"/>
          <w:highlight w:val="none"/>
        </w:rPr>
        <w:t>对应采购内容</w:t>
      </w:r>
      <w:r>
        <w:rPr>
          <w:rFonts w:hint="eastAsia" w:ascii="宋体" w:hAnsi="宋体" w:eastAsia="宋体" w:cs="宋体"/>
          <w:color w:val="auto"/>
          <w:szCs w:val="21"/>
          <w:highlight w:val="none"/>
        </w:rPr>
        <w:t>最高单价限价的</w:t>
      </w:r>
      <w:r>
        <w:rPr>
          <w:rFonts w:hint="eastAsia" w:ascii="宋体" w:hAnsi="宋体" w:eastAsia="宋体" w:cs="宋体"/>
          <w:color w:val="auto"/>
          <w:szCs w:val="21"/>
          <w:highlight w:val="none"/>
          <w:lang w:eastAsia="zh-CN"/>
        </w:rPr>
        <w:t>。</w:t>
      </w:r>
    </w:p>
    <w:p>
      <w:pPr>
        <w:numPr>
          <w:ilvl w:val="1"/>
          <w:numId w:val="23"/>
        </w:numPr>
        <w:tabs>
          <w:tab w:val="left" w:pos="0"/>
          <w:tab w:val="clear" w:pos="1620"/>
        </w:tabs>
        <w:snapToGrid w:val="0"/>
        <w:spacing w:line="360" w:lineRule="auto"/>
        <w:ind w:left="0" w:firstLine="0"/>
        <w:rPr>
          <w:rFonts w:ascii="宋体" w:hAnsi="宋体"/>
          <w:color w:val="auto"/>
          <w:highlight w:val="none"/>
        </w:rPr>
      </w:pPr>
      <w:r>
        <w:rPr>
          <w:rFonts w:hint="eastAsia" w:ascii="宋体" w:hAnsi="宋体"/>
          <w:color w:val="auto"/>
          <w:highlight w:val="none"/>
        </w:rPr>
        <w:t>此表为《开标一览表(报价表)》的报价明细表。</w:t>
      </w:r>
    </w:p>
    <w:p>
      <w:pPr>
        <w:numPr>
          <w:ilvl w:val="1"/>
          <w:numId w:val="23"/>
        </w:numPr>
        <w:tabs>
          <w:tab w:val="left" w:pos="0"/>
          <w:tab w:val="clear" w:pos="1620"/>
        </w:tabs>
        <w:snapToGrid w:val="0"/>
        <w:spacing w:line="360" w:lineRule="auto"/>
        <w:ind w:left="0" w:firstLine="0"/>
        <w:rPr>
          <w:rFonts w:ascii="宋体" w:hAnsi="宋体"/>
          <w:color w:val="auto"/>
          <w:highlight w:val="none"/>
        </w:rPr>
      </w:pPr>
      <w:r>
        <w:rPr>
          <w:rFonts w:hint="eastAsia" w:ascii="宋体" w:hAnsi="宋体"/>
          <w:color w:val="auto"/>
          <w:highlight w:val="none"/>
        </w:rPr>
        <w:t>所有价格均以人民币作为货币单位填写及计算。</w:t>
      </w:r>
    </w:p>
    <w:p>
      <w:pPr>
        <w:widowControl/>
        <w:jc w:val="left"/>
        <w:rPr>
          <w:rFonts w:ascii="宋体" w:hAnsi="宋体"/>
          <w:color w:val="auto"/>
          <w:highlight w:val="none"/>
        </w:rPr>
      </w:pPr>
      <w:r>
        <w:rPr>
          <w:rFonts w:ascii="宋体" w:hAnsi="宋体"/>
          <w:color w:val="auto"/>
          <w:highlight w:val="none"/>
        </w:rPr>
        <w:br w:type="page"/>
      </w:r>
    </w:p>
    <w:p>
      <w:pPr>
        <w:pStyle w:val="4"/>
        <w:numPr>
          <w:ilvl w:val="0"/>
          <w:numId w:val="21"/>
        </w:numPr>
        <w:spacing w:line="240" w:lineRule="auto"/>
        <w:jc w:val="center"/>
        <w:rPr>
          <w:b w:val="0"/>
          <w:color w:val="auto"/>
          <w:highlight w:val="none"/>
        </w:rPr>
      </w:pPr>
      <w:bookmarkStart w:id="86" w:name="_Toc275865605"/>
      <w:bookmarkStart w:id="87" w:name="_Toc20322_WPSOffice_Level1"/>
      <w:bookmarkStart w:id="88" w:name="_Toc29843"/>
      <w:bookmarkStart w:id="89" w:name="_Toc1762"/>
      <w:bookmarkStart w:id="90" w:name="_Toc435514854"/>
      <w:bookmarkStart w:id="91" w:name="_Toc435515294"/>
      <w:r>
        <w:rPr>
          <w:rFonts w:hint="eastAsia" w:asciiTheme="majorEastAsia" w:hAnsiTheme="majorEastAsia" w:eastAsiaTheme="majorEastAsia"/>
          <w:color w:val="auto"/>
          <w:sz w:val="30"/>
          <w:szCs w:val="30"/>
          <w:highlight w:val="none"/>
        </w:rPr>
        <w:t>投标函</w:t>
      </w:r>
      <w:bookmarkEnd w:id="86"/>
      <w:bookmarkEnd w:id="87"/>
      <w:bookmarkEnd w:id="88"/>
      <w:bookmarkEnd w:id="89"/>
      <w:bookmarkEnd w:id="90"/>
      <w:bookmarkEnd w:id="91"/>
    </w:p>
    <w:p>
      <w:pPr>
        <w:spacing w:line="360" w:lineRule="auto"/>
        <w:ind w:left="105" w:leftChars="50" w:firstLine="2"/>
        <w:rPr>
          <w:rFonts w:ascii="宋体" w:hAnsi="宋体"/>
          <w:b/>
          <w:color w:val="auto"/>
          <w:highlight w:val="none"/>
        </w:rPr>
      </w:pPr>
      <w:r>
        <w:rPr>
          <w:rFonts w:hint="eastAsia" w:ascii="宋体" w:hAnsi="宋体"/>
          <w:b/>
          <w:color w:val="auto"/>
          <w:highlight w:val="none"/>
        </w:rPr>
        <w:t>致：采联国际招标采购集团有限公司</w:t>
      </w:r>
    </w:p>
    <w:p>
      <w:pPr>
        <w:spacing w:line="360" w:lineRule="auto"/>
        <w:ind w:left="105" w:leftChars="50" w:firstLine="373" w:firstLineChars="178"/>
        <w:rPr>
          <w:rFonts w:ascii="宋体" w:hAnsi="宋体"/>
          <w:color w:val="auto"/>
          <w:highlight w:val="none"/>
        </w:rPr>
      </w:pPr>
      <w:r>
        <w:rPr>
          <w:rFonts w:hint="eastAsia" w:ascii="宋体" w:hAnsi="宋体"/>
          <w:color w:val="auto"/>
          <w:highlight w:val="none"/>
        </w:rPr>
        <w:t>我方确认收到贵方</w:t>
      </w:r>
      <w:r>
        <w:rPr>
          <w:rFonts w:hint="eastAsia" w:ascii="宋体" w:hAnsi="宋体"/>
          <w:color w:val="auto"/>
          <w:kern w:val="28"/>
          <w:highlight w:val="none"/>
          <w:u w:val="single"/>
        </w:rPr>
        <w:t xml:space="preserve">           </w:t>
      </w:r>
      <w:r>
        <w:rPr>
          <w:rFonts w:hint="eastAsia" w:ascii="宋体" w:hAnsi="宋体"/>
          <w:color w:val="auto"/>
          <w:kern w:val="28"/>
          <w:highlight w:val="none"/>
          <w:u w:val="single"/>
          <w:lang w:eastAsia="zh-CN"/>
        </w:rPr>
        <w:t>深圳市疾病预防控制中心艾防硒标耗材一批</w:t>
      </w:r>
      <w:r>
        <w:rPr>
          <w:rFonts w:hint="eastAsia" w:ascii="宋体" w:hAnsi="宋体"/>
          <w:color w:val="auto"/>
          <w:kern w:val="28"/>
          <w:highlight w:val="none"/>
          <w:u w:val="single"/>
        </w:rPr>
        <w:t xml:space="preserve">        </w:t>
      </w:r>
      <w:r>
        <w:rPr>
          <w:rFonts w:hint="eastAsia" w:ascii="宋体" w:hAnsi="宋体"/>
          <w:color w:val="auto"/>
          <w:kern w:val="28"/>
          <w:highlight w:val="none"/>
        </w:rPr>
        <w:t>采购</w:t>
      </w:r>
      <w:r>
        <w:rPr>
          <w:rFonts w:hint="eastAsia" w:ascii="宋体" w:hAnsi="宋体"/>
          <w:color w:val="auto"/>
          <w:highlight w:val="none"/>
        </w:rPr>
        <w:t>货物及相关服务的招标文件（项目编号：</w:t>
      </w:r>
      <w:r>
        <w:rPr>
          <w:rFonts w:hint="eastAsia" w:ascii="宋体" w:hAnsi="宋体"/>
          <w:color w:val="auto"/>
          <w:highlight w:val="none"/>
          <w:lang w:eastAsia="zh-CN"/>
        </w:rPr>
        <w:t>CD-1711098581051A</w:t>
      </w:r>
      <w:r>
        <w:rPr>
          <w:rFonts w:hint="eastAsia" w:ascii="宋体" w:hAnsi="宋体"/>
          <w:color w:val="auto"/>
          <w:highlight w:val="none"/>
        </w:rPr>
        <w:t>），</w:t>
      </w:r>
      <w:r>
        <w:rPr>
          <w:rFonts w:hint="eastAsia" w:ascii="宋体" w:hAnsi="宋体"/>
          <w:color w:val="auto"/>
          <w:highlight w:val="none"/>
          <w:u w:val="single"/>
        </w:rPr>
        <w:t xml:space="preserve"> (投标人名称、地址)</w:t>
      </w:r>
      <w:r>
        <w:rPr>
          <w:rFonts w:hint="eastAsia" w:ascii="宋体" w:hAnsi="宋体"/>
          <w:color w:val="auto"/>
          <w:highlight w:val="none"/>
        </w:rPr>
        <w:t>作为投标人已正式授权</w:t>
      </w:r>
      <w:r>
        <w:rPr>
          <w:rFonts w:hint="eastAsia" w:ascii="宋体" w:hAnsi="宋体"/>
          <w:color w:val="auto"/>
          <w:highlight w:val="none"/>
          <w:u w:val="single"/>
        </w:rPr>
        <w:t xml:space="preserve"> (被投标人授权代表全名、职务)</w:t>
      </w:r>
      <w:r>
        <w:rPr>
          <w:rFonts w:hint="eastAsia" w:ascii="宋体" w:hAnsi="宋体"/>
          <w:color w:val="auto"/>
          <w:highlight w:val="none"/>
        </w:rPr>
        <w:t>为我方签名代表，签名代表在此声明并同意：</w:t>
      </w:r>
    </w:p>
    <w:p>
      <w:pPr>
        <w:numPr>
          <w:ilvl w:val="0"/>
          <w:numId w:val="24"/>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我单位愿意遵守采购代理机构招标文件的各项规定，自愿参加投标，并已清楚招标文件的要求及有关文件规定，并严格按照招标文件的规定履行全部责任和义务。</w:t>
      </w:r>
    </w:p>
    <w:p>
      <w:pPr>
        <w:numPr>
          <w:ilvl w:val="0"/>
          <w:numId w:val="24"/>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我们同意本投标文件的投标有效期从提交投标文件的截止之日起 90 日历日内有效，并承诺不予撤销已递交的投标文件。</w:t>
      </w:r>
    </w:p>
    <w:p>
      <w:pPr>
        <w:numPr>
          <w:ilvl w:val="0"/>
          <w:numId w:val="24"/>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我单位已经详细地阅读并完全明白了全部招标文件及附件，包括澄清（如有）及参考文件，我单位完全理解本招标文件的要求，</w:t>
      </w:r>
      <w:r>
        <w:rPr>
          <w:rFonts w:hint="eastAsia" w:ascii="宋体"/>
          <w:b/>
          <w:color w:val="auto"/>
          <w:highlight w:val="none"/>
        </w:rPr>
        <w:t>我单位同意放弃对招标文件提出不明或误解的一切权利</w:t>
      </w:r>
      <w:r>
        <w:rPr>
          <w:rFonts w:hint="eastAsia" w:ascii="宋体" w:hAnsi="宋体"/>
          <w:b/>
          <w:color w:val="auto"/>
          <w:highlight w:val="none"/>
        </w:rPr>
        <w:t>。</w:t>
      </w:r>
    </w:p>
    <w:p>
      <w:pPr>
        <w:numPr>
          <w:ilvl w:val="0"/>
          <w:numId w:val="24"/>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我单位同意提供</w:t>
      </w:r>
      <w:r>
        <w:rPr>
          <w:rFonts w:hint="eastAsia" w:ascii="宋体" w:hAnsi="宋体" w:cs="宋体"/>
          <w:b/>
          <w:color w:val="auto"/>
          <w:szCs w:val="21"/>
          <w:highlight w:val="none"/>
          <w:lang w:eastAsia="zh-TW"/>
        </w:rPr>
        <w:t>采购人或者采购代理机构</w:t>
      </w:r>
      <w:r>
        <w:rPr>
          <w:rFonts w:hint="eastAsia" w:ascii="宋体" w:hAnsi="宋体"/>
          <w:b/>
          <w:color w:val="auto"/>
          <w:highlight w:val="none"/>
        </w:rPr>
        <w:t>与评审委员会要求的有关投标的一切数据或资料。</w:t>
      </w:r>
    </w:p>
    <w:p>
      <w:pPr>
        <w:numPr>
          <w:ilvl w:val="0"/>
          <w:numId w:val="24"/>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我单位理解</w:t>
      </w:r>
      <w:r>
        <w:rPr>
          <w:rFonts w:hint="eastAsia" w:ascii="宋体" w:hAnsi="宋体" w:cs="宋体"/>
          <w:b/>
          <w:color w:val="auto"/>
          <w:szCs w:val="21"/>
          <w:highlight w:val="none"/>
          <w:lang w:eastAsia="zh-TW"/>
        </w:rPr>
        <w:t>采购人或者采购代理机构</w:t>
      </w:r>
      <w:r>
        <w:rPr>
          <w:rFonts w:hint="eastAsia" w:ascii="宋体" w:hAnsi="宋体"/>
          <w:b/>
          <w:color w:val="auto"/>
          <w:highlight w:val="none"/>
        </w:rPr>
        <w:t>与评审委员会并无义务必须接受最低报价的投标或其它任何投标，完全理解采购代理机构拒绝迟到的任何投标和最低投标报价不是被授予中标的唯一条件。</w:t>
      </w:r>
    </w:p>
    <w:p>
      <w:pPr>
        <w:numPr>
          <w:ilvl w:val="0"/>
          <w:numId w:val="24"/>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 xml:space="preserve">如果我单位未对招标文件全部要求作出实质性响应，则完全同意并接受按无效投标处理。 </w:t>
      </w:r>
    </w:p>
    <w:p>
      <w:pPr>
        <w:numPr>
          <w:ilvl w:val="0"/>
          <w:numId w:val="24"/>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24"/>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如果我单位提供的声明或承诺不真实，则完全同意认定为我司提供虚假材料，并同意作相应处理。</w:t>
      </w:r>
    </w:p>
    <w:p>
      <w:pPr>
        <w:numPr>
          <w:ilvl w:val="0"/>
          <w:numId w:val="24"/>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我单位是依法注册的法人，在法律、财务及运作上完全独立于本项目采购人、用户单位（如有）和采购代理机构。</w:t>
      </w:r>
    </w:p>
    <w:p>
      <w:pPr>
        <w:numPr>
          <w:ilvl w:val="0"/>
          <w:numId w:val="24"/>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所有有关本次投标的函电请寄：</w:t>
      </w:r>
      <w:r>
        <w:rPr>
          <w:rFonts w:hint="eastAsia" w:ascii="宋体" w:hAnsi="宋体"/>
          <w:b/>
          <w:color w:val="auto"/>
          <w:highlight w:val="none"/>
          <w:u w:val="single"/>
        </w:rPr>
        <w:t xml:space="preserve">  （投标人地址）   </w:t>
      </w:r>
    </w:p>
    <w:p>
      <w:pPr>
        <w:autoSpaceDE w:val="0"/>
        <w:autoSpaceDN w:val="0"/>
        <w:adjustRightInd w:val="0"/>
        <w:spacing w:line="360" w:lineRule="auto"/>
        <w:rPr>
          <w:rFonts w:ascii="宋体" w:hAnsi="宋体"/>
          <w:b/>
          <w:color w:val="auto"/>
          <w:sz w:val="24"/>
          <w:highlight w:val="none"/>
        </w:rPr>
      </w:pPr>
      <w:r>
        <w:rPr>
          <w:rFonts w:hint="eastAsia" w:ascii="宋体" w:hAnsi="宋体"/>
          <w:b/>
          <w:color w:val="auto"/>
          <w:sz w:val="24"/>
          <w:highlight w:val="none"/>
        </w:rPr>
        <w:t>备注：</w:t>
      </w:r>
    </w:p>
    <w:p>
      <w:pPr>
        <w:autoSpaceDE w:val="0"/>
        <w:autoSpaceDN w:val="0"/>
        <w:adjustRightInd w:val="0"/>
        <w:spacing w:line="360" w:lineRule="auto"/>
        <w:rPr>
          <w:rFonts w:ascii="宋体" w:hAnsi="宋体"/>
          <w:b/>
          <w:color w:val="auto"/>
          <w:sz w:val="24"/>
          <w:highlight w:val="none"/>
        </w:rPr>
      </w:pPr>
      <w:r>
        <w:rPr>
          <w:rFonts w:hint="eastAsia" w:ascii="宋体" w:hAnsi="宋体"/>
          <w:b/>
          <w:color w:val="auto"/>
          <w:sz w:val="24"/>
          <w:highlight w:val="none"/>
        </w:rPr>
        <w:t>1、投标函中承诺的投标有效期应当不少于招标文件中载明的投标有效期，否则视为无效投标。</w:t>
      </w:r>
    </w:p>
    <w:p>
      <w:pPr>
        <w:autoSpaceDE w:val="0"/>
        <w:autoSpaceDN w:val="0"/>
        <w:adjustRightInd w:val="0"/>
        <w:spacing w:line="360" w:lineRule="auto"/>
        <w:rPr>
          <w:rFonts w:ascii="宋体" w:hAnsi="宋体"/>
          <w:b/>
          <w:color w:val="auto"/>
          <w:sz w:val="24"/>
          <w:highlight w:val="none"/>
        </w:rPr>
      </w:pPr>
      <w:r>
        <w:rPr>
          <w:rFonts w:hint="eastAsia" w:ascii="宋体" w:hAnsi="宋体"/>
          <w:b/>
          <w:color w:val="auto"/>
          <w:sz w:val="24"/>
          <w:highlight w:val="none"/>
        </w:rPr>
        <w:t>2、除投标有效期承诺的时间外，本投标函内容不得擅自删改，否则视为无效投标。</w:t>
      </w:r>
    </w:p>
    <w:p>
      <w:pPr>
        <w:spacing w:line="360" w:lineRule="auto"/>
        <w:rPr>
          <w:b/>
          <w:bCs/>
          <w:color w:val="auto"/>
          <w:sz w:val="24"/>
          <w:highlight w:val="none"/>
        </w:rPr>
      </w:pPr>
    </w:p>
    <w:p>
      <w:pPr>
        <w:spacing w:line="360" w:lineRule="auto"/>
        <w:rPr>
          <w:color w:val="auto"/>
          <w:sz w:val="24"/>
          <w:highlight w:val="none"/>
        </w:rPr>
      </w:pPr>
      <w:r>
        <w:rPr>
          <w:rFonts w:hint="eastAsia"/>
          <w:b/>
          <w:bCs/>
          <w:color w:val="auto"/>
          <w:sz w:val="24"/>
          <w:highlight w:val="none"/>
        </w:rPr>
        <w:t>投标人单位名称（单位盖公章）：</w:t>
      </w:r>
      <w:r>
        <w:rPr>
          <w:rFonts w:hint="eastAsia"/>
          <w:color w:val="auto"/>
          <w:sz w:val="24"/>
          <w:highlight w:val="none"/>
          <w:u w:val="single"/>
        </w:rPr>
        <w:t xml:space="preserve">                            </w:t>
      </w:r>
      <w:r>
        <w:rPr>
          <w:rFonts w:hint="eastAsia"/>
          <w:color w:val="auto"/>
          <w:sz w:val="24"/>
          <w:highlight w:val="none"/>
        </w:rPr>
        <w:t xml:space="preserve"> </w:t>
      </w:r>
    </w:p>
    <w:p>
      <w:pPr>
        <w:spacing w:line="360" w:lineRule="auto"/>
        <w:rPr>
          <w:rFonts w:ascii="宋体" w:hAnsi="宋体"/>
          <w:b/>
          <w:bCs/>
          <w:color w:val="auto"/>
          <w:sz w:val="24"/>
          <w:highlight w:val="none"/>
        </w:rPr>
      </w:pPr>
      <w:r>
        <w:rPr>
          <w:rFonts w:hint="eastAsia" w:ascii="宋体" w:hAnsi="宋体"/>
          <w:b/>
          <w:bCs/>
          <w:color w:val="auto"/>
          <w:sz w:val="24"/>
          <w:highlight w:val="none"/>
        </w:rPr>
        <w:t>日期：</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年</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月</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日</w:t>
      </w:r>
    </w:p>
    <w:p>
      <w:pPr>
        <w:adjustRightInd w:val="0"/>
        <w:snapToGrid w:val="0"/>
        <w:spacing w:line="360" w:lineRule="auto"/>
        <w:rPr>
          <w:rFonts w:ascii="黑体" w:eastAsia="黑体"/>
          <w:b/>
          <w:bCs/>
          <w:color w:val="auto"/>
          <w:sz w:val="24"/>
          <w:highlight w:val="none"/>
        </w:rPr>
        <w:sectPr>
          <w:pgSz w:w="11906" w:h="16838"/>
          <w:pgMar w:top="1440" w:right="1286" w:bottom="1440" w:left="1440" w:header="851" w:footer="992" w:gutter="0"/>
          <w:cols w:space="720" w:num="1"/>
          <w:docGrid w:type="lines" w:linePitch="312" w:charSpace="0"/>
        </w:sectPr>
      </w:pPr>
    </w:p>
    <w:p>
      <w:pPr>
        <w:pStyle w:val="4"/>
        <w:numPr>
          <w:ilvl w:val="0"/>
          <w:numId w:val="21"/>
        </w:numPr>
        <w:spacing w:line="240" w:lineRule="auto"/>
        <w:jc w:val="center"/>
        <w:rPr>
          <w:rFonts w:asciiTheme="majorEastAsia" w:hAnsiTheme="majorEastAsia" w:eastAsiaTheme="majorEastAsia"/>
          <w:color w:val="auto"/>
          <w:sz w:val="30"/>
          <w:szCs w:val="30"/>
          <w:highlight w:val="none"/>
        </w:rPr>
      </w:pPr>
      <w:bookmarkStart w:id="92" w:name="_Toc435514855"/>
      <w:bookmarkStart w:id="93" w:name="_Toc435515295"/>
      <w:bookmarkStart w:id="94" w:name="_Toc3802"/>
      <w:bookmarkStart w:id="95" w:name="_Toc275865606"/>
      <w:bookmarkStart w:id="96" w:name="_Toc24650"/>
      <w:r>
        <w:rPr>
          <w:rFonts w:hint="eastAsia" w:asciiTheme="majorEastAsia" w:hAnsiTheme="majorEastAsia" w:eastAsiaTheme="majorEastAsia"/>
          <w:color w:val="auto"/>
          <w:sz w:val="30"/>
          <w:szCs w:val="30"/>
          <w:highlight w:val="none"/>
        </w:rPr>
        <w:t>投标人资格声明函</w:t>
      </w:r>
      <w:bookmarkEnd w:id="92"/>
      <w:bookmarkEnd w:id="93"/>
      <w:bookmarkEnd w:id="94"/>
      <w:bookmarkEnd w:id="95"/>
      <w:bookmarkEnd w:id="96"/>
    </w:p>
    <w:p>
      <w:pPr>
        <w:spacing w:line="360" w:lineRule="auto"/>
        <w:rPr>
          <w:rFonts w:ascii="宋体" w:hAnsi="宋体"/>
          <w:color w:val="auto"/>
          <w:szCs w:val="21"/>
          <w:highlight w:val="none"/>
        </w:rPr>
      </w:pPr>
      <w:r>
        <w:rPr>
          <w:rFonts w:hint="eastAsia" w:ascii="宋体" w:hAnsi="宋体"/>
          <w:color w:val="auto"/>
          <w:szCs w:val="21"/>
          <w:highlight w:val="none"/>
        </w:rPr>
        <w:t>致：采联国际招标采购集团有限公司</w:t>
      </w:r>
    </w:p>
    <w:p>
      <w:pPr>
        <w:pStyle w:val="114"/>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关于贵公司代理的</w:t>
      </w:r>
      <w:r>
        <w:rPr>
          <w:rFonts w:hint="eastAsia" w:ascii="宋体" w:hAnsi="宋体"/>
          <w:color w:val="auto"/>
          <w:highlight w:val="none"/>
          <w:u w:val="single"/>
        </w:rPr>
        <w:t xml:space="preserve">  </w:t>
      </w:r>
      <w:r>
        <w:rPr>
          <w:rFonts w:hint="eastAsia" w:ascii="宋体" w:hAnsi="宋体"/>
          <w:color w:val="auto"/>
          <w:highlight w:val="none"/>
          <w:u w:val="single"/>
          <w:lang w:eastAsia="zh-CN"/>
        </w:rPr>
        <w:t>深圳市疾病预防控制中心艾防硒标耗材一批</w:t>
      </w:r>
      <w:r>
        <w:rPr>
          <w:rFonts w:hint="eastAsia" w:ascii="宋体" w:hAnsi="宋体"/>
          <w:color w:val="auto"/>
          <w:highlight w:val="none"/>
          <w:u w:val="single"/>
        </w:rPr>
        <w:t xml:space="preserve"> </w:t>
      </w:r>
      <w:r>
        <w:rPr>
          <w:rFonts w:hint="eastAsia" w:ascii="宋体" w:hAnsi="宋体"/>
          <w:color w:val="auto"/>
          <w:highlight w:val="none"/>
        </w:rPr>
        <w:t>（项目编号：</w:t>
      </w:r>
      <w:r>
        <w:rPr>
          <w:rFonts w:hint="eastAsia" w:ascii="宋体" w:hAnsi="宋体"/>
          <w:color w:val="auto"/>
          <w:highlight w:val="none"/>
          <w:lang w:eastAsia="zh-CN"/>
        </w:rPr>
        <w:t>CD-1711098581051A</w:t>
      </w:r>
      <w:r>
        <w:rPr>
          <w:rFonts w:hint="eastAsia" w:ascii="宋体" w:hAnsi="宋体"/>
          <w:color w:val="auto"/>
          <w:highlight w:val="none"/>
        </w:rPr>
        <w:t>）招标，本公司（企业）愿意参加投标，并声明：</w:t>
      </w:r>
    </w:p>
    <w:p>
      <w:pPr>
        <w:numPr>
          <w:ilvl w:val="0"/>
          <w:numId w:val="25"/>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《中华人民共和国政府采购法》</w:t>
      </w:r>
      <w:r>
        <w:rPr>
          <w:rFonts w:hint="eastAsia" w:asciiTheme="minorEastAsia" w:hAnsiTheme="minorEastAsia" w:eastAsiaTheme="minorEastAsia"/>
          <w:bCs/>
          <w:color w:val="auto"/>
          <w:szCs w:val="21"/>
          <w:highlight w:val="none"/>
        </w:rPr>
        <w:t>第二十二条规定的条件：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2.具有良好的商业信誉和健全的财务会计制度；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6.法律、行政法规规定的其他条件。</w:t>
      </w:r>
    </w:p>
    <w:p>
      <w:pPr>
        <w:numPr>
          <w:ilvl w:val="0"/>
          <w:numId w:val="25"/>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我公司对本招标项目所提供的货物或服务未侵犯知识产权。</w:t>
      </w:r>
    </w:p>
    <w:p>
      <w:pPr>
        <w:numPr>
          <w:ilvl w:val="0"/>
          <w:numId w:val="25"/>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我公司保证采购人拥有所投产品完整的所有权，不以保护知识产权或技术保密的名义对所有权和使用权进行任何限制。</w:t>
      </w:r>
    </w:p>
    <w:p>
      <w:pPr>
        <w:numPr>
          <w:ilvl w:val="0"/>
          <w:numId w:val="25"/>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我公司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pPr>
        <w:numPr>
          <w:ilvl w:val="0"/>
          <w:numId w:val="25"/>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pPr>
        <w:numPr>
          <w:ilvl w:val="0"/>
          <w:numId w:val="25"/>
        </w:numPr>
        <w:spacing w:line="360" w:lineRule="auto"/>
        <w:ind w:right="-815" w:firstLineChars="200"/>
        <w:rPr>
          <w:bCs/>
          <w:color w:val="auto"/>
          <w:szCs w:val="21"/>
          <w:highlight w:val="none"/>
        </w:rPr>
      </w:pPr>
      <w:r>
        <w:rPr>
          <w:rFonts w:hint="eastAsia"/>
          <w:bCs/>
          <w:color w:val="auto"/>
          <w:szCs w:val="21"/>
          <w:highlight w:val="none"/>
        </w:rPr>
        <w:t>根据《中华人民共和国政府采购法实施条例》的规定，本公司（企业）如为采购项目（包组）提供整体设计、规范编制或者项目管理、监理、检测等服务的供应商，不再参加该采购项目的其他采购活动</w:t>
      </w:r>
    </w:p>
    <w:p>
      <w:pPr>
        <w:numPr>
          <w:ilvl w:val="0"/>
          <w:numId w:val="25"/>
        </w:numPr>
        <w:spacing w:line="360" w:lineRule="auto"/>
        <w:ind w:right="-815" w:firstLineChars="200"/>
        <w:rPr>
          <w:rFonts w:ascii="宋体" w:hAnsi="宋体"/>
          <w:color w:val="auto"/>
          <w:highlight w:val="none"/>
        </w:rPr>
      </w:pPr>
      <w:r>
        <w:rPr>
          <w:rFonts w:hint="eastAsia" w:ascii="宋体" w:hAnsi="宋体"/>
          <w:color w:val="auto"/>
          <w:highlight w:val="none"/>
        </w:rPr>
        <w:t>本公司（企业）的法定代表人或单位负责人与本项目其他投标人的法定代表人或单位负责人不为同一人且与其他投标人之间不存在直接控股、管理关系。</w:t>
      </w:r>
    </w:p>
    <w:p>
      <w:pPr>
        <w:numPr>
          <w:ilvl w:val="0"/>
          <w:numId w:val="25"/>
        </w:numPr>
        <w:spacing w:line="360" w:lineRule="auto"/>
        <w:ind w:right="-815" w:firstLineChars="200"/>
        <w:rPr>
          <w:rFonts w:ascii="宋体" w:hAnsi="宋体"/>
          <w:color w:val="auto"/>
          <w:szCs w:val="21"/>
          <w:highlight w:val="none"/>
        </w:rPr>
      </w:pPr>
      <w:r>
        <w:rPr>
          <w:rFonts w:hint="eastAsia" w:ascii="宋体" w:hAnsi="宋体"/>
          <w:color w:val="auto"/>
          <w:highlight w:val="none"/>
        </w:rPr>
        <w:t>本公司（企业）承诺在本次招标采购活动中，如有违法、违规、弄虚作假行为，所造成的损失、不良后果及法律责任，一律由我公司（企业）承担。</w:t>
      </w:r>
    </w:p>
    <w:p>
      <w:pPr>
        <w:numPr>
          <w:ilvl w:val="0"/>
          <w:numId w:val="25"/>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在参与</w:t>
      </w:r>
      <w:r>
        <w:rPr>
          <w:rFonts w:hint="eastAsia" w:ascii="宋体" w:hAnsi="宋体"/>
          <w:color w:val="auto"/>
          <w:highlight w:val="none"/>
        </w:rPr>
        <w:t>本次招标采购活动中</w:t>
      </w:r>
      <w:r>
        <w:rPr>
          <w:rFonts w:hint="eastAsia" w:ascii="宋体" w:hAnsi="宋体"/>
          <w:color w:val="auto"/>
          <w:szCs w:val="21"/>
          <w:highlight w:val="none"/>
        </w:rPr>
        <w:t>投标截止日前三年内，在我公司的经营活动中没有存在重大违法记录，即我公司没有受到刑事处罚或者责令停产停业、吊销许可证或者执照、较大数额罚款等行政处罚。</w:t>
      </w:r>
    </w:p>
    <w:p>
      <w:pPr>
        <w:numPr>
          <w:ilvl w:val="0"/>
          <w:numId w:val="25"/>
        </w:numPr>
        <w:spacing w:line="360" w:lineRule="auto"/>
        <w:ind w:right="-815" w:firstLineChars="200"/>
        <w:rPr>
          <w:rFonts w:ascii="宋体" w:hAnsi="宋体"/>
          <w:color w:val="auto"/>
          <w:szCs w:val="21"/>
          <w:highlight w:val="none"/>
        </w:rPr>
      </w:pPr>
      <w:r>
        <w:rPr>
          <w:rFonts w:hint="eastAsia"/>
          <w:color w:val="auto"/>
          <w:szCs w:val="21"/>
          <w:highlight w:val="none"/>
        </w:rPr>
        <w:t>在参与</w:t>
      </w:r>
      <w:r>
        <w:rPr>
          <w:rFonts w:hint="eastAsia" w:ascii="宋体" w:hAnsi="宋体"/>
          <w:color w:val="auto"/>
          <w:highlight w:val="none"/>
        </w:rPr>
        <w:t>本次招标采购活动中</w:t>
      </w:r>
      <w:r>
        <w:rPr>
          <w:rFonts w:hint="eastAsia"/>
          <w:color w:val="auto"/>
          <w:szCs w:val="21"/>
          <w:highlight w:val="none"/>
        </w:rPr>
        <w:t>，我公司不存在被政府主管部门禁止参与政府采购活动的情形，即我公司不存在还处于被禁止参与政府采购活动的期限内情形。</w:t>
      </w:r>
    </w:p>
    <w:p>
      <w:pPr>
        <w:numPr>
          <w:ilvl w:val="0"/>
          <w:numId w:val="25"/>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参与本项目采购活动时未被列入失信被执行人、</w:t>
      </w:r>
      <w:r>
        <w:rPr>
          <w:rFonts w:ascii="宋体" w:hAnsi="宋体"/>
          <w:color w:val="auto"/>
          <w:szCs w:val="21"/>
          <w:highlight w:val="none"/>
        </w:rPr>
        <w:t>重大税收违法案件当事人名单（税收违法黑名单）</w:t>
      </w:r>
      <w:r>
        <w:rPr>
          <w:rFonts w:hint="eastAsia" w:ascii="宋体" w:hAnsi="宋体"/>
          <w:color w:val="auto"/>
          <w:szCs w:val="21"/>
          <w:highlight w:val="none"/>
        </w:rPr>
        <w:t>、政府采购严重违法失信行为记录名单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以上承诺，如有违反，愿依照国家相关法律处理，并承担由此给采购人带来的损失。</w:t>
      </w:r>
    </w:p>
    <w:p>
      <w:pPr>
        <w:autoSpaceDE w:val="0"/>
        <w:autoSpaceDN w:val="0"/>
        <w:adjustRightInd w:val="0"/>
        <w:spacing w:line="360" w:lineRule="auto"/>
        <w:rPr>
          <w:rFonts w:ascii="宋体" w:hAnsi="宋体"/>
          <w:b/>
          <w:color w:val="auto"/>
          <w:sz w:val="24"/>
          <w:highlight w:val="none"/>
        </w:rPr>
      </w:pPr>
      <w:r>
        <w:rPr>
          <w:rFonts w:hint="eastAsia" w:ascii="宋体" w:hAnsi="宋体"/>
          <w:b/>
          <w:color w:val="auto"/>
          <w:sz w:val="24"/>
          <w:highlight w:val="none"/>
        </w:rPr>
        <w:t>备注：1.本声明函必须提供且内容不得擅自删改，否则视为无效投标。</w:t>
      </w:r>
    </w:p>
    <w:p>
      <w:pPr>
        <w:snapToGrid w:val="0"/>
        <w:spacing w:line="360" w:lineRule="auto"/>
        <w:ind w:firstLine="723" w:firstLineChars="300"/>
        <w:rPr>
          <w:rFonts w:ascii="宋体" w:hAnsi="宋体"/>
          <w:b/>
          <w:color w:val="auto"/>
          <w:sz w:val="24"/>
          <w:highlight w:val="none"/>
        </w:rPr>
      </w:pPr>
      <w:r>
        <w:rPr>
          <w:rFonts w:hint="eastAsia" w:ascii="宋体" w:hAnsi="宋体"/>
          <w:b/>
          <w:color w:val="auto"/>
          <w:sz w:val="24"/>
          <w:highlight w:val="none"/>
        </w:rPr>
        <w:t>2.本声明函如有虚假或与事实不符的，作无效投标处理。</w:t>
      </w:r>
    </w:p>
    <w:p>
      <w:pPr>
        <w:spacing w:line="360" w:lineRule="auto"/>
        <w:ind w:firstLine="480" w:firstLineChars="200"/>
        <w:rPr>
          <w:rFonts w:ascii="宋体" w:hAnsi="宋体"/>
          <w:color w:val="auto"/>
          <w:sz w:val="24"/>
          <w:highlight w:val="none"/>
        </w:rPr>
      </w:pPr>
    </w:p>
    <w:p>
      <w:pPr>
        <w:spacing w:line="360" w:lineRule="auto"/>
        <w:ind w:firstLine="420"/>
        <w:rPr>
          <w:color w:val="auto"/>
          <w:sz w:val="24"/>
          <w:highlight w:val="none"/>
        </w:rPr>
      </w:pPr>
      <w:r>
        <w:rPr>
          <w:rFonts w:hint="eastAsia"/>
          <w:b/>
          <w:bCs/>
          <w:color w:val="auto"/>
          <w:sz w:val="24"/>
          <w:highlight w:val="none"/>
        </w:rPr>
        <w:t>投标人单位名称（单位盖公章）：</w:t>
      </w:r>
      <w:r>
        <w:rPr>
          <w:rFonts w:hint="eastAsia"/>
          <w:color w:val="auto"/>
          <w:sz w:val="24"/>
          <w:highlight w:val="none"/>
          <w:u w:val="single"/>
        </w:rPr>
        <w:t xml:space="preserve">                             </w:t>
      </w:r>
      <w:r>
        <w:rPr>
          <w:rFonts w:hint="eastAsia"/>
          <w:color w:val="auto"/>
          <w:sz w:val="24"/>
          <w:highlight w:val="none"/>
        </w:rPr>
        <w:t>　　　　　　　</w:t>
      </w:r>
    </w:p>
    <w:p>
      <w:pPr>
        <w:spacing w:line="360" w:lineRule="auto"/>
        <w:ind w:firstLine="420"/>
        <w:rPr>
          <w:rFonts w:ascii="宋体" w:hAnsi="宋体"/>
          <w:b/>
          <w:bCs/>
          <w:color w:val="auto"/>
          <w:sz w:val="24"/>
          <w:highlight w:val="none"/>
        </w:rPr>
      </w:pPr>
      <w:r>
        <w:rPr>
          <w:rFonts w:hint="eastAsia"/>
          <w:b/>
          <w:bCs/>
          <w:color w:val="auto"/>
          <w:sz w:val="24"/>
          <w:highlight w:val="none"/>
        </w:rPr>
        <w:t>日期：</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年</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月</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日</w:t>
      </w:r>
    </w:p>
    <w:p>
      <w:pPr>
        <w:spacing w:line="360" w:lineRule="auto"/>
        <w:ind w:firstLine="420"/>
        <w:rPr>
          <w:b/>
          <w:color w:val="auto"/>
          <w:sz w:val="24"/>
          <w:highlight w:val="none"/>
        </w:rPr>
      </w:pPr>
      <w:r>
        <w:rPr>
          <w:b/>
          <w:color w:val="auto"/>
          <w:sz w:val="24"/>
          <w:highlight w:val="none"/>
        </w:rPr>
        <w:br w:type="page"/>
      </w:r>
    </w:p>
    <w:p>
      <w:pPr>
        <w:pStyle w:val="4"/>
        <w:numPr>
          <w:ilvl w:val="0"/>
          <w:numId w:val="21"/>
        </w:numPr>
        <w:spacing w:line="240" w:lineRule="auto"/>
        <w:jc w:val="center"/>
        <w:rPr>
          <w:rFonts w:asciiTheme="majorEastAsia" w:hAnsiTheme="majorEastAsia" w:eastAsiaTheme="majorEastAsia"/>
          <w:color w:val="auto"/>
          <w:sz w:val="30"/>
          <w:szCs w:val="30"/>
          <w:highlight w:val="none"/>
        </w:rPr>
      </w:pPr>
      <w:bookmarkStart w:id="97" w:name="_承诺函"/>
      <w:bookmarkEnd w:id="97"/>
      <w:bookmarkStart w:id="98" w:name="_Toc11062"/>
      <w:bookmarkStart w:id="99" w:name="_Toc50736477"/>
      <w:bookmarkStart w:id="100" w:name="_Toc275865607"/>
      <w:bookmarkStart w:id="101" w:name="_Toc52165081"/>
      <w:bookmarkStart w:id="102" w:name="_Toc435514859"/>
      <w:bookmarkStart w:id="103" w:name="_Toc27672"/>
      <w:bookmarkStart w:id="104" w:name="_Toc435515299"/>
      <w:bookmarkStart w:id="105" w:name="_Toc50737329"/>
      <w:bookmarkStart w:id="106" w:name="_Toc50737297"/>
      <w:bookmarkStart w:id="107" w:name="_Toc50737296"/>
      <w:bookmarkStart w:id="108" w:name="_Toc50737328"/>
      <w:bookmarkStart w:id="109" w:name="_Toc50691034"/>
      <w:bookmarkStart w:id="110" w:name="_Toc52165080"/>
      <w:bookmarkStart w:id="111" w:name="_Toc50736476"/>
      <w:r>
        <w:rPr>
          <w:rFonts w:hint="eastAsia" w:asciiTheme="majorEastAsia" w:hAnsiTheme="majorEastAsia" w:eastAsiaTheme="majorEastAsia"/>
          <w:color w:val="auto"/>
          <w:sz w:val="30"/>
          <w:szCs w:val="30"/>
          <w:highlight w:val="none"/>
        </w:rPr>
        <w:t>采购违法行为风险知悉确认书</w:t>
      </w:r>
      <w:bookmarkEnd w:id="98"/>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一、本公司已充分知悉“隐瞒真实情况，提供虚假资料”的法定情形，相关情形包括但不限于</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（三）项目负责人或者主要技术人员不是本单位人员的。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（四）投标保证金不是从投标供应商基本账户转出的。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（五）其他隐瞒真实情况、提供虚假资料的行为。</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（五）不同投标供应商的投标文件内容存在非正常一致。</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（七）不同投标人的投标报价呈规律性差异。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（九）主管部门依照法律、法规认定的其他情形。</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（一）对于从其他主体获取的投标资料，供应商应审慎核查，确保投标资料的真实性。</w:t>
      </w:r>
      <w:r>
        <w:rPr>
          <w:rFonts w:hint="eastAsia" w:asciiTheme="minorEastAsia" w:hAnsiTheme="minorEastAsia" w:eastAsiaTheme="minorEastAsia" w:cstheme="minorEastAsia"/>
          <w:b/>
          <w:bCs/>
          <w:color w:val="auto"/>
          <w:szCs w:val="21"/>
          <w:highlight w:val="none"/>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（六）单位负责人为同一人或者存在直接控股、管理关系的不同供应商，不得参加同一合同项下的采购活动。相关情形如查实，依法作投标无效处理；涉嫌串通投标等违法行为的，主管部门将依法调查处理。</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四、本公司已充分知悉采购违法、违规行为的法律后果。</w:t>
      </w:r>
      <w:r>
        <w:rPr>
          <w:rFonts w:hint="eastAsia" w:asciiTheme="minorEastAsia" w:hAnsiTheme="minorEastAsia" w:eastAsiaTheme="minorEastAsia" w:cstheme="minorEastAsia"/>
          <w:color w:val="auto"/>
          <w:szCs w:val="21"/>
          <w:highlight w:val="none"/>
        </w:rPr>
        <w:t>经查实，若投标供应商存在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负责人/投标授权代表签名：</w:t>
      </w:r>
    </w:p>
    <w:p>
      <w:pPr>
        <w:spacing w:line="360" w:lineRule="auto"/>
        <w:ind w:firstLine="5670" w:firstLineChars="27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知悉人（公章）：</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日期：</w:t>
      </w:r>
    </w:p>
    <w:p>
      <w:pPr>
        <w:rPr>
          <w:rFonts w:asciiTheme="majorEastAsia" w:hAnsiTheme="majorEastAsia" w:eastAsiaTheme="majorEastAsia"/>
          <w:color w:val="auto"/>
          <w:sz w:val="30"/>
          <w:szCs w:val="30"/>
          <w:highlight w:val="none"/>
        </w:rPr>
      </w:pPr>
    </w:p>
    <w:p>
      <w:pPr>
        <w:rPr>
          <w:rFonts w:asciiTheme="minorEastAsia" w:hAnsiTheme="minorEastAsia" w:eastAsiaTheme="minorEastAsia" w:cstheme="minorEastAsia"/>
          <w:b/>
          <w:bCs/>
          <w:color w:val="auto"/>
          <w:szCs w:val="21"/>
          <w:highlight w:val="none"/>
        </w:rPr>
      </w:pPr>
    </w:p>
    <w:p>
      <w:pPr>
        <w:rPr>
          <w:rFonts w:asciiTheme="majorEastAsia" w:hAnsiTheme="majorEastAsia" w:eastAsiaTheme="majorEastAsia"/>
          <w:color w:val="auto"/>
          <w:sz w:val="30"/>
          <w:szCs w:val="30"/>
          <w:highlight w:val="none"/>
        </w:rPr>
      </w:pPr>
      <w:r>
        <w:rPr>
          <w:rFonts w:hint="eastAsia" w:asciiTheme="minorEastAsia" w:hAnsiTheme="minorEastAsia" w:eastAsiaTheme="minorEastAsia" w:cstheme="minorEastAsia"/>
          <w:b/>
          <w:bCs/>
          <w:color w:val="auto"/>
          <w:szCs w:val="21"/>
          <w:highlight w:val="none"/>
        </w:rPr>
        <w:t>注：该风险知悉确认书用于对供应商违法行为的警示，不作为供应商资格性审查及符合性审查条件。</w:t>
      </w:r>
    </w:p>
    <w:p>
      <w:pPr>
        <w:rPr>
          <w:rFonts w:asciiTheme="majorEastAsia" w:hAnsiTheme="majorEastAsia" w:eastAsiaTheme="majorEastAsia"/>
          <w:color w:val="auto"/>
          <w:sz w:val="30"/>
          <w:szCs w:val="30"/>
          <w:highlight w:val="none"/>
        </w:rPr>
      </w:pPr>
      <w:r>
        <w:rPr>
          <w:rFonts w:hint="eastAsia" w:asciiTheme="majorEastAsia" w:hAnsiTheme="majorEastAsia" w:eastAsiaTheme="majorEastAsia"/>
          <w:color w:val="auto"/>
          <w:sz w:val="30"/>
          <w:szCs w:val="30"/>
          <w:highlight w:val="none"/>
        </w:rPr>
        <w:br w:type="page"/>
      </w:r>
    </w:p>
    <w:p>
      <w:pPr>
        <w:keepNext/>
        <w:keepLines/>
        <w:widowControl w:val="0"/>
        <w:numPr>
          <w:ilvl w:val="0"/>
          <w:numId w:val="21"/>
        </w:numPr>
        <w:spacing w:before="260" w:after="260" w:line="240" w:lineRule="auto"/>
        <w:ind w:left="420" w:hanging="420"/>
        <w:jc w:val="center"/>
        <w:outlineLvl w:val="1"/>
        <w:rPr>
          <w:rFonts w:cs="Times New Roman" w:asciiTheme="majorEastAsia" w:hAnsiTheme="majorEastAsia" w:eastAsiaTheme="majorEastAsia"/>
          <w:b/>
          <w:bCs/>
          <w:color w:val="auto"/>
          <w:kern w:val="2"/>
          <w:sz w:val="30"/>
          <w:szCs w:val="30"/>
          <w:highlight w:val="none"/>
          <w:lang w:val="en-US" w:eastAsia="zh-CN" w:bidi="ar-SA"/>
        </w:rPr>
      </w:pPr>
      <w:bookmarkStart w:id="112" w:name="_Toc17661"/>
      <w:r>
        <w:rPr>
          <w:rFonts w:hint="eastAsia" w:cs="Times New Roman" w:asciiTheme="majorEastAsia" w:hAnsiTheme="majorEastAsia" w:eastAsiaTheme="majorEastAsia"/>
          <w:b/>
          <w:bCs/>
          <w:color w:val="auto"/>
          <w:kern w:val="2"/>
          <w:sz w:val="30"/>
          <w:szCs w:val="30"/>
          <w:highlight w:val="none"/>
          <w:lang w:val="en-US" w:eastAsia="zh-CN" w:bidi="ar-SA"/>
        </w:rPr>
        <w:t>提供法定代表人、主要经营负责人、项目投标授权代表人、项目负责人、主要技术人员最近一个月的社会保险证明</w:t>
      </w:r>
      <w:bookmarkEnd w:id="112"/>
    </w:p>
    <w:p>
      <w:pPr>
        <w:tabs>
          <w:tab w:val="left" w:pos="426"/>
        </w:tabs>
        <w:autoSpaceDE w:val="0"/>
        <w:autoSpaceDN w:val="0"/>
        <w:spacing w:line="360" w:lineRule="auto"/>
        <w:jc w:val="left"/>
        <w:outlineLvl w:val="9"/>
        <w:rPr>
          <w:rFonts w:asciiTheme="majorEastAsia" w:hAnsiTheme="majorEastAsia" w:eastAsiaTheme="majorEastAsia"/>
          <w:color w:val="auto"/>
          <w:sz w:val="30"/>
          <w:szCs w:val="30"/>
          <w:highlight w:val="none"/>
        </w:rPr>
      </w:pPr>
      <w:r>
        <w:rPr>
          <w:rFonts w:hint="eastAsia" w:cs="宋体" w:asciiTheme="minorEastAsia" w:hAnsiTheme="minorEastAsia" w:eastAsiaTheme="minorEastAsia"/>
          <w:b w:val="0"/>
          <w:bCs w:val="0"/>
          <w:color w:val="auto"/>
          <w:sz w:val="21"/>
          <w:szCs w:val="21"/>
          <w:highlight w:val="none"/>
          <w:u w:val="none"/>
          <w:lang w:eastAsia="zh-CN"/>
        </w:rPr>
        <w:t>注：</w:t>
      </w:r>
      <w:r>
        <w:rPr>
          <w:rFonts w:hint="eastAsia" w:cs="Times New Roman" w:asciiTheme="minorEastAsia" w:hAnsiTheme="minorEastAsia" w:eastAsiaTheme="minorEastAsia"/>
          <w:color w:val="auto"/>
          <w:sz w:val="21"/>
          <w:szCs w:val="21"/>
          <w:highlight w:val="none"/>
        </w:rPr>
        <w:t>由于社保部门或税务部门原因最近一个月的社保证明无法提供的可往前顺延一个月</w:t>
      </w:r>
      <w:r>
        <w:rPr>
          <w:rFonts w:hint="eastAsia" w:cs="Times New Roman" w:asciiTheme="minorEastAsia" w:hAnsiTheme="minorEastAsia" w:eastAsiaTheme="minorEastAsia"/>
          <w:color w:val="auto"/>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color w:val="auto"/>
          <w:kern w:val="2"/>
          <w:sz w:val="21"/>
          <w:szCs w:val="21"/>
          <w:highlight w:val="none"/>
          <w:lang w:val="en-US" w:eastAsia="zh-CN" w:bidi="ar-SA"/>
        </w:rPr>
        <w:t>如依法不需要缴纳社会保险的，应提供相应文件证明；如为退休返聘人员提供退休证明和聘用合同</w:t>
      </w:r>
      <w:r>
        <w:rPr>
          <w:rFonts w:hint="eastAsia" w:cs="Times New Roman"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color w:val="auto"/>
          <w:sz w:val="21"/>
          <w:szCs w:val="21"/>
          <w:highlight w:val="none"/>
          <w:lang w:eastAsia="zh-CN"/>
        </w:rPr>
        <w:t>。</w:t>
      </w:r>
    </w:p>
    <w:p>
      <w:pPr>
        <w:rPr>
          <w:rFonts w:asciiTheme="majorEastAsia" w:hAnsiTheme="majorEastAsia" w:eastAsiaTheme="majorEastAsia"/>
          <w:color w:val="auto"/>
          <w:sz w:val="30"/>
          <w:szCs w:val="30"/>
          <w:highlight w:val="none"/>
        </w:rPr>
      </w:pPr>
      <w:r>
        <w:rPr>
          <w:rFonts w:hint="eastAsia" w:asciiTheme="majorEastAsia" w:hAnsiTheme="majorEastAsia" w:eastAsiaTheme="majorEastAsia"/>
          <w:color w:val="auto"/>
          <w:sz w:val="30"/>
          <w:szCs w:val="30"/>
          <w:highlight w:val="none"/>
        </w:rPr>
        <w:br w:type="page"/>
      </w:r>
    </w:p>
    <w:p>
      <w:pPr>
        <w:pStyle w:val="4"/>
        <w:numPr>
          <w:ilvl w:val="0"/>
          <w:numId w:val="21"/>
        </w:numPr>
        <w:spacing w:line="240" w:lineRule="auto"/>
        <w:jc w:val="center"/>
        <w:rPr>
          <w:rFonts w:asciiTheme="majorEastAsia" w:hAnsiTheme="majorEastAsia" w:eastAsiaTheme="majorEastAsia"/>
          <w:color w:val="auto"/>
          <w:sz w:val="30"/>
          <w:szCs w:val="30"/>
          <w:highlight w:val="none"/>
        </w:rPr>
      </w:pPr>
      <w:bookmarkStart w:id="113" w:name="_Toc22980"/>
      <w:r>
        <w:rPr>
          <w:rFonts w:hint="eastAsia" w:asciiTheme="majorEastAsia" w:hAnsiTheme="majorEastAsia" w:eastAsiaTheme="majorEastAsia"/>
          <w:color w:val="auto"/>
          <w:sz w:val="30"/>
          <w:szCs w:val="30"/>
          <w:highlight w:val="none"/>
        </w:rPr>
        <w:t>公章对投标专用章授权说明</w:t>
      </w:r>
      <w:bookmarkEnd w:id="113"/>
    </w:p>
    <w:p>
      <w:pPr>
        <w:snapToGrid w:val="0"/>
        <w:spacing w:line="360" w:lineRule="auto"/>
        <w:rPr>
          <w:rFonts w:ascii="宋体" w:hAnsi="宋体"/>
          <w:color w:val="auto"/>
          <w:szCs w:val="21"/>
          <w:highlight w:val="none"/>
        </w:rPr>
      </w:pPr>
      <w:r>
        <w:rPr>
          <w:rFonts w:hint="eastAsia" w:ascii="宋体" w:hAnsi="宋体"/>
          <w:b/>
          <w:color w:val="auto"/>
          <w:szCs w:val="21"/>
          <w:highlight w:val="none"/>
        </w:rPr>
        <w:t>采联国际招标采购集团有限公司：</w:t>
      </w:r>
    </w:p>
    <w:p>
      <w:pPr>
        <w:snapToGrid w:val="0"/>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本单位</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（投标人名称）  </w:t>
      </w:r>
      <w:r>
        <w:rPr>
          <w:rFonts w:hint="eastAsia" w:ascii="宋体" w:hAnsi="宋体"/>
          <w:color w:val="auto"/>
          <w:szCs w:val="21"/>
          <w:highlight w:val="none"/>
        </w:rPr>
        <w:t>参加</w:t>
      </w:r>
      <w:r>
        <w:rPr>
          <w:rFonts w:hint="eastAsia" w:ascii="宋体" w:hAnsi="宋体"/>
          <w:color w:val="auto"/>
          <w:szCs w:val="21"/>
          <w:highlight w:val="none"/>
          <w:u w:val="single"/>
          <w:lang w:eastAsia="zh-CN"/>
        </w:rPr>
        <w:t>深圳市疾病预防控制中心艾防硒标耗材一批</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CD-1711098581051A</w:t>
      </w:r>
      <w:r>
        <w:rPr>
          <w:rFonts w:hint="eastAsia" w:ascii="宋体" w:hAnsi="宋体"/>
          <w:color w:val="auto"/>
          <w:szCs w:val="21"/>
          <w:highlight w:val="none"/>
          <w:u w:val="single"/>
        </w:rPr>
        <w:t>）</w:t>
      </w:r>
      <w:r>
        <w:rPr>
          <w:rFonts w:hint="eastAsia" w:ascii="宋体" w:hAnsi="宋体"/>
          <w:color w:val="auto"/>
          <w:szCs w:val="21"/>
          <w:highlight w:val="none"/>
        </w:rPr>
        <w:t>的采购活动，在此作如下说明：</w:t>
      </w:r>
    </w:p>
    <w:p>
      <w:pPr>
        <w:snapToGrid w:val="0"/>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在此次采购活动中，我单位所使用的“投标专用章”与我单位公章具有同等的法律效力，我单位对所使用“投标专用章”的行为和相应责任予以完全承认。</w:t>
      </w:r>
    </w:p>
    <w:p>
      <w:pPr>
        <w:snapToGrid w:val="0"/>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特此说明。</w:t>
      </w:r>
    </w:p>
    <w:p>
      <w:pPr>
        <w:snapToGrid w:val="0"/>
        <w:spacing w:line="360" w:lineRule="auto"/>
        <w:rPr>
          <w:rFonts w:ascii="宋体" w:hAnsi="宋体"/>
          <w:color w:val="auto"/>
          <w:szCs w:val="21"/>
          <w:highlight w:val="none"/>
        </w:rPr>
      </w:pPr>
    </w:p>
    <w:p>
      <w:pPr>
        <w:snapToGrid w:val="0"/>
        <w:spacing w:line="360" w:lineRule="auto"/>
        <w:rPr>
          <w:rFonts w:ascii="宋体" w:hAnsi="宋体"/>
          <w:b/>
          <w:bCs/>
          <w:color w:val="auto"/>
          <w:szCs w:val="21"/>
          <w:highlight w:val="none"/>
        </w:rPr>
      </w:pP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投标人名称（单位盖公章）：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单位注册地址：</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color w:val="auto"/>
          <w:szCs w:val="21"/>
          <w:highlight w:val="none"/>
        </w:rPr>
        <w:t>或</w:t>
      </w:r>
      <w:r>
        <w:rPr>
          <w:rFonts w:hint="eastAsia" w:ascii="宋体" w:hAnsi="宋体"/>
          <w:color w:val="auto"/>
          <w:szCs w:val="21"/>
          <w:highlight w:val="none"/>
        </w:rPr>
        <w:t>投标人授权代表（签名或盖个人名章）：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我单位投标专用章样式如下：</w:t>
      </w:r>
    </w:p>
    <w:tbl>
      <w:tblPr>
        <w:tblStyle w:val="39"/>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6" w:hRule="atLeast"/>
        </w:trPr>
        <w:tc>
          <w:tcPr>
            <w:tcW w:w="9125" w:type="dxa"/>
          </w:tcPr>
          <w:p>
            <w:pPr>
              <w:spacing w:line="400" w:lineRule="exact"/>
              <w:rPr>
                <w:rFonts w:ascii="宋体" w:hAnsi="宋体"/>
                <w:b/>
                <w:bCs/>
                <w:color w:val="auto"/>
                <w:szCs w:val="21"/>
                <w:highlight w:val="none"/>
              </w:rPr>
            </w:pPr>
          </w:p>
        </w:tc>
      </w:tr>
    </w:tbl>
    <w:p>
      <w:pPr>
        <w:rPr>
          <w:rFonts w:asciiTheme="majorEastAsia" w:hAnsiTheme="majorEastAsia" w:eastAsiaTheme="majorEastAsia"/>
          <w:color w:val="auto"/>
          <w:sz w:val="30"/>
          <w:szCs w:val="30"/>
          <w:highlight w:val="none"/>
        </w:rPr>
      </w:pPr>
    </w:p>
    <w:p>
      <w:pPr>
        <w:rPr>
          <w:rFonts w:asciiTheme="majorEastAsia" w:hAnsiTheme="majorEastAsia" w:eastAsiaTheme="majorEastAsia"/>
          <w:color w:val="auto"/>
          <w:sz w:val="30"/>
          <w:szCs w:val="30"/>
          <w:highlight w:val="none"/>
        </w:rPr>
      </w:pPr>
      <w:r>
        <w:rPr>
          <w:rFonts w:hint="eastAsia" w:asciiTheme="majorEastAsia" w:hAnsiTheme="majorEastAsia" w:eastAsiaTheme="majorEastAsia"/>
          <w:color w:val="auto"/>
          <w:sz w:val="30"/>
          <w:szCs w:val="30"/>
          <w:highlight w:val="none"/>
        </w:rPr>
        <w:br w:type="page"/>
      </w:r>
    </w:p>
    <w:p>
      <w:pPr>
        <w:pStyle w:val="4"/>
        <w:numPr>
          <w:ilvl w:val="0"/>
          <w:numId w:val="21"/>
        </w:numPr>
        <w:spacing w:line="240" w:lineRule="auto"/>
        <w:jc w:val="center"/>
        <w:rPr>
          <w:rFonts w:asciiTheme="majorEastAsia" w:hAnsiTheme="majorEastAsia" w:eastAsiaTheme="majorEastAsia"/>
          <w:color w:val="auto"/>
          <w:sz w:val="30"/>
          <w:szCs w:val="30"/>
          <w:highlight w:val="none"/>
        </w:rPr>
      </w:pPr>
      <w:bookmarkStart w:id="114" w:name="_Toc10506"/>
      <w:r>
        <w:rPr>
          <w:rFonts w:hint="eastAsia" w:asciiTheme="majorEastAsia" w:hAnsiTheme="majorEastAsia" w:eastAsiaTheme="majorEastAsia"/>
          <w:color w:val="auto"/>
          <w:sz w:val="30"/>
          <w:szCs w:val="30"/>
          <w:highlight w:val="none"/>
        </w:rPr>
        <w:t>法定代表人授权委托书</w:t>
      </w:r>
      <w:bookmarkEnd w:id="99"/>
      <w:bookmarkEnd w:id="100"/>
      <w:bookmarkEnd w:id="101"/>
      <w:bookmarkEnd w:id="102"/>
      <w:bookmarkEnd w:id="103"/>
      <w:bookmarkEnd w:id="104"/>
      <w:bookmarkEnd w:id="105"/>
      <w:bookmarkEnd w:id="106"/>
      <w:bookmarkEnd w:id="114"/>
    </w:p>
    <w:p>
      <w:pPr>
        <w:pStyle w:val="2"/>
        <w:spacing w:line="360" w:lineRule="auto"/>
        <w:ind w:firstLine="420" w:firstLineChars="200"/>
        <w:rPr>
          <w:color w:val="auto"/>
          <w:highlight w:val="none"/>
        </w:rPr>
      </w:pPr>
      <w:r>
        <w:rPr>
          <w:rFonts w:hint="eastAsia"/>
          <w:color w:val="auto"/>
          <w:highlight w:val="none"/>
        </w:rPr>
        <w:t>本授权委托书声明：注册于</w:t>
      </w:r>
      <w:r>
        <w:rPr>
          <w:rFonts w:hint="eastAsia"/>
          <w:color w:val="auto"/>
          <w:highlight w:val="none"/>
          <w:u w:val="single"/>
        </w:rPr>
        <w:t xml:space="preserve"> （投标人地址）  </w:t>
      </w:r>
      <w:r>
        <w:rPr>
          <w:rFonts w:hint="eastAsia"/>
          <w:color w:val="auto"/>
          <w:highlight w:val="none"/>
        </w:rPr>
        <w:t>的</w:t>
      </w:r>
      <w:r>
        <w:rPr>
          <w:rFonts w:hint="eastAsia"/>
          <w:color w:val="auto"/>
          <w:highlight w:val="none"/>
          <w:u w:val="single"/>
        </w:rPr>
        <w:t xml:space="preserve">  （投标人名称）    </w:t>
      </w:r>
      <w:r>
        <w:rPr>
          <w:rFonts w:hint="eastAsia"/>
          <w:color w:val="auto"/>
          <w:highlight w:val="none"/>
        </w:rPr>
        <w:t>由</w:t>
      </w:r>
      <w:r>
        <w:rPr>
          <w:rFonts w:hint="eastAsia"/>
          <w:color w:val="auto"/>
          <w:highlight w:val="none"/>
          <w:u w:val="single"/>
        </w:rPr>
        <w:t>（法定代表人姓名、职务</w:t>
      </w:r>
      <w:r>
        <w:rPr>
          <w:rFonts w:hint="eastAsia" w:hAnsi="宋体" w:eastAsia="宋体"/>
          <w:color w:val="auto"/>
          <w:highlight w:val="none"/>
          <w:u w:val="single"/>
        </w:rPr>
        <w:t>、手机号码</w:t>
      </w:r>
      <w:r>
        <w:rPr>
          <w:rFonts w:hint="eastAsia"/>
          <w:color w:val="auto"/>
          <w:highlight w:val="none"/>
          <w:u w:val="single"/>
        </w:rPr>
        <w:t>）</w:t>
      </w:r>
      <w:r>
        <w:rPr>
          <w:rFonts w:hint="eastAsia"/>
          <w:color w:val="auto"/>
          <w:highlight w:val="none"/>
        </w:rPr>
        <w:t>在此授权</w:t>
      </w:r>
      <w:r>
        <w:rPr>
          <w:rFonts w:hint="eastAsia"/>
          <w:color w:val="auto"/>
          <w:highlight w:val="none"/>
          <w:u w:val="single"/>
        </w:rPr>
        <w:t>（被授权人姓名、职务、</w:t>
      </w:r>
      <w:r>
        <w:rPr>
          <w:rFonts w:hint="eastAsia" w:hAnsi="宋体" w:eastAsia="宋体"/>
          <w:color w:val="auto"/>
          <w:highlight w:val="none"/>
          <w:u w:val="single"/>
        </w:rPr>
        <w:t>手机号码</w:t>
      </w:r>
      <w:r>
        <w:rPr>
          <w:rFonts w:hint="eastAsia"/>
          <w:color w:val="auto"/>
          <w:highlight w:val="none"/>
          <w:u w:val="single"/>
        </w:rPr>
        <w:t>）</w:t>
      </w:r>
      <w:r>
        <w:rPr>
          <w:rFonts w:hint="eastAsia"/>
          <w:color w:val="auto"/>
          <w:highlight w:val="none"/>
        </w:rPr>
        <w:t>作为我公司的合法代理人，就</w:t>
      </w:r>
      <w:r>
        <w:rPr>
          <w:rFonts w:hint="eastAsia"/>
          <w:color w:val="auto"/>
          <w:highlight w:val="none"/>
          <w:u w:val="single"/>
        </w:rPr>
        <w:t>（项目名称、项目编号</w:t>
      </w:r>
      <w:r>
        <w:rPr>
          <w:rFonts w:hint="eastAsia"/>
          <w:color w:val="auto"/>
          <w:highlight w:val="none"/>
        </w:rPr>
        <w:t>）的招投标活动，采购合同的签订、执行、完成和售后服务，作为投标人代表以我方的名义处理一切与之有关的事务。</w:t>
      </w:r>
    </w:p>
    <w:p>
      <w:pPr>
        <w:pStyle w:val="2"/>
        <w:spacing w:line="360" w:lineRule="auto"/>
        <w:ind w:firstLine="420" w:firstLineChars="200"/>
        <w:rPr>
          <w:color w:val="auto"/>
          <w:highlight w:val="none"/>
        </w:rPr>
      </w:pPr>
      <w:r>
        <w:rPr>
          <w:rFonts w:hint="eastAsia"/>
          <w:color w:val="auto"/>
          <w:highlight w:val="none"/>
        </w:rPr>
        <w:t>被授权人（投标人授权代表）无转委托权限。</w:t>
      </w:r>
    </w:p>
    <w:p>
      <w:pPr>
        <w:spacing w:line="360" w:lineRule="auto"/>
        <w:ind w:firstLine="420" w:firstLineChars="200"/>
        <w:rPr>
          <w:rFonts w:ascii="宋体"/>
          <w:color w:val="auto"/>
          <w:highlight w:val="none"/>
        </w:rPr>
      </w:pPr>
      <w:r>
        <w:rPr>
          <w:rFonts w:hint="eastAsia" w:ascii="宋体"/>
          <w:color w:val="auto"/>
          <w:highlight w:val="none"/>
        </w:rPr>
        <w:t>本授权书自盖章之日起生效，特此声明。</w:t>
      </w:r>
    </w:p>
    <w:p>
      <w:pPr>
        <w:spacing w:line="360" w:lineRule="auto"/>
        <w:rPr>
          <w:rFonts w:ascii="宋体"/>
          <w:b/>
          <w:color w:val="auto"/>
          <w:highlight w:val="none"/>
        </w:rPr>
      </w:pPr>
      <w:r>
        <w:rPr>
          <w:rFonts w:hint="eastAsia" w:ascii="宋体"/>
          <w:b/>
          <w:color w:val="auto"/>
          <w:highlight w:val="none"/>
        </w:rPr>
        <w:t>随附《法定代表人证明》</w:t>
      </w:r>
    </w:p>
    <w:p>
      <w:pPr>
        <w:spacing w:line="360" w:lineRule="auto"/>
        <w:rPr>
          <w:rFonts w:ascii="宋体"/>
          <w:color w:val="auto"/>
          <w:highlight w:val="none"/>
        </w:rPr>
      </w:pPr>
    </w:p>
    <w:p>
      <w:pPr>
        <w:spacing w:line="360" w:lineRule="auto"/>
        <w:rPr>
          <w:color w:val="auto"/>
          <w:sz w:val="24"/>
          <w:highlight w:val="none"/>
        </w:rPr>
      </w:pPr>
      <w:r>
        <w:rPr>
          <w:rFonts w:hint="eastAsia"/>
          <w:b/>
          <w:bCs/>
          <w:color w:val="auto"/>
          <w:sz w:val="24"/>
          <w:highlight w:val="none"/>
        </w:rPr>
        <w:t>投标人单位名称：</w:t>
      </w:r>
      <w:r>
        <w:rPr>
          <w:rFonts w:hint="eastAsia"/>
          <w:color w:val="auto"/>
          <w:sz w:val="24"/>
          <w:highlight w:val="none"/>
          <w:u w:val="single"/>
        </w:rPr>
        <w:t xml:space="preserve">                            </w:t>
      </w:r>
      <w:r>
        <w:rPr>
          <w:rFonts w:hint="eastAsia"/>
          <w:color w:val="auto"/>
          <w:sz w:val="24"/>
          <w:highlight w:val="none"/>
        </w:rPr>
        <w:t xml:space="preserve"> </w:t>
      </w:r>
    </w:p>
    <w:p>
      <w:pPr>
        <w:spacing w:line="360" w:lineRule="auto"/>
        <w:rPr>
          <w:rFonts w:ascii="宋体" w:hAnsi="宋体"/>
          <w:b/>
          <w:bCs/>
          <w:color w:val="auto"/>
          <w:sz w:val="24"/>
          <w:highlight w:val="none"/>
        </w:rPr>
      </w:pPr>
      <w:r>
        <w:rPr>
          <w:rFonts w:hint="eastAsia" w:ascii="宋体" w:hAnsi="宋体"/>
          <w:b/>
          <w:bCs/>
          <w:color w:val="auto"/>
          <w:sz w:val="24"/>
          <w:highlight w:val="none"/>
        </w:rPr>
        <w:t>日期：</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年</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月</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日</w:t>
      </w:r>
    </w:p>
    <w:p>
      <w:pPr>
        <w:spacing w:line="360" w:lineRule="auto"/>
        <w:rPr>
          <w:color w:val="auto"/>
          <w:sz w:val="24"/>
          <w:highlight w:val="none"/>
        </w:rPr>
      </w:pPr>
      <w:r>
        <w:rPr>
          <w:rFonts w:hint="eastAsia"/>
          <w:b/>
          <w:color w:val="auto"/>
          <w:sz w:val="24"/>
          <w:highlight w:val="none"/>
        </w:rPr>
        <w:t>（此处加盖投标人单位公章）</w:t>
      </w:r>
    </w:p>
    <w:p>
      <w:pPr>
        <w:tabs>
          <w:tab w:val="left" w:pos="3780"/>
        </w:tabs>
        <w:spacing w:line="360" w:lineRule="auto"/>
        <w:rPr>
          <w:rFonts w:ascii="宋体" w:hAnsi="宋体"/>
          <w:b/>
          <w:bCs/>
          <w:color w:val="auto"/>
          <w:sz w:val="24"/>
          <w:highlight w:val="none"/>
        </w:rPr>
      </w:pPr>
    </w:p>
    <w:p>
      <w:pPr>
        <w:tabs>
          <w:tab w:val="left" w:pos="3780"/>
        </w:tabs>
        <w:spacing w:line="360" w:lineRule="auto"/>
        <w:rPr>
          <w:rFonts w:ascii="宋体" w:hAnsi="宋体"/>
          <w:b/>
          <w:bCs/>
          <w:color w:val="auto"/>
          <w:sz w:val="24"/>
          <w:highlight w:val="none"/>
        </w:rPr>
      </w:pPr>
      <w:r>
        <w:rPr>
          <w:rFonts w:hint="eastAsia" w:ascii="宋体" w:hAnsi="宋体"/>
          <w:b/>
          <w:bCs/>
          <w:color w:val="auto"/>
          <w:sz w:val="24"/>
          <w:highlight w:val="none"/>
        </w:rPr>
        <w:t>提供被授权人（授权代表）居民身份证（正反面）复印件：</w:t>
      </w:r>
    </w:p>
    <w:p>
      <w:pPr>
        <w:spacing w:line="360" w:lineRule="auto"/>
        <w:ind w:left="1159" w:leftChars="552" w:firstLine="2261"/>
        <w:rPr>
          <w:rFonts w:ascii="宋体"/>
          <w:color w:val="auto"/>
          <w:highlight w:val="none"/>
        </w:rPr>
      </w:pPr>
    </w:p>
    <w:p>
      <w:pPr>
        <w:rPr>
          <w:rFonts w:asciiTheme="majorEastAsia" w:hAnsiTheme="majorEastAsia" w:eastAsiaTheme="majorEastAsia"/>
          <w:color w:val="auto"/>
          <w:sz w:val="30"/>
          <w:szCs w:val="30"/>
          <w:highlight w:val="none"/>
        </w:rPr>
      </w:pPr>
      <w:bookmarkStart w:id="115" w:name="_Toc14289"/>
      <w:bookmarkStart w:id="116" w:name="_Toc435514860"/>
      <w:bookmarkStart w:id="117" w:name="_Toc435515300"/>
      <w:bookmarkStart w:id="118" w:name="_Toc275865608"/>
      <w:r>
        <w:rPr>
          <w:rFonts w:hint="eastAsia" w:asciiTheme="majorEastAsia" w:hAnsiTheme="majorEastAsia" w:eastAsiaTheme="majorEastAsia"/>
          <w:color w:val="auto"/>
          <w:sz w:val="30"/>
          <w:szCs w:val="30"/>
          <w:highlight w:val="none"/>
        </w:rPr>
        <w:br w:type="page"/>
      </w:r>
    </w:p>
    <w:p>
      <w:pPr>
        <w:pStyle w:val="4"/>
        <w:numPr>
          <w:ilvl w:val="0"/>
          <w:numId w:val="21"/>
        </w:numPr>
        <w:spacing w:line="240" w:lineRule="auto"/>
        <w:jc w:val="center"/>
        <w:rPr>
          <w:rFonts w:asciiTheme="majorEastAsia" w:hAnsiTheme="majorEastAsia" w:eastAsiaTheme="majorEastAsia"/>
          <w:color w:val="auto"/>
          <w:sz w:val="30"/>
          <w:szCs w:val="30"/>
          <w:highlight w:val="none"/>
        </w:rPr>
      </w:pPr>
      <w:bookmarkStart w:id="119" w:name="_Toc13975"/>
      <w:r>
        <w:rPr>
          <w:rFonts w:hint="eastAsia" w:asciiTheme="majorEastAsia" w:hAnsiTheme="majorEastAsia" w:eastAsiaTheme="majorEastAsia"/>
          <w:color w:val="auto"/>
          <w:sz w:val="30"/>
          <w:szCs w:val="30"/>
          <w:highlight w:val="none"/>
        </w:rPr>
        <w:t>法定代表人证明书</w:t>
      </w:r>
      <w:bookmarkEnd w:id="107"/>
      <w:bookmarkEnd w:id="108"/>
      <w:bookmarkEnd w:id="109"/>
      <w:bookmarkEnd w:id="110"/>
      <w:bookmarkEnd w:id="111"/>
      <w:bookmarkEnd w:id="115"/>
      <w:bookmarkEnd w:id="116"/>
      <w:bookmarkEnd w:id="117"/>
      <w:bookmarkEnd w:id="118"/>
      <w:bookmarkEnd w:id="119"/>
    </w:p>
    <w:p>
      <w:pPr>
        <w:tabs>
          <w:tab w:val="left" w:pos="900"/>
        </w:tabs>
        <w:spacing w:line="480" w:lineRule="auto"/>
        <w:ind w:firstLine="945" w:firstLineChars="450"/>
        <w:rPr>
          <w:rFonts w:ascii="宋体" w:hAnsi="宋体"/>
          <w:color w:val="auto"/>
          <w:highlight w:val="none"/>
        </w:rPr>
      </w:pPr>
      <w:r>
        <w:rPr>
          <w:rFonts w:hint="eastAsia" w:ascii="宋体" w:hAnsi="宋体"/>
          <w:color w:val="auto"/>
          <w:highlight w:val="none"/>
        </w:rPr>
        <w:t>______________同志，现任我单位</w:t>
      </w:r>
      <w:r>
        <w:rPr>
          <w:rFonts w:hint="eastAsia" w:ascii="宋体" w:hAnsi="宋体"/>
          <w:color w:val="auto"/>
          <w:highlight w:val="none"/>
          <w:u w:val="single"/>
        </w:rPr>
        <w:t xml:space="preserve">       </w:t>
      </w:r>
      <w:r>
        <w:rPr>
          <w:rFonts w:hint="eastAsia" w:ascii="宋体" w:hAnsi="宋体"/>
          <w:color w:val="auto"/>
          <w:highlight w:val="none"/>
        </w:rPr>
        <w:t>职务，为法定代表人，特此证明。</w:t>
      </w:r>
    </w:p>
    <w:p>
      <w:pPr>
        <w:spacing w:line="360" w:lineRule="auto"/>
        <w:ind w:firstLine="420" w:firstLineChars="200"/>
        <w:rPr>
          <w:rFonts w:ascii="宋体" w:hAnsi="宋体"/>
          <w:color w:val="auto"/>
          <w:highlight w:val="none"/>
        </w:rPr>
      </w:pPr>
      <w:r>
        <w:rPr>
          <w:rFonts w:hint="eastAsia" w:ascii="宋体"/>
          <w:color w:val="auto"/>
          <w:highlight w:val="none"/>
        </w:rPr>
        <w:t>本证明书自签发之日起生效，</w:t>
      </w:r>
      <w:r>
        <w:rPr>
          <w:rFonts w:hint="eastAsia" w:ascii="宋体" w:hAnsi="宋体"/>
          <w:color w:val="auto"/>
          <w:highlight w:val="none"/>
        </w:rPr>
        <w:t>有效期与本公司投标文件中标注的投标有效期相同。</w:t>
      </w:r>
    </w:p>
    <w:p>
      <w:pPr>
        <w:spacing w:line="480" w:lineRule="auto"/>
        <w:ind w:firstLine="420" w:firstLineChars="200"/>
        <w:rPr>
          <w:rFonts w:ascii="宋体" w:hAnsi="宋体"/>
          <w:color w:val="auto"/>
          <w:highlight w:val="none"/>
        </w:rPr>
      </w:pPr>
      <w:r>
        <w:rPr>
          <w:rFonts w:hint="eastAsia" w:ascii="宋体" w:hAnsi="宋体"/>
          <w:color w:val="auto"/>
          <w:highlight w:val="none"/>
        </w:rPr>
        <w:t>附：</w:t>
      </w:r>
    </w:p>
    <w:p>
      <w:pPr>
        <w:spacing w:line="480" w:lineRule="auto"/>
        <w:ind w:firstLine="840" w:firstLineChars="400"/>
        <w:rPr>
          <w:rFonts w:ascii="宋体" w:hAnsi="宋体"/>
          <w:color w:val="auto"/>
          <w:highlight w:val="none"/>
        </w:rPr>
      </w:pPr>
      <w:r>
        <w:rPr>
          <w:rFonts w:hint="eastAsia" w:ascii="宋体" w:hAnsi="宋体"/>
          <w:color w:val="auto"/>
          <w:highlight w:val="none"/>
        </w:rPr>
        <w:t>经济性质：</w:t>
      </w:r>
    </w:p>
    <w:p>
      <w:pPr>
        <w:spacing w:line="480" w:lineRule="auto"/>
        <w:ind w:firstLine="840" w:firstLineChars="400"/>
        <w:rPr>
          <w:rFonts w:ascii="宋体" w:hAnsi="宋体"/>
          <w:color w:val="auto"/>
          <w:highlight w:val="none"/>
        </w:rPr>
      </w:pPr>
      <w:r>
        <w:rPr>
          <w:rFonts w:hint="eastAsia" w:ascii="宋体" w:hAnsi="宋体"/>
          <w:color w:val="auto"/>
          <w:highlight w:val="none"/>
        </w:rPr>
        <w:t>主营（产）：</w:t>
      </w:r>
    </w:p>
    <w:p>
      <w:pPr>
        <w:spacing w:line="480" w:lineRule="auto"/>
        <w:ind w:firstLine="840" w:firstLineChars="400"/>
        <w:rPr>
          <w:rFonts w:ascii="宋体" w:hAnsi="宋体"/>
          <w:color w:val="auto"/>
          <w:highlight w:val="none"/>
        </w:rPr>
      </w:pPr>
      <w:r>
        <w:rPr>
          <w:rFonts w:hint="eastAsia" w:ascii="宋体" w:hAnsi="宋体"/>
          <w:color w:val="auto"/>
          <w:highlight w:val="none"/>
        </w:rPr>
        <w:t>兼营（产）：</w:t>
      </w:r>
    </w:p>
    <w:p>
      <w:pPr>
        <w:spacing w:line="500" w:lineRule="exact"/>
        <w:rPr>
          <w:rFonts w:ascii="宋体"/>
          <w:b/>
          <w:bCs/>
          <w:color w:val="auto"/>
          <w:highlight w:val="none"/>
        </w:rPr>
      </w:pPr>
    </w:p>
    <w:p>
      <w:pPr>
        <w:spacing w:line="360" w:lineRule="auto"/>
        <w:rPr>
          <w:color w:val="auto"/>
          <w:sz w:val="24"/>
          <w:highlight w:val="none"/>
        </w:rPr>
      </w:pPr>
      <w:r>
        <w:rPr>
          <w:rFonts w:hint="eastAsia"/>
          <w:b/>
          <w:bCs/>
          <w:color w:val="auto"/>
          <w:sz w:val="24"/>
          <w:highlight w:val="none"/>
        </w:rPr>
        <w:t>投标人单位名称：</w:t>
      </w:r>
      <w:r>
        <w:rPr>
          <w:rFonts w:hint="eastAsia"/>
          <w:color w:val="auto"/>
          <w:sz w:val="24"/>
          <w:highlight w:val="none"/>
          <w:u w:val="single"/>
        </w:rPr>
        <w:t xml:space="preserve">                            </w:t>
      </w:r>
      <w:r>
        <w:rPr>
          <w:rFonts w:hint="eastAsia"/>
          <w:color w:val="auto"/>
          <w:sz w:val="24"/>
          <w:highlight w:val="none"/>
        </w:rPr>
        <w:t xml:space="preserve"> </w:t>
      </w:r>
    </w:p>
    <w:p>
      <w:pPr>
        <w:spacing w:line="360" w:lineRule="auto"/>
        <w:rPr>
          <w:rFonts w:ascii="宋体" w:hAnsi="宋体"/>
          <w:b/>
          <w:bCs/>
          <w:color w:val="auto"/>
          <w:sz w:val="24"/>
          <w:highlight w:val="none"/>
        </w:rPr>
      </w:pPr>
      <w:r>
        <w:rPr>
          <w:rFonts w:hint="eastAsia" w:ascii="宋体" w:hAnsi="宋体"/>
          <w:b/>
          <w:bCs/>
          <w:color w:val="auto"/>
          <w:sz w:val="24"/>
          <w:highlight w:val="none"/>
        </w:rPr>
        <w:t>签发日期：</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年</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月</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日</w:t>
      </w:r>
    </w:p>
    <w:p>
      <w:pPr>
        <w:spacing w:line="360" w:lineRule="auto"/>
        <w:rPr>
          <w:color w:val="auto"/>
          <w:sz w:val="24"/>
          <w:highlight w:val="none"/>
        </w:rPr>
      </w:pPr>
      <w:r>
        <w:rPr>
          <w:rFonts w:hint="eastAsia"/>
          <w:b/>
          <w:color w:val="auto"/>
          <w:sz w:val="24"/>
          <w:highlight w:val="none"/>
        </w:rPr>
        <w:t>（此处加盖投标人单位公章）</w:t>
      </w:r>
    </w:p>
    <w:p>
      <w:pPr>
        <w:spacing w:line="500" w:lineRule="exact"/>
        <w:rPr>
          <w:rFonts w:ascii="宋体" w:hAnsi="宋体"/>
          <w:color w:val="auto"/>
          <w:highlight w:val="none"/>
        </w:rPr>
      </w:pPr>
    </w:p>
    <w:p>
      <w:pPr>
        <w:spacing w:line="360" w:lineRule="auto"/>
        <w:rPr>
          <w:b/>
          <w:color w:val="auto"/>
          <w:sz w:val="24"/>
          <w:highlight w:val="none"/>
        </w:rPr>
      </w:pPr>
      <w:r>
        <w:rPr>
          <w:rFonts w:hint="eastAsia"/>
          <w:b/>
          <w:color w:val="auto"/>
          <w:sz w:val="24"/>
          <w:highlight w:val="none"/>
        </w:rPr>
        <w:t>提供法定代表人居民身份证（正反面）复印件：</w:t>
      </w:r>
    </w:p>
    <w:p>
      <w:pPr>
        <w:widowControl/>
        <w:jc w:val="left"/>
        <w:rPr>
          <w:rFonts w:ascii="宋体" w:hAnsi="宋体"/>
          <w:color w:val="auto"/>
          <w:highlight w:val="none"/>
        </w:rPr>
      </w:pPr>
      <w:r>
        <w:rPr>
          <w:rFonts w:hint="eastAsia" w:ascii="宋体" w:hAnsi="宋体"/>
          <w:color w:val="auto"/>
          <w:highlight w:val="none"/>
        </w:rPr>
        <w:br w:type="page"/>
      </w:r>
    </w:p>
    <w:p>
      <w:pPr>
        <w:pStyle w:val="4"/>
        <w:numPr>
          <w:ilvl w:val="0"/>
          <w:numId w:val="21"/>
        </w:numPr>
        <w:spacing w:line="240" w:lineRule="auto"/>
        <w:jc w:val="center"/>
        <w:rPr>
          <w:rFonts w:asciiTheme="majorEastAsia" w:hAnsiTheme="majorEastAsia" w:eastAsiaTheme="majorEastAsia"/>
          <w:color w:val="auto"/>
          <w:sz w:val="30"/>
          <w:szCs w:val="30"/>
          <w:highlight w:val="none"/>
        </w:rPr>
      </w:pPr>
      <w:bookmarkStart w:id="120" w:name="_Toc28485"/>
      <w:bookmarkStart w:id="121" w:name="_Toc8619"/>
      <w:bookmarkStart w:id="122" w:name="_Toc435515308"/>
      <w:bookmarkStart w:id="123" w:name="_Toc435514868"/>
      <w:r>
        <w:rPr>
          <w:rFonts w:hint="eastAsia" w:asciiTheme="majorEastAsia" w:hAnsiTheme="majorEastAsia" w:eastAsiaTheme="majorEastAsia"/>
          <w:color w:val="auto"/>
          <w:sz w:val="30"/>
          <w:szCs w:val="30"/>
          <w:highlight w:val="none"/>
        </w:rPr>
        <w:t>用户需求书条款响应一览表</w:t>
      </w:r>
      <w:bookmarkEnd w:id="120"/>
      <w:bookmarkEnd w:id="121"/>
    </w:p>
    <w:p>
      <w:pPr>
        <w:spacing w:line="400" w:lineRule="exact"/>
        <w:rPr>
          <w:rFonts w:ascii="宋体" w:hAnsi="宋体"/>
          <w:color w:val="auto"/>
          <w:highlight w:val="none"/>
        </w:rPr>
      </w:pPr>
      <w:r>
        <w:rPr>
          <w:rFonts w:hint="eastAsia" w:ascii="宋体" w:hAnsi="宋体"/>
          <w:color w:val="auto"/>
          <w:highlight w:val="none"/>
        </w:rPr>
        <w:t>说明：投标人必须对应招标文件</w:t>
      </w:r>
      <w:r>
        <w:rPr>
          <w:rFonts w:hint="eastAsia" w:ascii="宋体" w:hAnsi="宋体"/>
          <w:b/>
          <w:bCs/>
          <w:color w:val="auto"/>
          <w:highlight w:val="none"/>
        </w:rPr>
        <w:t>第三章 用户需求书</w:t>
      </w:r>
      <w:r>
        <w:rPr>
          <w:rFonts w:hint="eastAsia" w:ascii="宋体" w:hAnsi="宋体"/>
          <w:color w:val="auto"/>
          <w:highlight w:val="none"/>
        </w:rPr>
        <w:t>条款逐条应答并按要求填写下表。</w:t>
      </w:r>
    </w:p>
    <w:tbl>
      <w:tblPr>
        <w:tblStyle w:val="38"/>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515" w:type="dxa"/>
            <w:shd w:val="clear" w:color="auto" w:fill="EAF1DD"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招标条款</w:t>
            </w:r>
          </w:p>
        </w:tc>
        <w:tc>
          <w:tcPr>
            <w:tcW w:w="2341" w:type="dxa"/>
            <w:shd w:val="clear" w:color="auto" w:fill="EAF1DD"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投标条款</w:t>
            </w:r>
          </w:p>
        </w:tc>
        <w:tc>
          <w:tcPr>
            <w:tcW w:w="1750" w:type="dxa"/>
            <w:shd w:val="clear" w:color="auto" w:fill="EAF1DD"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偏离情况</w:t>
            </w:r>
          </w:p>
        </w:tc>
        <w:tc>
          <w:tcPr>
            <w:tcW w:w="1623" w:type="dxa"/>
            <w:shd w:val="clear" w:color="auto" w:fill="EAF1DD"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pPr>
              <w:rPr>
                <w:rFonts w:asciiTheme="minorEastAsia" w:hAnsiTheme="minorEastAsia"/>
                <w:color w:val="auto"/>
                <w:szCs w:val="21"/>
                <w:highlight w:val="none"/>
              </w:rPr>
            </w:pPr>
            <w:r>
              <w:rPr>
                <w:rFonts w:hint="eastAsia" w:asciiTheme="minorEastAsia" w:hAnsiTheme="minorEastAsia" w:eastAsiaTheme="minorEastAsia"/>
                <w:color w:val="auto"/>
                <w:szCs w:val="21"/>
                <w:highlight w:val="none"/>
              </w:rPr>
              <w:t>（一）</w:t>
            </w:r>
            <w:r>
              <w:rPr>
                <w:rFonts w:hint="eastAsia"/>
                <w:color w:val="auto"/>
                <w:highlight w:val="none"/>
              </w:rPr>
              <w:t>带“</w:t>
            </w:r>
            <w:r>
              <w:rPr>
                <w:rFonts w:hint="eastAsia" w:ascii="宋体"/>
                <w:b/>
                <w:bCs/>
                <w:color w:val="auto"/>
                <w:szCs w:val="20"/>
                <w:highlight w:val="none"/>
              </w:rPr>
              <w:t>★</w:t>
            </w:r>
            <w:r>
              <w:rPr>
                <w:rFonts w:hint="eastAsia"/>
                <w:color w:val="auto"/>
                <w:highlight w:val="none"/>
              </w:rPr>
              <w:t>”的</w:t>
            </w:r>
            <w:r>
              <w:rPr>
                <w:rFonts w:hint="eastAsia" w:ascii="宋体" w:hAnsi="宋体"/>
                <w:color w:val="auto"/>
                <w:highlight w:val="none"/>
              </w:rPr>
              <w:t>实质性条款（</w:t>
            </w:r>
            <w:r>
              <w:rPr>
                <w:rFonts w:hint="eastAsia" w:asciiTheme="minorEastAsia" w:hAnsiTheme="minorEastAsia" w:eastAsiaTheme="minorEastAsia"/>
                <w:color w:val="auto"/>
                <w:szCs w:val="21"/>
                <w:highlight w:val="none"/>
              </w:rPr>
              <w:t>有任何一条负偏离则导致无效投标</w:t>
            </w:r>
            <w:r>
              <w:rPr>
                <w:rFonts w:hint="eastAsia" w:ascii="宋体" w:hAnsi="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2515" w:type="dxa"/>
            <w:vAlign w:val="center"/>
          </w:tcPr>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b w:val="0"/>
                <w:bCs w:val="0"/>
                <w:color w:val="auto"/>
                <w:szCs w:val="21"/>
                <w:highlight w:val="none"/>
                <w:u w:val="none"/>
                <w:lang w:eastAsia="zh-CN"/>
              </w:rPr>
            </w:pPr>
            <w:r>
              <w:rPr>
                <w:rFonts w:hint="eastAsia" w:asciiTheme="minorEastAsia" w:hAnsiTheme="minorEastAsia" w:eastAsiaTheme="minorEastAsia" w:cstheme="minorEastAsia"/>
                <w:b w:val="0"/>
                <w:bCs w:val="0"/>
                <w:color w:val="auto"/>
                <w:szCs w:val="21"/>
                <w:highlight w:val="none"/>
                <w:u w:val="none"/>
                <w:lang w:val="en-US" w:eastAsia="zh-CN"/>
              </w:rPr>
              <w:t>1、</w:t>
            </w:r>
            <w:r>
              <w:rPr>
                <w:rFonts w:hint="eastAsia" w:asciiTheme="minorEastAsia" w:hAnsiTheme="minorEastAsia" w:eastAsiaTheme="minorEastAsia" w:cstheme="minorEastAsia"/>
                <w:b w:val="0"/>
                <w:bCs w:val="0"/>
                <w:color w:val="auto"/>
                <w:szCs w:val="21"/>
                <w:highlight w:val="none"/>
                <w:u w:val="none"/>
                <w:lang w:eastAsia="zh-CN"/>
              </w:rPr>
              <w:t>★投标人为生产企业：如所投产品为</w:t>
            </w:r>
            <w:r>
              <w:rPr>
                <w:rFonts w:hint="eastAsia" w:asciiTheme="minorEastAsia" w:hAnsiTheme="minorEastAsia" w:eastAsiaTheme="minorEastAsia" w:cstheme="minorEastAsia"/>
                <w:b w:val="0"/>
                <w:bCs w:val="0"/>
                <w:color w:val="auto"/>
                <w:szCs w:val="21"/>
                <w:highlight w:val="none"/>
                <w:u w:val="none"/>
                <w:lang w:eastAsia="zh-CN"/>
              </w:rPr>
              <w:t>第一类医疗器械，提供监督管理部门签发的有效的备案证明复印件，或承诺供货时提供监督管理部门签发的有效的备案证明复印件（提供承诺书，不提供视为不响应）。</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b w:val="0"/>
                <w:bCs w:val="0"/>
                <w:color w:val="auto"/>
                <w:szCs w:val="21"/>
                <w:highlight w:val="none"/>
                <w:u w:val="none"/>
                <w:lang w:eastAsia="zh-CN"/>
              </w:rPr>
            </w:pPr>
            <w:r>
              <w:rPr>
                <w:rFonts w:hint="eastAsia" w:asciiTheme="minorEastAsia" w:hAnsiTheme="minorEastAsia" w:eastAsiaTheme="minorEastAsia" w:cstheme="minorEastAsia"/>
                <w:b w:val="0"/>
                <w:bCs w:val="0"/>
                <w:color w:val="auto"/>
                <w:szCs w:val="21"/>
                <w:highlight w:val="none"/>
                <w:u w:val="none"/>
                <w:lang w:val="en-US" w:eastAsia="zh-CN"/>
              </w:rPr>
              <w:t>2、</w:t>
            </w:r>
            <w:r>
              <w:rPr>
                <w:rFonts w:hint="eastAsia" w:asciiTheme="minorEastAsia" w:hAnsiTheme="minorEastAsia" w:eastAsiaTheme="minorEastAsia" w:cstheme="minorEastAsia"/>
                <w:b w:val="0"/>
                <w:bCs w:val="0"/>
                <w:color w:val="auto"/>
                <w:szCs w:val="21"/>
                <w:highlight w:val="none"/>
                <w:u w:val="none"/>
                <w:lang w:eastAsia="zh-CN"/>
              </w:rPr>
              <w:t>★投标人为经营企业：如所投产品属于第一类医疗器械，则在投标时提供有效的医疗器械备案证明复印件，或承诺供货时提供有效的医疗器械备案证明复印件（提供承诺书，不提供视为不响应）。</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b w:val="0"/>
                <w:bCs w:val="0"/>
                <w:color w:val="auto"/>
                <w:szCs w:val="21"/>
                <w:highlight w:val="none"/>
                <w:u w:val="none"/>
                <w:lang w:eastAsia="zh-CN"/>
              </w:rPr>
            </w:pPr>
            <w:r>
              <w:rPr>
                <w:rFonts w:hint="eastAsia" w:asciiTheme="minorEastAsia" w:hAnsiTheme="minorEastAsia" w:eastAsiaTheme="minorEastAsia" w:cstheme="minorEastAsia"/>
                <w:b w:val="0"/>
                <w:bCs w:val="0"/>
                <w:color w:val="auto"/>
                <w:szCs w:val="21"/>
                <w:highlight w:val="none"/>
                <w:u w:val="none"/>
                <w:lang w:val="en-US" w:eastAsia="zh-CN"/>
              </w:rPr>
              <w:t>3、</w:t>
            </w:r>
            <w:r>
              <w:rPr>
                <w:rFonts w:hint="eastAsia" w:asciiTheme="minorEastAsia" w:hAnsiTheme="minorEastAsia" w:eastAsiaTheme="minorEastAsia" w:cstheme="minorEastAsia"/>
                <w:b w:val="0"/>
                <w:bCs w:val="0"/>
                <w:color w:val="auto"/>
                <w:szCs w:val="21"/>
                <w:highlight w:val="none"/>
                <w:u w:val="none"/>
                <w:lang w:eastAsia="zh-CN"/>
              </w:rPr>
              <w:t>★投标人为经营企业：如所投产品为第二类医疗器械，投标时具有监督管理部门签发的有效的《医疗器械经营备案凭证》复印件，或承诺供货时提供监督管理部门签发的有效的《医疗器械经营备案凭证》复印件（提供承诺书，不提供视为不响应）。</w:t>
            </w:r>
          </w:p>
          <w:p>
            <w:pPr>
              <w:pStyle w:val="2"/>
              <w:keepNext w:val="0"/>
              <w:keepLines w:val="0"/>
              <w:pageBreakBefore w:val="0"/>
              <w:widowControl w:val="0"/>
              <w:tabs>
                <w:tab w:val="left" w:pos="420"/>
                <w:tab w:val="left" w:pos="540"/>
              </w:tabs>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b w:val="0"/>
                <w:bCs w:val="0"/>
                <w:color w:val="auto"/>
                <w:szCs w:val="21"/>
                <w:highlight w:val="none"/>
                <w:u w:val="none"/>
                <w:lang w:eastAsia="zh-CN"/>
              </w:rPr>
            </w:pPr>
            <w:r>
              <w:rPr>
                <w:rFonts w:hint="eastAsia" w:asciiTheme="minorEastAsia" w:hAnsiTheme="minorEastAsia" w:eastAsiaTheme="minorEastAsia" w:cstheme="minorEastAsia"/>
                <w:b w:val="0"/>
                <w:bCs w:val="0"/>
                <w:color w:val="auto"/>
                <w:szCs w:val="21"/>
                <w:highlight w:val="none"/>
                <w:u w:val="none"/>
                <w:lang w:val="en-US" w:eastAsia="zh-CN"/>
              </w:rPr>
              <w:t>4、</w:t>
            </w:r>
            <w:r>
              <w:rPr>
                <w:rFonts w:hint="eastAsia" w:asciiTheme="minorEastAsia" w:hAnsiTheme="minorEastAsia" w:eastAsiaTheme="minorEastAsia" w:cstheme="minorEastAsia"/>
                <w:b w:val="0"/>
                <w:bCs w:val="0"/>
                <w:color w:val="auto"/>
                <w:szCs w:val="21"/>
                <w:highlight w:val="none"/>
                <w:u w:val="none"/>
                <w:lang w:eastAsia="zh-CN"/>
              </w:rPr>
              <w:t>★如所投产品属于第二类或第三类医疗器</w:t>
            </w:r>
            <w:r>
              <w:rPr>
                <w:rFonts w:hint="eastAsia" w:asciiTheme="minorEastAsia" w:hAnsiTheme="minorEastAsia" w:eastAsiaTheme="minorEastAsia" w:cstheme="minorEastAsia"/>
                <w:b w:val="0"/>
                <w:bCs w:val="0"/>
                <w:color w:val="auto"/>
                <w:szCs w:val="21"/>
                <w:highlight w:val="none"/>
                <w:u w:val="none"/>
                <w:lang w:eastAsia="zh-CN"/>
              </w:rPr>
              <w:t>械，则在投标时必须提供有效的医疗器械注册证明复印件。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b w:val="0"/>
                <w:bCs w:val="0"/>
                <w:color w:val="auto"/>
                <w:szCs w:val="21"/>
                <w:highlight w:val="none"/>
                <w:u w:val="none"/>
              </w:rPr>
            </w:pPr>
            <w:r>
              <w:rPr>
                <w:rFonts w:hint="eastAsia" w:asciiTheme="minorEastAsia" w:hAnsiTheme="minorEastAsia" w:eastAsiaTheme="minorEastAsia" w:cstheme="minorEastAsia"/>
                <w:b/>
                <w:bCs/>
                <w:color w:val="auto"/>
                <w:szCs w:val="21"/>
                <w:highlight w:val="none"/>
                <w:u w:val="none"/>
                <w:lang w:eastAsia="zh-CN"/>
              </w:rPr>
              <w:t>以上</w:t>
            </w:r>
            <w:r>
              <w:rPr>
                <w:rFonts w:hint="eastAsia" w:asciiTheme="minorEastAsia" w:hAnsiTheme="minorEastAsia" w:eastAsiaTheme="minorEastAsia" w:cstheme="minorEastAsia"/>
                <w:b/>
                <w:bCs/>
                <w:color w:val="auto"/>
                <w:szCs w:val="21"/>
                <w:highlight w:val="none"/>
                <w:u w:val="none"/>
                <w:lang w:val="en-US" w:eastAsia="zh-CN"/>
              </w:rPr>
              <w:t>1-4点：</w:t>
            </w:r>
            <w:r>
              <w:rPr>
                <w:rFonts w:hint="eastAsia" w:asciiTheme="minorEastAsia" w:hAnsiTheme="minorEastAsia" w:eastAsiaTheme="minorEastAsia" w:cstheme="minorEastAsia"/>
                <w:b/>
                <w:bCs/>
                <w:color w:val="auto"/>
                <w:szCs w:val="21"/>
                <w:highlight w:val="none"/>
                <w:u w:val="none"/>
                <w:lang w:eastAsia="zh-CN"/>
              </w:rPr>
              <w:t>①提供在有效期内的证书复印件，如证书上未体现有效期的，需同时提供发证机构官方网站显示的有效期的截图作为证明材料；②如国家另有规定，则适用其规定，投标人提供相关证明材料，如有效的资质证书及相关政府部门的规定。</w:t>
            </w:r>
          </w:p>
        </w:tc>
        <w:tc>
          <w:tcPr>
            <w:tcW w:w="2341" w:type="dxa"/>
            <w:vAlign w:val="center"/>
          </w:tcPr>
          <w:p>
            <w:pPr>
              <w:rPr>
                <w:rFonts w:asciiTheme="minorEastAsia" w:hAnsiTheme="minorEastAsia" w:eastAsiaTheme="minorEastAsia"/>
                <w:color w:val="auto"/>
                <w:szCs w:val="21"/>
                <w:highlight w:val="none"/>
              </w:rPr>
            </w:pPr>
          </w:p>
        </w:tc>
        <w:tc>
          <w:tcPr>
            <w:tcW w:w="1750" w:type="dxa"/>
            <w:vAlign w:val="center"/>
          </w:tcPr>
          <w:p>
            <w:pPr>
              <w:rPr>
                <w:rFonts w:asciiTheme="minorEastAsia" w:hAnsiTheme="minorEastAsia" w:eastAsiaTheme="minorEastAsia"/>
                <w:color w:val="auto"/>
                <w:szCs w:val="21"/>
                <w:highlight w:val="none"/>
              </w:rPr>
            </w:pPr>
          </w:p>
        </w:tc>
        <w:tc>
          <w:tcPr>
            <w:tcW w:w="1623" w:type="dxa"/>
            <w:vAlign w:val="center"/>
          </w:tcPr>
          <w:p>
            <w:pP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251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b w:val="0"/>
                <w:bCs w:val="0"/>
                <w:color w:val="auto"/>
                <w:szCs w:val="21"/>
                <w:highlight w:val="none"/>
                <w:u w:val="none"/>
              </w:rPr>
            </w:pPr>
            <w:r>
              <w:rPr>
                <w:rFonts w:hint="eastAsia" w:asciiTheme="minorEastAsia" w:hAnsiTheme="minorEastAsia" w:eastAsiaTheme="minorEastAsia" w:cstheme="minorEastAsia"/>
                <w:b w:val="0"/>
                <w:bCs w:val="0"/>
                <w:color w:val="auto"/>
                <w:highlight w:val="none"/>
                <w:u w:val="none"/>
                <w:lang w:val="en-US" w:eastAsia="zh-CN"/>
              </w:rPr>
              <w:t>5、</w:t>
            </w:r>
            <w:r>
              <w:rPr>
                <w:rFonts w:hint="eastAsia" w:asciiTheme="minorEastAsia" w:hAnsiTheme="minorEastAsia" w:eastAsiaTheme="minorEastAsia" w:cstheme="minorEastAsia"/>
                <w:b w:val="0"/>
                <w:bCs w:val="0"/>
                <w:color w:val="auto"/>
                <w:highlight w:val="none"/>
                <w:u w:val="none"/>
              </w:rPr>
              <w:t>★中标</w:t>
            </w:r>
            <w:r>
              <w:rPr>
                <w:rFonts w:hint="eastAsia" w:asciiTheme="minorEastAsia" w:hAnsiTheme="minorEastAsia" w:eastAsiaTheme="minorEastAsia" w:cstheme="minorEastAsia"/>
                <w:b w:val="0"/>
                <w:bCs w:val="0"/>
                <w:color w:val="auto"/>
                <w:highlight w:val="none"/>
                <w:u w:val="none"/>
                <w:lang w:eastAsia="zh-CN"/>
              </w:rPr>
              <w:t>人</w:t>
            </w:r>
            <w:r>
              <w:rPr>
                <w:rFonts w:hint="eastAsia" w:asciiTheme="minorEastAsia" w:hAnsiTheme="minorEastAsia" w:eastAsiaTheme="minorEastAsia" w:cstheme="minorEastAsia"/>
                <w:b w:val="0"/>
                <w:bCs w:val="0"/>
                <w:color w:val="auto"/>
                <w:highlight w:val="none"/>
                <w:u w:val="none"/>
              </w:rPr>
              <w:t>必须保证送货上门，送至指定地点，当面验收，采购</w:t>
            </w:r>
            <w:r>
              <w:rPr>
                <w:rFonts w:hint="eastAsia" w:asciiTheme="minorEastAsia" w:hAnsiTheme="minorEastAsia" w:eastAsiaTheme="minorEastAsia" w:cstheme="minorEastAsia"/>
                <w:b w:val="0"/>
                <w:bCs w:val="0"/>
                <w:color w:val="auto"/>
                <w:highlight w:val="none"/>
                <w:u w:val="none"/>
                <w:lang w:eastAsia="zh-CN"/>
              </w:rPr>
              <w:t>人</w:t>
            </w:r>
            <w:r>
              <w:rPr>
                <w:rFonts w:hint="eastAsia" w:asciiTheme="minorEastAsia" w:hAnsiTheme="minorEastAsia" w:eastAsiaTheme="minorEastAsia" w:cstheme="minorEastAsia"/>
                <w:b w:val="0"/>
                <w:bCs w:val="0"/>
                <w:color w:val="auto"/>
                <w:highlight w:val="none"/>
                <w:u w:val="none"/>
              </w:rPr>
              <w:t>不接受快递方式送货。</w:t>
            </w:r>
          </w:p>
        </w:tc>
        <w:tc>
          <w:tcPr>
            <w:tcW w:w="2341" w:type="dxa"/>
            <w:vAlign w:val="center"/>
          </w:tcPr>
          <w:p>
            <w:pPr>
              <w:rPr>
                <w:rFonts w:asciiTheme="minorEastAsia" w:hAnsiTheme="minorEastAsia" w:eastAsiaTheme="minorEastAsia"/>
                <w:color w:val="auto"/>
                <w:szCs w:val="21"/>
                <w:highlight w:val="none"/>
              </w:rPr>
            </w:pPr>
          </w:p>
        </w:tc>
        <w:tc>
          <w:tcPr>
            <w:tcW w:w="1750" w:type="dxa"/>
            <w:vAlign w:val="center"/>
          </w:tcPr>
          <w:p>
            <w:pPr>
              <w:rPr>
                <w:rFonts w:asciiTheme="minorEastAsia" w:hAnsiTheme="minorEastAsia" w:eastAsiaTheme="minorEastAsia"/>
                <w:color w:val="auto"/>
                <w:szCs w:val="21"/>
                <w:highlight w:val="none"/>
              </w:rPr>
            </w:pPr>
          </w:p>
        </w:tc>
        <w:tc>
          <w:tcPr>
            <w:tcW w:w="1623" w:type="dxa"/>
            <w:vAlign w:val="center"/>
          </w:tcPr>
          <w:p>
            <w:pP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val="en-US" w:eastAsia="zh-CN"/>
              </w:rPr>
              <w:t>3</w:t>
            </w:r>
          </w:p>
        </w:tc>
        <w:tc>
          <w:tcPr>
            <w:tcW w:w="251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b w:val="0"/>
                <w:bCs w:val="0"/>
                <w:color w:val="auto"/>
                <w:szCs w:val="21"/>
                <w:highlight w:val="none"/>
                <w:u w:val="none"/>
              </w:rPr>
            </w:pPr>
            <w:r>
              <w:rPr>
                <w:rFonts w:hint="eastAsia" w:asciiTheme="minorEastAsia" w:hAnsiTheme="minorEastAsia" w:eastAsiaTheme="minorEastAsia" w:cstheme="minorEastAsia"/>
                <w:b w:val="0"/>
                <w:bCs w:val="0"/>
                <w:color w:val="auto"/>
                <w:highlight w:val="none"/>
                <w:u w:val="none"/>
                <w:lang w:val="en-US" w:eastAsia="zh-CN"/>
              </w:rPr>
              <w:t>6、</w:t>
            </w:r>
            <w:r>
              <w:rPr>
                <w:rFonts w:hint="eastAsia" w:asciiTheme="minorEastAsia" w:hAnsiTheme="minorEastAsia" w:eastAsiaTheme="minorEastAsia" w:cstheme="minorEastAsia"/>
                <w:b w:val="0"/>
                <w:bCs w:val="0"/>
                <w:color w:val="auto"/>
                <w:highlight w:val="none"/>
                <w:u w:val="none"/>
              </w:rPr>
              <w:t>★</w:t>
            </w:r>
            <w:r>
              <w:rPr>
                <w:rFonts w:hint="eastAsia" w:asciiTheme="minorEastAsia" w:hAnsiTheme="minorEastAsia" w:eastAsiaTheme="minorEastAsia" w:cstheme="minorEastAsia"/>
                <w:b w:val="0"/>
                <w:bCs w:val="0"/>
                <w:color w:val="auto"/>
                <w:highlight w:val="none"/>
                <w:u w:val="none"/>
                <w:lang w:eastAsia="zh-CN"/>
              </w:rPr>
              <w:t>投标人必须承诺</w:t>
            </w:r>
            <w:r>
              <w:rPr>
                <w:rFonts w:hint="eastAsia" w:asciiTheme="minorEastAsia" w:hAnsiTheme="minorEastAsia" w:eastAsiaTheme="minorEastAsia" w:cstheme="minorEastAsia"/>
                <w:b/>
                <w:bCs/>
                <w:color w:val="auto"/>
                <w:highlight w:val="none"/>
                <w:u w:val="none"/>
                <w:lang w:eastAsia="zh-CN"/>
              </w:rPr>
              <w:t>（投标时提供承诺函，格式自拟，不提供则</w:t>
            </w:r>
            <w:r>
              <w:rPr>
                <w:rFonts w:hint="eastAsia" w:asciiTheme="minorEastAsia" w:hAnsiTheme="minorEastAsia" w:eastAsiaTheme="minorEastAsia" w:cstheme="minorEastAsia"/>
                <w:b/>
                <w:bCs/>
                <w:color w:val="auto"/>
                <w:szCs w:val="21"/>
                <w:highlight w:val="none"/>
                <w:u w:val="none"/>
              </w:rPr>
              <w:t>无效投标</w:t>
            </w:r>
            <w:r>
              <w:rPr>
                <w:rFonts w:hint="eastAsia" w:asciiTheme="minorEastAsia" w:hAnsiTheme="minorEastAsia" w:eastAsiaTheme="minorEastAsia" w:cstheme="minorEastAsia"/>
                <w:b/>
                <w:bCs/>
                <w:color w:val="auto"/>
                <w:highlight w:val="none"/>
                <w:u w:val="none"/>
                <w:lang w:eastAsia="zh-CN"/>
              </w:rPr>
              <w:t>）</w:t>
            </w:r>
            <w:r>
              <w:rPr>
                <w:rFonts w:hint="eastAsia" w:asciiTheme="minorEastAsia" w:hAnsiTheme="minorEastAsia" w:eastAsiaTheme="minorEastAsia" w:cstheme="minorEastAsia"/>
                <w:b w:val="0"/>
                <w:bCs w:val="0"/>
                <w:color w:val="auto"/>
                <w:highlight w:val="none"/>
                <w:u w:val="none"/>
              </w:rPr>
              <w:t>：本次投标的试剂耗材价格不高于深圳医用耗材阳光交易和监管平台指导价或供应深圳市其他医疗卫生机构（公卫）同种产品的价格。</w:t>
            </w:r>
          </w:p>
        </w:tc>
        <w:tc>
          <w:tcPr>
            <w:tcW w:w="2341" w:type="dxa"/>
            <w:vAlign w:val="center"/>
          </w:tcPr>
          <w:p>
            <w:pPr>
              <w:rPr>
                <w:rFonts w:asciiTheme="minorEastAsia" w:hAnsiTheme="minorEastAsia" w:eastAsiaTheme="minorEastAsia"/>
                <w:color w:val="auto"/>
                <w:szCs w:val="21"/>
                <w:highlight w:val="none"/>
              </w:rPr>
            </w:pPr>
          </w:p>
        </w:tc>
        <w:tc>
          <w:tcPr>
            <w:tcW w:w="1750" w:type="dxa"/>
            <w:vAlign w:val="center"/>
          </w:tcPr>
          <w:p>
            <w:pPr>
              <w:rPr>
                <w:rFonts w:asciiTheme="minorEastAsia" w:hAnsiTheme="minorEastAsia" w:eastAsiaTheme="minorEastAsia"/>
                <w:color w:val="auto"/>
                <w:szCs w:val="21"/>
                <w:highlight w:val="none"/>
              </w:rPr>
            </w:pPr>
          </w:p>
        </w:tc>
        <w:tc>
          <w:tcPr>
            <w:tcW w:w="1623" w:type="dxa"/>
            <w:vAlign w:val="center"/>
          </w:tcPr>
          <w:p>
            <w:pP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pP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4</w:t>
            </w:r>
          </w:p>
        </w:tc>
        <w:tc>
          <w:tcPr>
            <w:tcW w:w="251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b w:val="0"/>
                <w:bCs w:val="0"/>
                <w:color w:val="auto"/>
                <w:highlight w:val="none"/>
                <w:u w:val="none"/>
                <w:lang w:val="en-US" w:eastAsia="zh-CN"/>
              </w:rPr>
            </w:pPr>
            <w:r>
              <w:rPr>
                <w:rFonts w:hint="eastAsia" w:asciiTheme="minorEastAsia" w:hAnsiTheme="minorEastAsia" w:eastAsiaTheme="minorEastAsia" w:cstheme="minorEastAsia"/>
                <w:b w:val="0"/>
                <w:bCs w:val="0"/>
                <w:color w:val="auto"/>
                <w:szCs w:val="21"/>
                <w:highlight w:val="none"/>
                <w:u w:val="none"/>
                <w:lang w:val="en-US" w:eastAsia="zh-CN"/>
              </w:rPr>
              <w:t>20、</w:t>
            </w:r>
            <w:r>
              <w:rPr>
                <w:rFonts w:hint="eastAsia" w:asciiTheme="minorEastAsia" w:hAnsiTheme="minorEastAsia" w:eastAsiaTheme="minorEastAsia" w:cstheme="minorEastAsia"/>
                <w:b w:val="0"/>
                <w:bCs w:val="0"/>
                <w:color w:val="auto"/>
                <w:szCs w:val="21"/>
                <w:highlight w:val="none"/>
                <w:u w:val="none"/>
                <w:lang w:eastAsia="zh-CN"/>
              </w:rPr>
              <w:t>★</w:t>
            </w:r>
            <w:r>
              <w:rPr>
                <w:rFonts w:hint="eastAsia" w:asciiTheme="minorEastAsia" w:hAnsiTheme="minorEastAsia" w:eastAsiaTheme="minorEastAsia" w:cstheme="minorEastAsia"/>
                <w:b w:val="0"/>
                <w:bCs w:val="0"/>
                <w:color w:val="auto"/>
                <w:sz w:val="21"/>
                <w:szCs w:val="21"/>
                <w:highlight w:val="none"/>
                <w:u w:val="none"/>
              </w:rPr>
              <w:t>投标人须获得</w:t>
            </w:r>
            <w:r>
              <w:rPr>
                <w:rFonts w:hint="eastAsia" w:asciiTheme="minorEastAsia" w:hAnsiTheme="minorEastAsia" w:eastAsiaTheme="minorEastAsia" w:cstheme="minorEastAsia"/>
                <w:b w:val="0"/>
                <w:bCs w:val="0"/>
                <w:color w:val="auto"/>
                <w:sz w:val="21"/>
                <w:szCs w:val="21"/>
                <w:highlight w:val="none"/>
                <w:u w:val="none"/>
                <w:lang w:eastAsia="zh-CN"/>
              </w:rPr>
              <w:t>所投标产品</w:t>
            </w:r>
            <w:r>
              <w:rPr>
                <w:rFonts w:hint="eastAsia" w:asciiTheme="minorEastAsia" w:hAnsiTheme="minorEastAsia" w:eastAsiaTheme="minorEastAsia" w:cstheme="minorEastAsia"/>
                <w:b w:val="0"/>
                <w:bCs w:val="0"/>
                <w:color w:val="auto"/>
                <w:sz w:val="21"/>
                <w:szCs w:val="21"/>
                <w:highlight w:val="none"/>
                <w:u w:val="none"/>
              </w:rPr>
              <w:t>生产厂家或者国内代理商出具的有效的产品授权书</w:t>
            </w:r>
            <w:r>
              <w:rPr>
                <w:rFonts w:hint="eastAsia" w:asciiTheme="minorEastAsia" w:hAnsiTheme="minorEastAsia" w:eastAsiaTheme="minorEastAsia" w:cstheme="minorEastAsia"/>
                <w:b/>
                <w:bCs/>
                <w:color w:val="auto"/>
                <w:highlight w:val="none"/>
                <w:u w:val="none"/>
                <w:lang w:eastAsia="zh-CN"/>
              </w:rPr>
              <w:t>（提供授权书复印件加盖投标人公章）</w:t>
            </w:r>
            <w:r>
              <w:rPr>
                <w:rFonts w:hint="eastAsia" w:asciiTheme="minorEastAsia" w:hAnsiTheme="minorEastAsia" w:eastAsiaTheme="minorEastAsia" w:cstheme="minorEastAsia"/>
                <w:b w:val="0"/>
                <w:bCs w:val="0"/>
                <w:color w:val="auto"/>
                <w:sz w:val="21"/>
                <w:szCs w:val="21"/>
                <w:highlight w:val="none"/>
                <w:u w:val="none"/>
              </w:rPr>
              <w:t>。</w:t>
            </w:r>
          </w:p>
        </w:tc>
        <w:tc>
          <w:tcPr>
            <w:tcW w:w="2341" w:type="dxa"/>
            <w:vAlign w:val="center"/>
          </w:tcPr>
          <w:p>
            <w:pPr>
              <w:rPr>
                <w:rFonts w:asciiTheme="minorEastAsia" w:hAnsiTheme="minorEastAsia" w:eastAsiaTheme="minorEastAsia"/>
                <w:color w:val="auto"/>
                <w:szCs w:val="21"/>
                <w:highlight w:val="none"/>
              </w:rPr>
            </w:pPr>
          </w:p>
        </w:tc>
        <w:tc>
          <w:tcPr>
            <w:tcW w:w="1750" w:type="dxa"/>
            <w:vAlign w:val="center"/>
          </w:tcPr>
          <w:p>
            <w:pPr>
              <w:rPr>
                <w:rFonts w:asciiTheme="minorEastAsia" w:hAnsiTheme="minorEastAsia" w:eastAsiaTheme="minorEastAsia"/>
                <w:color w:val="auto"/>
                <w:szCs w:val="21"/>
                <w:highlight w:val="none"/>
              </w:rPr>
            </w:pPr>
          </w:p>
        </w:tc>
        <w:tc>
          <w:tcPr>
            <w:tcW w:w="1623" w:type="dxa"/>
            <w:vAlign w:val="center"/>
          </w:tcPr>
          <w:p>
            <w:pP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059" w:type="dxa"/>
            <w:gridSpan w:val="5"/>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二</w:t>
            </w:r>
            <w:r>
              <w:rPr>
                <w:rFonts w:hint="eastAsia" w:asciiTheme="minorEastAsia" w:hAnsiTheme="minorEastAsia" w:eastAsiaTheme="minorEastAsia"/>
                <w:color w:val="auto"/>
                <w:szCs w:val="21"/>
                <w:highlight w:val="none"/>
              </w:rPr>
              <w:t>）其他条款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2515" w:type="dxa"/>
            <w:vAlign w:val="center"/>
          </w:tcPr>
          <w:p>
            <w:pPr>
              <w:rPr>
                <w:rFonts w:asciiTheme="minorEastAsia" w:hAnsiTheme="minorEastAsia" w:eastAsiaTheme="minorEastAsia"/>
                <w:color w:val="auto"/>
                <w:szCs w:val="21"/>
                <w:highlight w:val="none"/>
              </w:rPr>
            </w:pPr>
          </w:p>
        </w:tc>
        <w:tc>
          <w:tcPr>
            <w:tcW w:w="2341" w:type="dxa"/>
            <w:vAlign w:val="center"/>
          </w:tcPr>
          <w:p>
            <w:pPr>
              <w:rPr>
                <w:rFonts w:asciiTheme="minorEastAsia" w:hAnsiTheme="minorEastAsia" w:eastAsiaTheme="minorEastAsia"/>
                <w:color w:val="auto"/>
                <w:szCs w:val="21"/>
                <w:highlight w:val="none"/>
              </w:rPr>
            </w:pPr>
          </w:p>
        </w:tc>
        <w:tc>
          <w:tcPr>
            <w:tcW w:w="1750" w:type="dxa"/>
            <w:vAlign w:val="center"/>
          </w:tcPr>
          <w:p>
            <w:pPr>
              <w:rPr>
                <w:rFonts w:asciiTheme="minorEastAsia" w:hAnsiTheme="minorEastAsia" w:eastAsiaTheme="minorEastAsia"/>
                <w:color w:val="auto"/>
                <w:szCs w:val="21"/>
                <w:highlight w:val="none"/>
              </w:rPr>
            </w:pPr>
          </w:p>
        </w:tc>
        <w:tc>
          <w:tcPr>
            <w:tcW w:w="1623" w:type="dxa"/>
            <w:vAlign w:val="center"/>
          </w:tcPr>
          <w:p>
            <w:pP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2515" w:type="dxa"/>
            <w:vAlign w:val="center"/>
          </w:tcPr>
          <w:p>
            <w:pPr>
              <w:rPr>
                <w:rFonts w:asciiTheme="minorEastAsia" w:hAnsiTheme="minorEastAsia" w:eastAsiaTheme="minorEastAsia"/>
                <w:color w:val="auto"/>
                <w:szCs w:val="21"/>
                <w:highlight w:val="none"/>
              </w:rPr>
            </w:pPr>
          </w:p>
        </w:tc>
        <w:tc>
          <w:tcPr>
            <w:tcW w:w="2341" w:type="dxa"/>
            <w:vAlign w:val="center"/>
          </w:tcPr>
          <w:p>
            <w:pPr>
              <w:rPr>
                <w:rFonts w:asciiTheme="minorEastAsia" w:hAnsiTheme="minorEastAsia" w:eastAsiaTheme="minorEastAsia"/>
                <w:color w:val="auto"/>
                <w:szCs w:val="21"/>
                <w:highlight w:val="none"/>
              </w:rPr>
            </w:pPr>
          </w:p>
        </w:tc>
        <w:tc>
          <w:tcPr>
            <w:tcW w:w="1750" w:type="dxa"/>
            <w:vAlign w:val="center"/>
          </w:tcPr>
          <w:p>
            <w:pPr>
              <w:rPr>
                <w:rFonts w:asciiTheme="minorEastAsia" w:hAnsiTheme="minorEastAsia" w:eastAsiaTheme="minorEastAsia"/>
                <w:color w:val="auto"/>
                <w:szCs w:val="21"/>
                <w:highlight w:val="none"/>
              </w:rPr>
            </w:pPr>
          </w:p>
        </w:tc>
        <w:tc>
          <w:tcPr>
            <w:tcW w:w="1623" w:type="dxa"/>
            <w:vAlign w:val="center"/>
          </w:tcPr>
          <w:p>
            <w:pP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2515" w:type="dxa"/>
            <w:vAlign w:val="center"/>
          </w:tcPr>
          <w:p>
            <w:pPr>
              <w:rPr>
                <w:rFonts w:asciiTheme="minorEastAsia" w:hAnsiTheme="minorEastAsia" w:eastAsiaTheme="minorEastAsia"/>
                <w:color w:val="auto"/>
                <w:szCs w:val="21"/>
                <w:highlight w:val="none"/>
              </w:rPr>
            </w:pPr>
          </w:p>
        </w:tc>
        <w:tc>
          <w:tcPr>
            <w:tcW w:w="2341" w:type="dxa"/>
            <w:vAlign w:val="center"/>
          </w:tcPr>
          <w:p>
            <w:pPr>
              <w:rPr>
                <w:rFonts w:asciiTheme="minorEastAsia" w:hAnsiTheme="minorEastAsia" w:eastAsiaTheme="minorEastAsia"/>
                <w:color w:val="auto"/>
                <w:szCs w:val="21"/>
                <w:highlight w:val="none"/>
              </w:rPr>
            </w:pPr>
          </w:p>
        </w:tc>
        <w:tc>
          <w:tcPr>
            <w:tcW w:w="1750" w:type="dxa"/>
            <w:vAlign w:val="center"/>
          </w:tcPr>
          <w:p>
            <w:pPr>
              <w:rPr>
                <w:rFonts w:asciiTheme="minorEastAsia" w:hAnsiTheme="minorEastAsia" w:eastAsiaTheme="minorEastAsia"/>
                <w:color w:val="auto"/>
                <w:szCs w:val="21"/>
                <w:highlight w:val="none"/>
              </w:rPr>
            </w:pPr>
          </w:p>
        </w:tc>
        <w:tc>
          <w:tcPr>
            <w:tcW w:w="1623" w:type="dxa"/>
            <w:vAlign w:val="center"/>
          </w:tcPr>
          <w:p>
            <w:pPr>
              <w:rPr>
                <w:rFonts w:asciiTheme="minorEastAsia" w:hAnsiTheme="minorEastAsia" w:eastAsiaTheme="minorEastAsia"/>
                <w:color w:val="auto"/>
                <w:szCs w:val="21"/>
                <w:highlight w:val="none"/>
              </w:rPr>
            </w:pPr>
          </w:p>
        </w:tc>
      </w:tr>
    </w:tbl>
    <w:p>
      <w:pPr>
        <w:spacing w:line="360" w:lineRule="auto"/>
        <w:ind w:right="84" w:rightChars="40"/>
        <w:rPr>
          <w:rFonts w:ascii="宋体" w:hAnsi="宋体"/>
          <w:color w:val="auto"/>
          <w:szCs w:val="21"/>
          <w:highlight w:val="none"/>
        </w:rPr>
      </w:pPr>
      <w:r>
        <w:rPr>
          <w:rFonts w:hint="eastAsia" w:ascii="宋体" w:hAnsi="宋体"/>
          <w:color w:val="auto"/>
          <w:szCs w:val="21"/>
          <w:highlight w:val="none"/>
        </w:rPr>
        <w:t>备注：投标人必须按招标文件要求附相关证明文件，如未提供的视为负偏离。</w:t>
      </w:r>
    </w:p>
    <w:p>
      <w:pPr>
        <w:spacing w:line="500" w:lineRule="exact"/>
        <w:ind w:firstLine="436" w:firstLineChars="200"/>
        <w:rPr>
          <w:color w:val="auto"/>
          <w:spacing w:val="4"/>
          <w:highlight w:val="none"/>
        </w:rPr>
      </w:pPr>
    </w:p>
    <w:p>
      <w:pPr>
        <w:widowControl/>
        <w:jc w:val="left"/>
        <w:rPr>
          <w:rFonts w:ascii="Arial" w:hAnsi="Arial" w:eastAsia="黑体"/>
          <w:bCs/>
          <w:color w:val="auto"/>
          <w:sz w:val="32"/>
          <w:szCs w:val="32"/>
          <w:highlight w:val="none"/>
        </w:rPr>
      </w:pPr>
    </w:p>
    <w:bookmarkEnd w:id="122"/>
    <w:bookmarkEnd w:id="123"/>
    <w:p>
      <w:pPr>
        <w:spacing w:line="520" w:lineRule="exact"/>
        <w:ind w:firstLine="436" w:firstLineChars="200"/>
        <w:rPr>
          <w:color w:val="auto"/>
          <w:spacing w:val="4"/>
          <w:highlight w:val="none"/>
        </w:rPr>
        <w:sectPr>
          <w:pgSz w:w="11906" w:h="16838"/>
          <w:pgMar w:top="1440" w:right="1286" w:bottom="1440" w:left="1440" w:header="851" w:footer="992" w:gutter="0"/>
          <w:cols w:space="720" w:num="1"/>
          <w:docGrid w:type="lines" w:linePitch="312" w:charSpace="0"/>
        </w:sectPr>
      </w:pPr>
      <w:bookmarkStart w:id="124" w:name="_Toc50691037"/>
      <w:bookmarkStart w:id="125" w:name="_Toc50703730"/>
      <w:bookmarkStart w:id="126" w:name="_Toc43264518"/>
    </w:p>
    <w:bookmarkEnd w:id="124"/>
    <w:bookmarkEnd w:id="125"/>
    <w:bookmarkEnd w:id="126"/>
    <w:p>
      <w:pPr>
        <w:pStyle w:val="4"/>
        <w:numPr>
          <w:ilvl w:val="0"/>
          <w:numId w:val="21"/>
        </w:numPr>
        <w:spacing w:line="240" w:lineRule="auto"/>
        <w:jc w:val="center"/>
        <w:rPr>
          <w:rFonts w:asciiTheme="majorEastAsia" w:hAnsiTheme="majorEastAsia" w:eastAsiaTheme="majorEastAsia"/>
          <w:color w:val="auto"/>
          <w:sz w:val="30"/>
          <w:szCs w:val="30"/>
          <w:highlight w:val="none"/>
        </w:rPr>
      </w:pPr>
      <w:bookmarkStart w:id="127" w:name="_Toc26345"/>
      <w:bookmarkStart w:id="128" w:name="_Toc28095"/>
      <w:r>
        <w:rPr>
          <w:rFonts w:hint="eastAsia" w:asciiTheme="majorEastAsia" w:hAnsiTheme="majorEastAsia" w:eastAsiaTheme="majorEastAsia"/>
          <w:color w:val="auto"/>
          <w:sz w:val="30"/>
          <w:szCs w:val="30"/>
          <w:highlight w:val="none"/>
        </w:rPr>
        <w:t>采购代理服务费承诺书</w:t>
      </w:r>
      <w:bookmarkEnd w:id="127"/>
      <w:bookmarkEnd w:id="128"/>
    </w:p>
    <w:p>
      <w:pPr>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采联国际招标采购集团有限公司:</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在参加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深圳市疾病预防控制中心艾防硒标耗材一批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CD-1711098581051A</w:t>
      </w:r>
      <w:r>
        <w:rPr>
          <w:rFonts w:hint="eastAsia" w:ascii="宋体" w:hAnsi="宋体" w:eastAsia="宋体" w:cs="宋体"/>
          <w:color w:val="auto"/>
          <w:sz w:val="21"/>
          <w:szCs w:val="21"/>
          <w:highlight w:val="none"/>
        </w:rPr>
        <w:t>)的招标中如获中标，我公司保证</w:t>
      </w:r>
      <w:bookmarkStart w:id="129" w:name="_Hlk153549784"/>
      <w:r>
        <w:rPr>
          <w:rFonts w:hint="eastAsia" w:ascii="宋体" w:hAnsi="宋体" w:eastAsia="宋体" w:cs="宋体"/>
          <w:color w:val="auto"/>
          <w:sz w:val="21"/>
          <w:szCs w:val="21"/>
          <w:highlight w:val="none"/>
        </w:rPr>
        <w:t>在收到中标通知之日起7个工作日内</w:t>
      </w:r>
      <w:bookmarkEnd w:id="129"/>
      <w:r>
        <w:rPr>
          <w:rFonts w:hint="eastAsia" w:ascii="宋体" w:hAnsi="宋体" w:eastAsia="宋体" w:cs="宋体"/>
          <w:color w:val="auto"/>
          <w:sz w:val="21"/>
          <w:szCs w:val="21"/>
          <w:highlight w:val="none"/>
        </w:rPr>
        <w:t>按照招标文件的规定缴纳“采购代理服务费”。如采用电汇或银行转账，我公司将同时递交采购代理服务费缴费凭证复印件。</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如我公司</w:t>
      </w:r>
      <w:bookmarkStart w:id="130" w:name="_Hlk153550294"/>
      <w:r>
        <w:rPr>
          <w:rFonts w:hint="eastAsia" w:ascii="宋体" w:hAnsi="宋体" w:eastAsia="宋体" w:cs="宋体"/>
          <w:color w:val="auto"/>
          <w:sz w:val="21"/>
          <w:szCs w:val="21"/>
          <w:highlight w:val="none"/>
        </w:rPr>
        <w:t>逾期向贵司缴纳采购代理服务费的，我公司同意除应当缴纳采购代理服务费外，每日按逾期的采购代理服务费的</w:t>
      </w:r>
      <w:bookmarkStart w:id="131" w:name="_Hlk153549109"/>
      <w:r>
        <w:rPr>
          <w:rFonts w:hint="eastAsia" w:ascii="宋体" w:hAnsi="宋体" w:eastAsia="宋体" w:cs="宋体"/>
          <w:color w:val="auto"/>
          <w:sz w:val="21"/>
          <w:szCs w:val="21"/>
          <w:highlight w:val="none"/>
        </w:rPr>
        <w:t>0.4‰</w:t>
      </w:r>
      <w:bookmarkEnd w:id="131"/>
      <w:r>
        <w:rPr>
          <w:rFonts w:hint="eastAsia" w:ascii="宋体" w:hAnsi="宋体" w:eastAsia="宋体" w:cs="宋体"/>
          <w:color w:val="auto"/>
          <w:sz w:val="21"/>
          <w:szCs w:val="21"/>
          <w:highlight w:val="none"/>
        </w:rPr>
        <w:t>向贵司支付违约金。</w:t>
      </w:r>
      <w:bookmarkEnd w:id="130"/>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r>
        <w:rPr>
          <w:rFonts w:ascii="宋体" w:hAnsi="宋体"/>
          <w:color w:val="auto"/>
          <w:szCs w:val="21"/>
          <w:highlight w:val="none"/>
        </w:rPr>
        <w:tab/>
      </w:r>
    </w:p>
    <w:p>
      <w:pPr>
        <w:spacing w:line="360" w:lineRule="auto"/>
        <w:ind w:left="315"/>
        <w:jc w:val="left"/>
        <w:rPr>
          <w:rFonts w:ascii="宋体" w:hAnsi="宋体"/>
          <w:color w:val="auto"/>
          <w:szCs w:val="21"/>
          <w:highlight w:val="none"/>
        </w:rPr>
      </w:pPr>
    </w:p>
    <w:p>
      <w:pPr>
        <w:spacing w:line="360" w:lineRule="auto"/>
        <w:ind w:left="315"/>
        <w:jc w:val="left"/>
        <w:rPr>
          <w:rFonts w:ascii="宋体" w:hAnsi="宋体"/>
          <w:color w:val="auto"/>
          <w:szCs w:val="21"/>
          <w:highlight w:val="none"/>
        </w:rPr>
      </w:pPr>
      <w:r>
        <w:rPr>
          <w:rFonts w:hint="eastAsia" w:ascii="宋体" w:hAnsi="宋体"/>
          <w:color w:val="auto"/>
          <w:szCs w:val="21"/>
          <w:highlight w:val="none"/>
        </w:rPr>
        <w:t>投标人名称(盖公章):</w:t>
      </w:r>
    </w:p>
    <w:p>
      <w:pPr>
        <w:spacing w:line="360" w:lineRule="auto"/>
        <w:ind w:left="315"/>
        <w:jc w:val="left"/>
        <w:rPr>
          <w:rFonts w:ascii="宋体" w:hAnsi="宋体"/>
          <w:color w:val="auto"/>
          <w:szCs w:val="21"/>
          <w:highlight w:val="none"/>
        </w:rPr>
      </w:pPr>
      <w:r>
        <w:rPr>
          <w:rFonts w:hint="eastAsia" w:ascii="宋体" w:hAnsi="宋体"/>
          <w:color w:val="auto"/>
          <w:szCs w:val="21"/>
          <w:highlight w:val="none"/>
        </w:rPr>
        <w:t xml:space="preserve">日期： </w:t>
      </w:r>
      <w:r>
        <w:rPr>
          <w:rFonts w:ascii="宋体" w:hAnsi="宋体"/>
          <w:color w:val="auto"/>
          <w:szCs w:val="21"/>
          <w:highlight w:val="none"/>
        </w:rPr>
        <w:t xml:space="preserve">  </w:t>
      </w:r>
    </w:p>
    <w:p>
      <w:pPr>
        <w:adjustRightInd w:val="0"/>
        <w:snapToGrid w:val="0"/>
        <w:rPr>
          <w:color w:val="auto"/>
          <w:highlight w:val="none"/>
        </w:rPr>
      </w:pPr>
    </w:p>
    <w:p>
      <w:pPr>
        <w:rPr>
          <w:color w:val="auto"/>
          <w:highlight w:val="none"/>
        </w:rPr>
      </w:pPr>
    </w:p>
    <w:p>
      <w:pPr>
        <w:spacing w:line="360" w:lineRule="auto"/>
        <w:rPr>
          <w:rFonts w:hint="eastAsia" w:ascii="宋体" w:hAnsi="宋体" w:eastAsia="宋体" w:cs="宋体"/>
          <w:b/>
          <w:bCs/>
          <w:color w:val="auto"/>
          <w:sz w:val="21"/>
          <w:szCs w:val="21"/>
          <w:highlight w:val="none"/>
          <w:u w:val="double"/>
        </w:rPr>
      </w:pPr>
      <w:r>
        <w:rPr>
          <w:rFonts w:hint="eastAsia" w:cs="宋体"/>
          <w:b/>
          <w:bCs/>
          <w:color w:val="auto"/>
          <w:highlight w:val="none"/>
        </w:rPr>
        <w:t>温馨提示</w:t>
      </w:r>
      <w:r>
        <w:rPr>
          <w:rFonts w:hint="eastAsia" w:cs="宋体"/>
          <w:b/>
          <w:bCs/>
          <w:color w:val="auto"/>
          <w:highlight w:val="none"/>
          <w:lang w:eastAsia="zh-CN"/>
        </w:rPr>
        <w:t>：</w:t>
      </w:r>
      <w:r>
        <w:rPr>
          <w:rFonts w:hint="eastAsia" w:ascii="宋体" w:hAnsi="宋体" w:eastAsia="宋体" w:cs="宋体"/>
          <w:b/>
          <w:bCs/>
          <w:color w:val="auto"/>
          <w:sz w:val="21"/>
          <w:szCs w:val="21"/>
          <w:highlight w:val="none"/>
          <w:u w:val="double"/>
          <w:lang w:val="en-US" w:eastAsia="zh-CN"/>
        </w:rPr>
        <w:t>中标人在缴纳采购代理服务费后，我司将以邮寄或电子邮件方式将发票送达中标人，请填写以下邮寄发票的收件信息及邮箱。</w:t>
      </w:r>
    </w:p>
    <w:p>
      <w:pPr>
        <w:numPr>
          <w:ilvl w:val="0"/>
          <w:numId w:val="0"/>
        </w:numPr>
        <w:adjustRightInd w:val="0"/>
        <w:snapToGrid w:val="0"/>
        <w:spacing w:line="360" w:lineRule="auto"/>
        <w:ind w:leftChars="0" w:firstLine="0" w:firstLineChars="0"/>
        <w:rPr>
          <w:rFonts w:hint="eastAsia" w:ascii="宋体" w:hAnsi="宋体" w:eastAsia="宋体" w:cs="宋体"/>
          <w:b w:val="0"/>
          <w:bCs w:val="0"/>
          <w:color w:val="auto"/>
          <w:sz w:val="21"/>
          <w:szCs w:val="21"/>
          <w:highlight w:val="none"/>
          <w:u w:val="none"/>
          <w:lang w:val="en-US" w:eastAsia="zh-CN"/>
        </w:rPr>
      </w:pPr>
    </w:p>
    <w:p>
      <w:pPr>
        <w:pStyle w:val="2"/>
        <w:rPr>
          <w:rFonts w:hint="eastAsia"/>
          <w:color w:val="auto"/>
          <w:highlight w:val="none"/>
          <w:lang w:val="en-US" w:eastAsia="zh-CN"/>
        </w:rPr>
      </w:pPr>
    </w:p>
    <w:p>
      <w:pPr>
        <w:numPr>
          <w:ilvl w:val="0"/>
          <w:numId w:val="0"/>
        </w:numPr>
        <w:adjustRightInd w:val="0"/>
        <w:snapToGrid w:val="0"/>
        <w:spacing w:line="360" w:lineRule="auto"/>
        <w:ind w:leftChars="0"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收件地址：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numPr>
          <w:ilvl w:val="0"/>
          <w:numId w:val="0"/>
        </w:numPr>
        <w:adjustRightInd w:val="0"/>
        <w:snapToGrid w:val="0"/>
        <w:spacing w:line="360" w:lineRule="auto"/>
        <w:ind w:leftChars="0"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numPr>
          <w:ilvl w:val="0"/>
          <w:numId w:val="0"/>
        </w:numPr>
        <w:adjustRightInd w:val="0"/>
        <w:snapToGrid w:val="0"/>
        <w:spacing w:line="360" w:lineRule="auto"/>
        <w:ind w:leftChars="0"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adjustRightInd w:val="0"/>
        <w:snapToGrid w:val="0"/>
        <w:ind w:firstLine="420" w:firstLineChars="200"/>
        <w:rPr>
          <w:color w:val="auto"/>
          <w:highlight w:val="none"/>
        </w:rPr>
      </w:pPr>
      <w:r>
        <w:rPr>
          <w:rFonts w:hint="eastAsia" w:ascii="宋体" w:hAnsi="宋体" w:eastAsia="宋体" w:cs="宋体"/>
          <w:b w:val="0"/>
          <w:bCs w:val="0"/>
          <w:color w:val="auto"/>
          <w:sz w:val="21"/>
          <w:szCs w:val="21"/>
          <w:highlight w:val="none"/>
          <w:u w:val="none"/>
          <w:lang w:val="en-US" w:eastAsia="zh-CN"/>
        </w:rPr>
        <w:t>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rPr>
          <w:color w:val="auto"/>
          <w:highlight w:val="none"/>
        </w:rPr>
      </w:pPr>
    </w:p>
    <w:p>
      <w:pPr>
        <w:spacing w:line="440" w:lineRule="exact"/>
        <w:rPr>
          <w:color w:val="auto"/>
          <w:highlight w:val="none"/>
        </w:rPr>
      </w:pPr>
    </w:p>
    <w:p>
      <w:pPr>
        <w:widowControl/>
        <w:jc w:val="left"/>
        <w:rPr>
          <w:rFonts w:ascii="Arial" w:hAnsi="Arial" w:eastAsia="黑体"/>
          <w:bCs/>
          <w:color w:val="auto"/>
          <w:sz w:val="32"/>
          <w:szCs w:val="32"/>
          <w:highlight w:val="none"/>
        </w:rPr>
      </w:pPr>
      <w:bookmarkStart w:id="132" w:name="_Toc435514878"/>
      <w:bookmarkStart w:id="133" w:name="_Toc275865626"/>
      <w:bookmarkStart w:id="134" w:name="_Toc173553195"/>
      <w:bookmarkStart w:id="135" w:name="_Toc435515318"/>
      <w:r>
        <w:rPr>
          <w:b/>
          <w:color w:val="auto"/>
          <w:highlight w:val="none"/>
        </w:rPr>
        <w:br w:type="page"/>
      </w:r>
    </w:p>
    <w:p>
      <w:pPr>
        <w:pStyle w:val="4"/>
        <w:numPr>
          <w:ilvl w:val="0"/>
          <w:numId w:val="21"/>
        </w:numPr>
        <w:spacing w:line="240" w:lineRule="auto"/>
        <w:jc w:val="center"/>
        <w:rPr>
          <w:rFonts w:asciiTheme="majorEastAsia" w:hAnsiTheme="majorEastAsia" w:eastAsiaTheme="majorEastAsia"/>
          <w:color w:val="auto"/>
          <w:sz w:val="30"/>
          <w:szCs w:val="30"/>
          <w:highlight w:val="none"/>
        </w:rPr>
      </w:pPr>
      <w:bookmarkStart w:id="136" w:name="_Toc2528"/>
      <w:bookmarkStart w:id="137" w:name="_Toc23178"/>
      <w:r>
        <w:rPr>
          <w:rFonts w:hint="eastAsia" w:asciiTheme="majorEastAsia" w:hAnsiTheme="majorEastAsia" w:eastAsiaTheme="majorEastAsia"/>
          <w:color w:val="auto"/>
          <w:sz w:val="30"/>
          <w:szCs w:val="30"/>
          <w:highlight w:val="none"/>
        </w:rPr>
        <w:t>开票资料说明函</w:t>
      </w:r>
      <w:bookmarkEnd w:id="136"/>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采联国际招标采购集团有限公司:</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本公司</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在参加在贵公司举行的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深圳市疾病预防控制中心艾防硒标耗材一批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CD-1711098581051A</w:t>
      </w:r>
      <w:r>
        <w:rPr>
          <w:rFonts w:hint="eastAsia" w:ascii="宋体" w:hAnsi="宋体" w:cs="宋体"/>
          <w:color w:val="auto"/>
          <w:szCs w:val="21"/>
          <w:highlight w:val="none"/>
        </w:rPr>
        <w:t>)的招标中如获中标，则开票类型选择</w:t>
      </w:r>
      <w:r>
        <w:rPr>
          <w:rFonts w:hint="eastAsia" w:ascii="宋体" w:hAnsi="宋体" w:cs="宋体"/>
          <w:b/>
          <w:color w:val="auto"/>
          <w:szCs w:val="21"/>
          <w:highlight w:val="none"/>
          <w:u w:val="single"/>
        </w:rPr>
        <w:t>□增值税普通发票□增值税专用发票</w:t>
      </w:r>
      <w:r>
        <w:rPr>
          <w:rFonts w:hint="eastAsia" w:ascii="宋体" w:hAnsi="宋体" w:cs="宋体"/>
          <w:color w:val="auto"/>
          <w:szCs w:val="21"/>
          <w:highlight w:val="none"/>
        </w:rPr>
        <w:t>（</w:t>
      </w:r>
      <w:r>
        <w:rPr>
          <w:rFonts w:hint="eastAsia" w:ascii="宋体" w:hAnsi="宋体" w:cs="宋体"/>
          <w:b/>
          <w:color w:val="auto"/>
          <w:szCs w:val="21"/>
          <w:highlight w:val="none"/>
        </w:rPr>
        <w:t>请在对应的“□”打“√”，且只能选择其中一项）</w:t>
      </w:r>
      <w:r>
        <w:rPr>
          <w:rFonts w:hint="eastAsia" w:ascii="宋体" w:hAnsi="宋体" w:cs="宋体"/>
          <w:color w:val="auto"/>
          <w:szCs w:val="21"/>
          <w:highlight w:val="none"/>
        </w:rPr>
        <w:t>，以及我司的开票资料如下：</w:t>
      </w:r>
    </w:p>
    <w:tbl>
      <w:tblPr>
        <w:tblStyle w:val="38"/>
        <w:tblW w:w="90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3763"/>
        <w:gridCol w:w="1179"/>
        <w:gridCol w:w="16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单位名称</w:t>
            </w:r>
          </w:p>
        </w:tc>
        <w:tc>
          <w:tcPr>
            <w:tcW w:w="6607" w:type="dxa"/>
            <w:gridSpan w:val="3"/>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纳税人识别号</w:t>
            </w:r>
          </w:p>
        </w:tc>
        <w:tc>
          <w:tcPr>
            <w:tcW w:w="6607" w:type="dxa"/>
            <w:gridSpan w:val="3"/>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地址</w:t>
            </w:r>
          </w:p>
        </w:tc>
        <w:tc>
          <w:tcPr>
            <w:tcW w:w="6607" w:type="dxa"/>
            <w:gridSpan w:val="3"/>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247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开户银行</w:t>
            </w:r>
          </w:p>
          <w:p>
            <w:pPr>
              <w:jc w:val="center"/>
              <w:rPr>
                <w:rFonts w:ascii="宋体" w:hAnsi="宋体" w:cs="宋体"/>
                <w:color w:val="auto"/>
                <w:szCs w:val="21"/>
                <w:highlight w:val="none"/>
              </w:rPr>
            </w:pPr>
            <w:r>
              <w:rPr>
                <w:rFonts w:hint="eastAsia" w:ascii="宋体" w:hAnsi="宋体" w:cs="宋体"/>
                <w:color w:val="auto"/>
                <w:szCs w:val="21"/>
                <w:highlight w:val="none"/>
              </w:rPr>
              <w:t>（具体到XX银行XX支行）</w:t>
            </w:r>
          </w:p>
        </w:tc>
        <w:tc>
          <w:tcPr>
            <w:tcW w:w="3763" w:type="dxa"/>
            <w:vAlign w:val="center"/>
          </w:tcPr>
          <w:p>
            <w:pPr>
              <w:jc w:val="center"/>
              <w:rPr>
                <w:rFonts w:ascii="宋体" w:hAnsi="宋体" w:cs="宋体"/>
                <w:color w:val="auto"/>
                <w:szCs w:val="21"/>
                <w:highlight w:val="none"/>
              </w:rPr>
            </w:pPr>
          </w:p>
        </w:tc>
        <w:tc>
          <w:tcPr>
            <w:tcW w:w="11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联系电话</w:t>
            </w:r>
          </w:p>
        </w:tc>
        <w:tc>
          <w:tcPr>
            <w:tcW w:w="1665"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账    号</w:t>
            </w:r>
          </w:p>
        </w:tc>
        <w:tc>
          <w:tcPr>
            <w:tcW w:w="3763" w:type="dxa"/>
            <w:vAlign w:val="center"/>
          </w:tcPr>
          <w:p>
            <w:pPr>
              <w:jc w:val="center"/>
              <w:rPr>
                <w:rFonts w:ascii="宋体" w:hAnsi="宋体" w:cs="宋体"/>
                <w:color w:val="auto"/>
                <w:szCs w:val="21"/>
                <w:highlight w:val="none"/>
              </w:rPr>
            </w:pPr>
          </w:p>
        </w:tc>
        <w:tc>
          <w:tcPr>
            <w:tcW w:w="11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1665"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078" w:type="dxa"/>
            <w:gridSpan w:val="4"/>
            <w:vAlign w:val="center"/>
          </w:tcPr>
          <w:p>
            <w:pPr>
              <w:rPr>
                <w:rFonts w:ascii="宋体" w:hAnsi="宋体" w:cs="宋体"/>
                <w:b/>
                <w:color w:val="auto"/>
                <w:szCs w:val="21"/>
                <w:highlight w:val="none"/>
              </w:rPr>
            </w:pPr>
            <w:r>
              <w:rPr>
                <w:rFonts w:hint="eastAsia" w:ascii="宋体" w:hAnsi="宋体" w:cs="宋体"/>
                <w:b/>
                <w:color w:val="auto"/>
                <w:szCs w:val="21"/>
                <w:highlight w:val="none"/>
              </w:rPr>
              <w:t>附件：一般纳税人资格认定税务通知书或其他可证明具有该项资格证明文件的复印件。（加盖公章）</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截止日，如我公司未按该要求填写、未提供有效的开票资料、未确认开具发票类型或确认的发票类型有误，则视为开具增值税普通发票。同意采联国际招标采购集团有限公司不予更换发票类型。并愿承担由此引起的一切后果。</w:t>
      </w:r>
    </w:p>
    <w:p>
      <w:pPr>
        <w:spacing w:line="360" w:lineRule="auto"/>
        <w:ind w:firstLine="420" w:firstLineChars="200"/>
        <w:rPr>
          <w:rFonts w:ascii="宋体" w:hAnsi="宋体" w:cs="宋体"/>
          <w:color w:val="auto"/>
          <w:szCs w:val="21"/>
          <w:highlight w:val="none"/>
        </w:rPr>
      </w:pPr>
    </w:p>
    <w:p>
      <w:pPr>
        <w:snapToGrid w:val="0"/>
        <w:spacing w:line="360" w:lineRule="auto"/>
        <w:ind w:left="780" w:right="480"/>
        <w:jc w:val="center"/>
        <w:rPr>
          <w:rFonts w:ascii="宋体" w:hAnsi="宋体" w:cs="宋体"/>
          <w:color w:val="auto"/>
          <w:szCs w:val="21"/>
          <w:highlight w:val="none"/>
        </w:rPr>
      </w:pPr>
      <w:r>
        <w:rPr>
          <w:rFonts w:hint="eastAsia" w:ascii="宋体" w:hAnsi="宋体" w:cs="宋体"/>
          <w:color w:val="auto"/>
          <w:szCs w:val="21"/>
          <w:highlight w:val="none"/>
        </w:rPr>
        <w:t>投标人名称（单位盖</w:t>
      </w:r>
      <w:r>
        <w:rPr>
          <w:rFonts w:hint="eastAsia" w:ascii="宋体" w:hAnsi="宋体" w:cs="宋体"/>
          <w:color w:val="auto"/>
          <w:spacing w:val="4"/>
          <w:szCs w:val="21"/>
          <w:highlight w:val="none"/>
        </w:rPr>
        <w:t>公章</w:t>
      </w:r>
      <w:r>
        <w:rPr>
          <w:rFonts w:hint="eastAsia" w:ascii="宋体" w:hAnsi="宋体" w:cs="宋体"/>
          <w:color w:val="auto"/>
          <w:szCs w:val="21"/>
          <w:highlight w:val="none"/>
        </w:rPr>
        <w:t>）：</w:t>
      </w:r>
    </w:p>
    <w:p>
      <w:pPr>
        <w:snapToGrid w:val="0"/>
        <w:spacing w:line="360" w:lineRule="auto"/>
        <w:ind w:left="780" w:right="480"/>
        <w:jc w:val="center"/>
        <w:rPr>
          <w:rFonts w:ascii="宋体" w:hAnsi="宋体" w:cs="宋体"/>
          <w:color w:val="auto"/>
          <w:szCs w:val="21"/>
          <w:highlight w:val="none"/>
        </w:rPr>
      </w:pPr>
      <w:r>
        <w:rPr>
          <w:rFonts w:hint="eastAsia" w:ascii="宋体" w:hAnsi="宋体" w:cs="宋体"/>
          <w:color w:val="auto"/>
          <w:szCs w:val="21"/>
          <w:highlight w:val="none"/>
        </w:rPr>
        <w:t xml:space="preserve">              投标人地址： </w:t>
      </w:r>
    </w:p>
    <w:p>
      <w:pPr>
        <w:spacing w:line="360" w:lineRule="auto"/>
        <w:rPr>
          <w:color w:val="auto"/>
          <w:highlight w:val="none"/>
        </w:rPr>
      </w:pPr>
      <w:r>
        <w:rPr>
          <w:rFonts w:hint="eastAsia"/>
          <w:color w:val="auto"/>
          <w:highlight w:val="none"/>
        </w:rPr>
        <w:br w:type="page"/>
      </w:r>
    </w:p>
    <w:bookmarkEnd w:id="132"/>
    <w:bookmarkEnd w:id="133"/>
    <w:bookmarkEnd w:id="134"/>
    <w:bookmarkEnd w:id="135"/>
    <w:bookmarkEnd w:id="137"/>
    <w:p>
      <w:pPr>
        <w:pStyle w:val="3"/>
        <w:jc w:val="center"/>
        <w:rPr>
          <w:rFonts w:asciiTheme="majorEastAsia" w:hAnsiTheme="majorEastAsia" w:eastAsiaTheme="majorEastAsia" w:cstheme="majorEastAsia"/>
          <w:color w:val="auto"/>
          <w:sz w:val="32"/>
          <w:szCs w:val="32"/>
          <w:highlight w:val="none"/>
        </w:rPr>
      </w:pPr>
      <w:bookmarkStart w:id="138" w:name="_Toc30339"/>
      <w:bookmarkStart w:id="139" w:name="_Toc5615_WPSOffice_Level1"/>
      <w:bookmarkStart w:id="140" w:name="_Toc438223135"/>
      <w:bookmarkStart w:id="141" w:name="_Toc8307307"/>
      <w:bookmarkStart w:id="142" w:name="_Toc4723"/>
      <w:bookmarkStart w:id="143" w:name="_Toc435516649"/>
      <w:bookmarkStart w:id="144" w:name="_Toc13635"/>
      <w:bookmarkStart w:id="145" w:name="_Toc435174932"/>
      <w:r>
        <w:rPr>
          <w:rFonts w:hint="eastAsia" w:asciiTheme="majorEastAsia" w:hAnsiTheme="majorEastAsia" w:eastAsiaTheme="majorEastAsia" w:cstheme="majorEastAsia"/>
          <w:color w:val="auto"/>
          <w:sz w:val="32"/>
          <w:szCs w:val="32"/>
          <w:highlight w:val="none"/>
        </w:rPr>
        <w:t>第七章 投标人须知</w:t>
      </w:r>
      <w:bookmarkEnd w:id="138"/>
      <w:bookmarkEnd w:id="139"/>
      <w:bookmarkEnd w:id="140"/>
      <w:bookmarkEnd w:id="141"/>
      <w:bookmarkEnd w:id="142"/>
      <w:bookmarkEnd w:id="143"/>
      <w:bookmarkEnd w:id="144"/>
      <w:bookmarkEnd w:id="145"/>
    </w:p>
    <w:p>
      <w:pPr>
        <w:pStyle w:val="4"/>
        <w:numPr>
          <w:ilvl w:val="0"/>
          <w:numId w:val="26"/>
        </w:numPr>
        <w:spacing w:line="240" w:lineRule="auto"/>
        <w:jc w:val="center"/>
        <w:rPr>
          <w:rFonts w:asciiTheme="majorEastAsia" w:hAnsiTheme="majorEastAsia" w:eastAsiaTheme="majorEastAsia"/>
          <w:color w:val="auto"/>
          <w:sz w:val="30"/>
          <w:szCs w:val="30"/>
          <w:highlight w:val="none"/>
        </w:rPr>
      </w:pPr>
      <w:bookmarkStart w:id="146" w:name="_Toc5749"/>
      <w:bookmarkStart w:id="147" w:name="_Toc435516650"/>
      <w:bookmarkStart w:id="148" w:name="_Toc438223136"/>
      <w:bookmarkStart w:id="149" w:name="_Toc435174933"/>
      <w:bookmarkStart w:id="150" w:name="_Toc1658"/>
      <w:r>
        <w:rPr>
          <w:rFonts w:asciiTheme="majorEastAsia" w:hAnsiTheme="majorEastAsia" w:eastAsiaTheme="majorEastAsia"/>
          <w:color w:val="auto"/>
          <w:sz w:val="30"/>
          <w:szCs w:val="30"/>
          <w:highlight w:val="none"/>
          <w:lang w:eastAsia="zh-TW"/>
        </w:rPr>
        <w:t>说 明</w:t>
      </w:r>
      <w:bookmarkEnd w:id="146"/>
      <w:bookmarkEnd w:id="147"/>
      <w:bookmarkEnd w:id="148"/>
      <w:bookmarkEnd w:id="149"/>
      <w:bookmarkEnd w:id="150"/>
      <w:bookmarkStart w:id="151" w:name="_Toc292267791"/>
    </w:p>
    <w:bookmarkEnd w:id="151"/>
    <w:p>
      <w:pPr>
        <w:numPr>
          <w:ilvl w:val="0"/>
          <w:numId w:val="27"/>
        </w:numPr>
        <w:autoSpaceDE w:val="0"/>
        <w:autoSpaceDN w:val="0"/>
        <w:adjustRightInd w:val="0"/>
        <w:snapToGrid w:val="0"/>
        <w:spacing w:line="360" w:lineRule="auto"/>
        <w:outlineLvl w:val="2"/>
        <w:rPr>
          <w:rFonts w:ascii="宋体" w:hAnsi="宋体"/>
          <w:b/>
          <w:bCs/>
          <w:color w:val="auto"/>
          <w:szCs w:val="21"/>
          <w:highlight w:val="none"/>
        </w:rPr>
      </w:pPr>
      <w:bookmarkStart w:id="152" w:name="_Toc23054"/>
      <w:r>
        <w:rPr>
          <w:rFonts w:hint="eastAsia" w:ascii="宋体" w:hAnsi="宋体"/>
          <w:b/>
          <w:bCs/>
          <w:color w:val="auto"/>
          <w:szCs w:val="21"/>
          <w:highlight w:val="none"/>
        </w:rPr>
        <w:t>适用范围</w:t>
      </w:r>
      <w:bookmarkEnd w:id="152"/>
    </w:p>
    <w:p>
      <w:pPr>
        <w:numPr>
          <w:ilvl w:val="1"/>
          <w:numId w:val="27"/>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本招标文件适用于本投标邀请中所述采购项目。</w:t>
      </w:r>
    </w:p>
    <w:p>
      <w:pPr>
        <w:numPr>
          <w:ilvl w:val="0"/>
          <w:numId w:val="27"/>
        </w:numPr>
        <w:autoSpaceDE w:val="0"/>
        <w:autoSpaceDN w:val="0"/>
        <w:adjustRightInd w:val="0"/>
        <w:snapToGrid w:val="0"/>
        <w:spacing w:line="360" w:lineRule="auto"/>
        <w:ind w:left="449" w:hanging="449" w:hangingChars="213"/>
        <w:outlineLvl w:val="2"/>
        <w:rPr>
          <w:rFonts w:ascii="宋体" w:hAnsi="宋体"/>
          <w:b/>
          <w:bCs/>
          <w:strike/>
          <w:color w:val="auto"/>
          <w:szCs w:val="21"/>
          <w:highlight w:val="none"/>
        </w:rPr>
      </w:pPr>
      <w:bookmarkStart w:id="153" w:name="_Toc28379"/>
      <w:r>
        <w:rPr>
          <w:rFonts w:hint="eastAsia" w:ascii="宋体" w:hAnsi="宋体"/>
          <w:b/>
          <w:color w:val="auto"/>
          <w:szCs w:val="21"/>
          <w:highlight w:val="none"/>
        </w:rPr>
        <w:t>定义</w:t>
      </w:r>
      <w:bookmarkEnd w:id="153"/>
    </w:p>
    <w:p>
      <w:pPr>
        <w:numPr>
          <w:ilvl w:val="1"/>
          <w:numId w:val="2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采购人指各级</w:t>
      </w:r>
      <w:r>
        <w:rPr>
          <w:rFonts w:ascii="宋体" w:hAnsi="宋体"/>
          <w:color w:val="auto"/>
          <w:szCs w:val="21"/>
          <w:highlight w:val="none"/>
        </w:rPr>
        <w:t>国家机关、事业单位和团体组织</w:t>
      </w:r>
      <w:r>
        <w:rPr>
          <w:rFonts w:hint="eastAsia" w:ascii="宋体" w:hAnsi="宋体"/>
          <w:color w:val="auto"/>
          <w:szCs w:val="21"/>
          <w:highlight w:val="none"/>
        </w:rPr>
        <w:t>。</w:t>
      </w:r>
      <w:r>
        <w:rPr>
          <w:rFonts w:hint="eastAsia" w:ascii="宋体" w:hAnsi="宋体" w:cs="宋体"/>
          <w:color w:val="auto"/>
          <w:szCs w:val="21"/>
          <w:highlight w:val="none"/>
          <w:lang w:eastAsia="zh-TW"/>
        </w:rPr>
        <w:t>本招标文件第</w:t>
      </w:r>
      <w:r>
        <w:rPr>
          <w:rFonts w:hint="eastAsia" w:ascii="宋体" w:hAnsi="宋体" w:cs="宋体"/>
          <w:color w:val="auto"/>
          <w:szCs w:val="21"/>
          <w:highlight w:val="none"/>
        </w:rPr>
        <w:t>二</w:t>
      </w:r>
      <w:r>
        <w:rPr>
          <w:rFonts w:hint="eastAsia" w:ascii="宋体" w:hAnsi="宋体" w:cs="宋体"/>
          <w:color w:val="auto"/>
          <w:szCs w:val="21"/>
          <w:highlight w:val="none"/>
          <w:lang w:eastAsia="zh-TW"/>
        </w:rPr>
        <w:t>章</w:t>
      </w:r>
      <w:r>
        <w:rPr>
          <w:rFonts w:hint="eastAsia" w:ascii="宋体" w:hAnsi="宋体" w:cs="黑体"/>
          <w:b/>
          <w:color w:val="auto"/>
          <w:szCs w:val="21"/>
          <w:highlight w:val="none"/>
          <w:lang w:eastAsia="zh-TW"/>
        </w:rPr>
        <w:t>投标资料表</w:t>
      </w:r>
      <w:r>
        <w:rPr>
          <w:rFonts w:hint="eastAsia" w:ascii="宋体" w:hAnsi="宋体" w:cs="宋体"/>
          <w:color w:val="auto"/>
          <w:szCs w:val="21"/>
          <w:highlight w:val="none"/>
          <w:lang w:eastAsia="zh-TW"/>
        </w:rPr>
        <w:t>中所述的采购人已拥有一笔</w:t>
      </w: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r>
        <w:rPr>
          <w:rFonts w:hint="eastAsia" w:ascii="宋体" w:hAnsi="宋体" w:cs="宋体"/>
          <w:color w:val="auto"/>
          <w:szCs w:val="21"/>
          <w:highlight w:val="none"/>
        </w:rPr>
        <w:t>或资金来源已落实</w:t>
      </w:r>
      <w:r>
        <w:rPr>
          <w:rFonts w:hint="eastAsia" w:ascii="宋体" w:hAnsi="宋体" w:cs="宋体"/>
          <w:color w:val="auto"/>
          <w:szCs w:val="21"/>
          <w:highlight w:val="none"/>
          <w:lang w:eastAsia="zh-TW"/>
        </w:rPr>
        <w:t>。采购人计划将一部分</w:t>
      </w:r>
      <w:r>
        <w:rPr>
          <w:rFonts w:hint="eastAsia" w:ascii="宋体" w:hAnsi="宋体" w:cs="宋体"/>
          <w:color w:val="auto"/>
          <w:szCs w:val="21"/>
          <w:highlight w:val="none"/>
        </w:rPr>
        <w:t>或全部</w:t>
      </w:r>
      <w:r>
        <w:rPr>
          <w:rFonts w:hint="eastAsia" w:ascii="宋体" w:hAnsi="宋体" w:cs="宋体"/>
          <w:color w:val="auto"/>
          <w:szCs w:val="21"/>
          <w:highlight w:val="none"/>
          <w:lang w:eastAsia="zh-TW"/>
        </w:rPr>
        <w:t>资金用于支付本次</w:t>
      </w:r>
      <w:r>
        <w:rPr>
          <w:rFonts w:hint="eastAsia" w:ascii="宋体" w:hAnsi="宋体" w:cs="宋体"/>
          <w:color w:val="auto"/>
          <w:szCs w:val="21"/>
          <w:highlight w:val="none"/>
        </w:rPr>
        <w:t>采购</w:t>
      </w:r>
      <w:r>
        <w:rPr>
          <w:rFonts w:hint="eastAsia" w:ascii="宋体" w:hAnsi="宋体" w:cs="宋体"/>
          <w:color w:val="auto"/>
          <w:szCs w:val="21"/>
          <w:highlight w:val="none"/>
          <w:lang w:eastAsia="zh-TW"/>
        </w:rPr>
        <w:t>后所签订合同项下的款项</w:t>
      </w:r>
      <w:r>
        <w:rPr>
          <w:rFonts w:hint="eastAsia" w:ascii="宋体" w:hAnsi="宋体" w:cs="宋体"/>
          <w:color w:val="auto"/>
          <w:szCs w:val="21"/>
          <w:highlight w:val="none"/>
        </w:rPr>
        <w:t>。</w:t>
      </w:r>
    </w:p>
    <w:p>
      <w:pPr>
        <w:numPr>
          <w:ilvl w:val="1"/>
          <w:numId w:val="27"/>
        </w:numPr>
        <w:autoSpaceDE w:val="0"/>
        <w:autoSpaceDN w:val="0"/>
        <w:adjustRightInd w:val="0"/>
        <w:snapToGrid w:val="0"/>
        <w:spacing w:line="360" w:lineRule="auto"/>
        <w:rPr>
          <w:rFonts w:ascii="宋体" w:hAnsi="宋体"/>
          <w:strike/>
          <w:color w:val="auto"/>
          <w:szCs w:val="21"/>
          <w:highlight w:val="none"/>
        </w:rPr>
      </w:pPr>
      <w:r>
        <w:rPr>
          <w:rFonts w:hint="eastAsia" w:ascii="宋体" w:hAnsi="宋体"/>
          <w:color w:val="auto"/>
          <w:szCs w:val="21"/>
          <w:highlight w:val="none"/>
        </w:rPr>
        <w:t>采购代理机构指按照规定办理注册登记并通过审核的代理机构。</w:t>
      </w:r>
    </w:p>
    <w:p>
      <w:pPr>
        <w:numPr>
          <w:ilvl w:val="1"/>
          <w:numId w:val="2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供应商是指向采购人提供货物、工程或者服务的法人、其他组织或者自然人。</w:t>
      </w:r>
    </w:p>
    <w:p>
      <w:pPr>
        <w:numPr>
          <w:ilvl w:val="1"/>
          <w:numId w:val="2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投标人是指响应招标、参加投标竞争的法人、其他组织或者自然人。</w:t>
      </w:r>
    </w:p>
    <w:p>
      <w:pPr>
        <w:numPr>
          <w:ilvl w:val="1"/>
          <w:numId w:val="2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中标人是指经法定程序确定并授予合同的投标人。</w:t>
      </w:r>
    </w:p>
    <w:p>
      <w:pPr>
        <w:numPr>
          <w:ilvl w:val="0"/>
          <w:numId w:val="27"/>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54" w:name="_Toc4681"/>
      <w:r>
        <w:rPr>
          <w:rFonts w:hint="eastAsia" w:ascii="宋体" w:hAnsi="宋体"/>
          <w:b/>
          <w:bCs/>
          <w:color w:val="auto"/>
          <w:szCs w:val="21"/>
          <w:highlight w:val="none"/>
        </w:rPr>
        <w:t>合格的货物和服务</w:t>
      </w:r>
      <w:bookmarkEnd w:id="154"/>
    </w:p>
    <w:p>
      <w:pPr>
        <w:numPr>
          <w:ilvl w:val="1"/>
          <w:numId w:val="27"/>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2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“服务”是指除货物和工程以外的其他采购对象，其中包括：投标人须承担的运输、安装、技术支持、培训以及招标文件规定的其它服务。</w:t>
      </w:r>
    </w:p>
    <w:p>
      <w:pPr>
        <w:numPr>
          <w:ilvl w:val="1"/>
          <w:numId w:val="2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numPr>
          <w:ilvl w:val="1"/>
          <w:numId w:val="2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若所投产品属于政府强制采购节能产品的，则投标人必须提供该产品国家强制性节能产品进行响应，并提供强制性节能产品认证证书，否则视为无效投标。</w:t>
      </w:r>
    </w:p>
    <w:p>
      <w:pPr>
        <w:numPr>
          <w:ilvl w:val="0"/>
          <w:numId w:val="27"/>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55" w:name="_Toc4403"/>
      <w:r>
        <w:rPr>
          <w:rFonts w:hint="eastAsia" w:ascii="宋体" w:hAnsi="宋体"/>
          <w:b/>
          <w:bCs/>
          <w:color w:val="auto"/>
          <w:szCs w:val="21"/>
          <w:highlight w:val="none"/>
        </w:rPr>
        <w:t>投标费用</w:t>
      </w:r>
      <w:bookmarkEnd w:id="155"/>
    </w:p>
    <w:p>
      <w:pPr>
        <w:numPr>
          <w:ilvl w:val="1"/>
          <w:numId w:val="27"/>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投标人应承担所有与准备和参加投标有关的费用。不论投标的结果如何</w:t>
      </w:r>
      <w:r>
        <w:rPr>
          <w:rFonts w:hint="eastAsia" w:ascii="宋体" w:hAnsi="宋体" w:cs="宋体"/>
          <w:color w:val="auto"/>
          <w:szCs w:val="21"/>
          <w:highlight w:val="none"/>
        </w:rPr>
        <w:t>，</w:t>
      </w:r>
      <w:r>
        <w:rPr>
          <w:rFonts w:hint="eastAsia" w:ascii="宋体" w:hAnsi="宋体" w:cs="宋体"/>
          <w:color w:val="auto"/>
          <w:szCs w:val="21"/>
          <w:highlight w:val="none"/>
          <w:lang w:eastAsia="zh-TW"/>
        </w:rPr>
        <w:t>采购人或者采购代理机构均无义务和责任承担这些费用</w:t>
      </w:r>
      <w:r>
        <w:rPr>
          <w:rFonts w:hint="eastAsia" w:ascii="宋体" w:hAnsi="宋体" w:cs="宋体"/>
          <w:color w:val="auto"/>
          <w:szCs w:val="21"/>
          <w:highlight w:val="none"/>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56" w:name="_Toc27847"/>
      <w:r>
        <w:rPr>
          <w:rFonts w:hint="eastAsia" w:ascii="宋体" w:hAnsi="宋体"/>
          <w:b/>
          <w:bCs/>
          <w:color w:val="auto"/>
          <w:szCs w:val="21"/>
          <w:highlight w:val="none"/>
        </w:rPr>
        <w:t>其他</w:t>
      </w:r>
      <w:bookmarkEnd w:id="156"/>
    </w:p>
    <w:p>
      <w:pPr>
        <w:numPr>
          <w:ilvl w:val="1"/>
          <w:numId w:val="27"/>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所有时间均为24小时制北京时间，所有货币单位均为人民币元，所使用的计量单位均以《中华人民共和国法定计量单位》为准（特别注明除外）</w:t>
      </w:r>
      <w:r>
        <w:rPr>
          <w:rFonts w:hint="eastAsia" w:ascii="宋体" w:hAnsi="宋体" w:cs="宋体"/>
          <w:color w:val="auto"/>
          <w:szCs w:val="21"/>
          <w:highlight w:val="none"/>
        </w:rPr>
        <w:t>。</w:t>
      </w:r>
    </w:p>
    <w:p>
      <w:pPr>
        <w:numPr>
          <w:ilvl w:val="1"/>
          <w:numId w:val="27"/>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供应商（投标人）向我司咨询的有关项目事项，一切以法律法规的规定和本公司书面答复为准，其他一切形式均为个人意见，不代表本公司的意见。</w:t>
      </w:r>
    </w:p>
    <w:p>
      <w:pPr>
        <w:numPr>
          <w:ilvl w:val="1"/>
          <w:numId w:val="27"/>
        </w:numPr>
        <w:adjustRightInd w:val="0"/>
        <w:snapToGrid w:val="0"/>
        <w:spacing w:line="360" w:lineRule="auto"/>
        <w:rPr>
          <w:rFonts w:cs="宋体" w:asciiTheme="minorEastAsia" w:hAnsiTheme="minorEastAsia" w:eastAsiaTheme="minorEastAsia"/>
          <w:bCs/>
          <w:color w:val="auto"/>
          <w:szCs w:val="21"/>
          <w:highlight w:val="none"/>
        </w:rPr>
      </w:pPr>
      <w:bookmarkStart w:id="157"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158" w:name="_Hlk21591509"/>
      <w:r>
        <w:rPr>
          <w:rFonts w:hint="eastAsia" w:asciiTheme="minorEastAsia" w:hAnsiTheme="minorEastAsia" w:eastAsiaTheme="minorEastAsia"/>
          <w:color w:val="auto"/>
          <w:szCs w:val="21"/>
          <w:highlight w:val="none"/>
        </w:rPr>
        <w:t>供应商限制参与采购</w:t>
      </w:r>
      <w:bookmarkEnd w:id="158"/>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45"/>
          <w:rFonts w:asciiTheme="minorEastAsia" w:hAnsiTheme="minorEastAsia" w:eastAsiaTheme="minorEastAsia"/>
          <w:color w:val="auto"/>
          <w:sz w:val="21"/>
          <w:szCs w:val="21"/>
          <w:highlight w:val="none"/>
        </w:rPr>
        <w:t>www.creditchina.gov.cn</w:t>
      </w:r>
      <w:r>
        <w:rPr>
          <w:rStyle w:val="45"/>
          <w:rFonts w:asciiTheme="minorEastAsia" w:hAnsiTheme="minorEastAsia" w:eastAsiaTheme="minorEastAsia"/>
          <w:color w:val="auto"/>
          <w:sz w:val="21"/>
          <w:szCs w:val="21"/>
          <w:highlight w:val="none"/>
        </w:rPr>
        <w:fldChar w:fldCharType="end"/>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w:t>
      </w:r>
      <w:r>
        <w:rPr>
          <w:rFonts w:asciiTheme="minorEastAsia" w:hAnsiTheme="minorEastAsia" w:eastAsiaTheme="minorEastAsia"/>
          <w:color w:val="auto"/>
          <w:szCs w:val="21"/>
          <w:highlight w:val="none"/>
        </w:rPr>
        <w:t>重大税收违法案件当事人名单（税收违法黑名单）</w:t>
      </w:r>
      <w:r>
        <w:rPr>
          <w:rFonts w:hint="eastAsia" w:asciiTheme="minorEastAsia" w:hAnsiTheme="minorEastAsia" w:eastAsiaTheme="minorEastAsia"/>
          <w:color w:val="auto"/>
          <w:szCs w:val="21"/>
          <w:highlight w:val="none"/>
        </w:rPr>
        <w:t>；③政府采购严重违法失信行为。</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157"/>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。由采购代理机构对信用信息查询记录和证据截图或下载存档，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pPr>
        <w:pStyle w:val="4"/>
        <w:numPr>
          <w:ilvl w:val="0"/>
          <w:numId w:val="26"/>
        </w:numPr>
        <w:spacing w:line="240" w:lineRule="auto"/>
        <w:jc w:val="center"/>
        <w:rPr>
          <w:rFonts w:asciiTheme="majorEastAsia" w:hAnsiTheme="majorEastAsia" w:eastAsiaTheme="majorEastAsia"/>
          <w:color w:val="auto"/>
          <w:sz w:val="30"/>
          <w:szCs w:val="30"/>
          <w:highlight w:val="none"/>
          <w:lang w:eastAsia="zh-TW"/>
        </w:rPr>
      </w:pPr>
      <w:bookmarkStart w:id="159" w:name="_Toc435516651"/>
      <w:bookmarkStart w:id="160" w:name="_Toc21826"/>
      <w:bookmarkStart w:id="161" w:name="_Toc4540"/>
      <w:bookmarkStart w:id="162" w:name="_Toc438223137"/>
      <w:bookmarkStart w:id="163" w:name="_Toc435174934"/>
      <w:r>
        <w:rPr>
          <w:rFonts w:hint="eastAsia" w:asciiTheme="majorEastAsia" w:hAnsiTheme="majorEastAsia" w:eastAsiaTheme="majorEastAsia"/>
          <w:color w:val="auto"/>
          <w:sz w:val="30"/>
          <w:szCs w:val="30"/>
          <w:highlight w:val="none"/>
          <w:lang w:eastAsia="zh-TW"/>
        </w:rPr>
        <w:t>招标文件</w:t>
      </w:r>
      <w:bookmarkEnd w:id="159"/>
      <w:bookmarkEnd w:id="160"/>
      <w:bookmarkEnd w:id="161"/>
      <w:bookmarkEnd w:id="162"/>
      <w:bookmarkEnd w:id="163"/>
    </w:p>
    <w:p>
      <w:pPr>
        <w:numPr>
          <w:ilvl w:val="0"/>
          <w:numId w:val="27"/>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64" w:name="_Toc23967"/>
      <w:r>
        <w:rPr>
          <w:rFonts w:hint="eastAsia" w:ascii="宋体" w:hAnsi="宋体"/>
          <w:b/>
          <w:bCs/>
          <w:color w:val="auto"/>
          <w:szCs w:val="21"/>
          <w:highlight w:val="none"/>
        </w:rPr>
        <w:t>招标文件的构成</w:t>
      </w:r>
      <w:bookmarkEnd w:id="164"/>
    </w:p>
    <w:p>
      <w:pPr>
        <w:numPr>
          <w:ilvl w:val="1"/>
          <w:numId w:val="27"/>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招标文件以中文文字编写。招标文件共</w:t>
      </w:r>
      <w:r>
        <w:rPr>
          <w:rFonts w:hint="eastAsia" w:ascii="宋体" w:hAnsi="宋体" w:cs="宋体"/>
          <w:color w:val="auto"/>
          <w:szCs w:val="21"/>
          <w:highlight w:val="none"/>
        </w:rPr>
        <w:t>七</w:t>
      </w:r>
      <w:r>
        <w:rPr>
          <w:rFonts w:hint="eastAsia" w:ascii="宋体" w:hAnsi="宋体" w:cs="宋体"/>
          <w:color w:val="auto"/>
          <w:szCs w:val="21"/>
          <w:highlight w:val="none"/>
          <w:lang w:eastAsia="zh-TW"/>
        </w:rPr>
        <w:t>章。</w:t>
      </w:r>
      <w:r>
        <w:rPr>
          <w:rFonts w:hint="eastAsia" w:ascii="宋体" w:hAnsi="宋体" w:cs="宋体"/>
          <w:color w:val="auto"/>
          <w:szCs w:val="21"/>
          <w:highlight w:val="none"/>
        </w:rPr>
        <w:t>由下列文件以及在招标过程中发出的澄清、修改和补充文件组成，</w:t>
      </w:r>
      <w:r>
        <w:rPr>
          <w:rFonts w:hint="eastAsia" w:ascii="宋体" w:hAnsi="宋体" w:cs="宋体"/>
          <w:color w:val="auto"/>
          <w:szCs w:val="21"/>
          <w:highlight w:val="none"/>
          <w:lang w:eastAsia="zh-TW"/>
        </w:rPr>
        <w:t>内容如下</w:t>
      </w:r>
      <w:r>
        <w:rPr>
          <w:rFonts w:hint="eastAsia" w:ascii="宋体" w:hAnsi="宋体" w:cs="宋体"/>
          <w:color w:val="auto"/>
          <w:szCs w:val="21"/>
          <w:highlight w:val="none"/>
        </w:rPr>
        <w:t>：</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第一章</w:t>
      </w:r>
      <w:r>
        <w:rPr>
          <w:rFonts w:hint="eastAsia" w:ascii="宋体" w:hAnsi="宋体" w:cs="宋体"/>
          <w:color w:val="auto"/>
          <w:szCs w:val="21"/>
          <w:highlight w:val="none"/>
        </w:rPr>
        <w:t>　</w:t>
      </w:r>
      <w:r>
        <w:rPr>
          <w:rFonts w:hint="eastAsia" w:ascii="宋体" w:hAnsi="宋体" w:cs="宋体"/>
          <w:color w:val="auto"/>
          <w:szCs w:val="21"/>
          <w:highlight w:val="none"/>
          <w:lang w:eastAsia="zh-TW"/>
        </w:rPr>
        <w:t>投标邀请</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第二章</w:t>
      </w:r>
      <w:r>
        <w:rPr>
          <w:rFonts w:hint="eastAsia" w:ascii="宋体" w:hAnsi="宋体" w:cs="宋体"/>
          <w:color w:val="auto"/>
          <w:szCs w:val="21"/>
          <w:highlight w:val="none"/>
        </w:rPr>
        <w:t>　</w:t>
      </w:r>
      <w:r>
        <w:rPr>
          <w:rFonts w:hint="eastAsia" w:ascii="宋体" w:hAnsi="宋体" w:cs="宋体"/>
          <w:color w:val="auto"/>
          <w:szCs w:val="21"/>
          <w:highlight w:val="none"/>
          <w:lang w:eastAsia="zh-TW"/>
        </w:rPr>
        <w:t>投标资料表</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w:t>
      </w:r>
      <w:r>
        <w:rPr>
          <w:rFonts w:hint="eastAsia" w:ascii="宋体" w:hAnsi="宋体" w:cs="宋体"/>
          <w:color w:val="auto"/>
          <w:szCs w:val="21"/>
          <w:highlight w:val="none"/>
        </w:rPr>
        <w:t>　</w:t>
      </w:r>
      <w:r>
        <w:rPr>
          <w:rFonts w:hint="eastAsia" w:ascii="宋体" w:hAnsi="宋体" w:cs="宋体"/>
          <w:color w:val="auto"/>
          <w:szCs w:val="21"/>
          <w:highlight w:val="none"/>
          <w:lang w:eastAsia="zh-TW"/>
        </w:rPr>
        <w:t>用户需求书</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w:t>
      </w:r>
      <w:r>
        <w:rPr>
          <w:rFonts w:hint="eastAsia" w:ascii="宋体" w:hAnsi="宋体" w:cs="宋体"/>
          <w:color w:val="auto"/>
          <w:szCs w:val="21"/>
          <w:highlight w:val="none"/>
        </w:rPr>
        <w:t>四</w:t>
      </w:r>
      <w:r>
        <w:rPr>
          <w:rFonts w:hint="eastAsia" w:ascii="宋体" w:hAnsi="宋体" w:cs="宋体"/>
          <w:color w:val="auto"/>
          <w:szCs w:val="21"/>
          <w:highlight w:val="none"/>
          <w:lang w:eastAsia="zh-TW"/>
        </w:rPr>
        <w:t>章</w:t>
      </w:r>
      <w:r>
        <w:rPr>
          <w:rFonts w:hint="eastAsia" w:ascii="宋体" w:hAnsi="宋体" w:cs="宋体"/>
          <w:color w:val="auto"/>
          <w:szCs w:val="21"/>
          <w:highlight w:val="none"/>
        </w:rPr>
        <w:t>　开标、评标、定标</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w:t>
      </w:r>
      <w:r>
        <w:rPr>
          <w:rFonts w:hint="eastAsia" w:ascii="宋体" w:hAnsi="宋体" w:cs="宋体"/>
          <w:color w:val="auto"/>
          <w:szCs w:val="21"/>
          <w:highlight w:val="none"/>
        </w:rPr>
        <w:t>五</w:t>
      </w:r>
      <w:r>
        <w:rPr>
          <w:rFonts w:hint="eastAsia" w:ascii="宋体" w:hAnsi="宋体" w:cs="宋体"/>
          <w:color w:val="auto"/>
          <w:szCs w:val="21"/>
          <w:highlight w:val="none"/>
          <w:lang w:eastAsia="zh-TW"/>
        </w:rPr>
        <w:t>章</w:t>
      </w:r>
      <w:r>
        <w:rPr>
          <w:rFonts w:hint="eastAsia" w:ascii="宋体" w:hAnsi="宋体" w:cs="宋体"/>
          <w:color w:val="auto"/>
          <w:szCs w:val="21"/>
          <w:highlight w:val="none"/>
        </w:rPr>
        <w:t>　</w:t>
      </w:r>
      <w:r>
        <w:rPr>
          <w:rFonts w:hint="eastAsia" w:ascii="宋体" w:hAnsi="宋体" w:cs="宋体"/>
          <w:color w:val="auto"/>
          <w:szCs w:val="21"/>
          <w:highlight w:val="none"/>
          <w:lang w:eastAsia="zh-TW"/>
        </w:rPr>
        <w:t>合同</w:t>
      </w:r>
      <w:r>
        <w:rPr>
          <w:rFonts w:hint="eastAsia" w:ascii="宋体" w:hAnsi="宋体" w:cs="宋体"/>
          <w:color w:val="auto"/>
          <w:szCs w:val="21"/>
          <w:highlight w:val="none"/>
        </w:rPr>
        <w:t>文本</w:t>
      </w:r>
    </w:p>
    <w:p>
      <w:pPr>
        <w:snapToGrid w:val="0"/>
        <w:spacing w:line="360" w:lineRule="auto"/>
        <w:ind w:left="445" w:leftChars="212" w:firstLine="1"/>
        <w:rPr>
          <w:rFonts w:ascii="宋体" w:hAnsi="宋体" w:cs="宋体"/>
          <w:color w:val="auto"/>
          <w:szCs w:val="21"/>
          <w:highlight w:val="none"/>
        </w:rPr>
      </w:pPr>
      <w:r>
        <w:rPr>
          <w:rFonts w:hint="eastAsia" w:ascii="宋体" w:hAnsi="宋体" w:cs="宋体"/>
          <w:color w:val="auto"/>
          <w:szCs w:val="21"/>
          <w:highlight w:val="none"/>
          <w:lang w:eastAsia="zh-TW"/>
        </w:rPr>
        <w:t>第</w:t>
      </w:r>
      <w:r>
        <w:rPr>
          <w:rFonts w:hint="eastAsia" w:ascii="宋体" w:hAnsi="宋体" w:cs="宋体"/>
          <w:color w:val="auto"/>
          <w:szCs w:val="21"/>
          <w:highlight w:val="none"/>
        </w:rPr>
        <w:t>六</w:t>
      </w:r>
      <w:r>
        <w:rPr>
          <w:rFonts w:hint="eastAsia" w:ascii="宋体" w:hAnsi="宋体" w:cs="宋体"/>
          <w:color w:val="auto"/>
          <w:szCs w:val="21"/>
          <w:highlight w:val="none"/>
          <w:lang w:eastAsia="zh-TW"/>
        </w:rPr>
        <w:t>章</w:t>
      </w:r>
      <w:r>
        <w:rPr>
          <w:rFonts w:hint="eastAsia" w:ascii="宋体" w:hAnsi="宋体" w:cs="宋体"/>
          <w:color w:val="auto"/>
          <w:szCs w:val="21"/>
          <w:highlight w:val="none"/>
        </w:rPr>
        <w:t>　投标文件格式</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rPr>
        <w:t>第七章　</w:t>
      </w:r>
      <w:r>
        <w:rPr>
          <w:rFonts w:hint="eastAsia" w:ascii="宋体" w:hAnsi="宋体" w:cs="宋体"/>
          <w:color w:val="auto"/>
          <w:szCs w:val="21"/>
          <w:highlight w:val="none"/>
          <w:lang w:eastAsia="zh-TW"/>
        </w:rPr>
        <w:t>投标人须知</w:t>
      </w:r>
    </w:p>
    <w:p>
      <w:pPr>
        <w:numPr>
          <w:ilvl w:val="1"/>
          <w:numId w:val="27"/>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w:t>
      </w:r>
      <w:r>
        <w:rPr>
          <w:rFonts w:hint="eastAsia" w:ascii="宋体" w:hAnsi="宋体" w:cs="宋体"/>
          <w:color w:val="auto"/>
          <w:szCs w:val="21"/>
          <w:highlight w:val="none"/>
          <w:lang w:eastAsia="zh-TW"/>
        </w:rPr>
        <w:t>招标文件的解释权归“</w:t>
      </w:r>
      <w:r>
        <w:rPr>
          <w:rFonts w:hint="eastAsia" w:ascii="宋体" w:hAnsi="宋体" w:cs="宋体"/>
          <w:color w:val="auto"/>
          <w:szCs w:val="21"/>
          <w:highlight w:val="none"/>
        </w:rPr>
        <w:t>采联国际招标采购集团有限公司</w:t>
      </w:r>
      <w:r>
        <w:rPr>
          <w:rFonts w:hint="eastAsia" w:ascii="宋体" w:hAnsi="宋体" w:cs="宋体"/>
          <w:color w:val="auto"/>
          <w:szCs w:val="21"/>
          <w:highlight w:val="none"/>
          <w:lang w:eastAsia="zh-TW"/>
        </w:rPr>
        <w:t>”所有。</w:t>
      </w:r>
    </w:p>
    <w:p>
      <w:pPr>
        <w:numPr>
          <w:ilvl w:val="0"/>
          <w:numId w:val="27"/>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65" w:name="_Toc9423"/>
      <w:r>
        <w:rPr>
          <w:rFonts w:hint="eastAsia" w:ascii="宋体" w:hAnsi="宋体"/>
          <w:b/>
          <w:bCs/>
          <w:color w:val="auto"/>
          <w:szCs w:val="21"/>
          <w:highlight w:val="none"/>
        </w:rPr>
        <w:t>招标文件的澄清或修改</w:t>
      </w:r>
      <w:bookmarkEnd w:id="165"/>
    </w:p>
    <w:p>
      <w:pPr>
        <w:numPr>
          <w:ilvl w:val="1"/>
          <w:numId w:val="27"/>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采购人或者采购代理机构可以对已发出的招标文件进行必要的澄清或者修改。澄清或者修改应当在原公告发布媒体上发布澄清</w:t>
      </w:r>
      <w:r>
        <w:rPr>
          <w:rFonts w:hint="eastAsia" w:ascii="宋体" w:hAnsi="宋体"/>
          <w:color w:val="auto"/>
          <w:szCs w:val="21"/>
          <w:highlight w:val="none"/>
        </w:rPr>
        <w:t>（更正/变更）</w:t>
      </w:r>
      <w:r>
        <w:rPr>
          <w:rFonts w:hint="eastAsia" w:ascii="宋体" w:hAnsi="宋体" w:cs="宋体"/>
          <w:color w:val="auto"/>
          <w:szCs w:val="21"/>
          <w:highlight w:val="none"/>
          <w:lang w:eastAsia="zh-TW"/>
        </w:rPr>
        <w:t>公告。</w:t>
      </w:r>
    </w:p>
    <w:p>
      <w:pPr>
        <w:numPr>
          <w:ilvl w:val="1"/>
          <w:numId w:val="27"/>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无论出于何种原因</w:t>
      </w:r>
      <w:r>
        <w:rPr>
          <w:rFonts w:hint="eastAsia" w:ascii="宋体" w:hAnsi="宋体" w:cs="宋体"/>
          <w:color w:val="auto"/>
          <w:szCs w:val="21"/>
          <w:highlight w:val="none"/>
        </w:rPr>
        <w:t>，</w:t>
      </w:r>
      <w:r>
        <w:rPr>
          <w:rFonts w:hint="eastAsia" w:ascii="宋体" w:hAnsi="宋体" w:cs="宋体"/>
          <w:color w:val="auto"/>
          <w:szCs w:val="21"/>
          <w:highlight w:val="none"/>
          <w:lang w:eastAsia="zh-TW"/>
        </w:rPr>
        <w:t>采购人或者采购代理机构可以主动地或在解答投标人提出的疑问时对已发出的招标文件进行必要的</w:t>
      </w:r>
      <w:r>
        <w:rPr>
          <w:rFonts w:hint="eastAsia" w:ascii="宋体" w:hAnsi="宋体"/>
          <w:color w:val="auto"/>
          <w:szCs w:val="21"/>
          <w:highlight w:val="none"/>
        </w:rPr>
        <w:t>澄清或</w:t>
      </w:r>
      <w:r>
        <w:rPr>
          <w:rFonts w:hint="eastAsia" w:ascii="宋体" w:hAnsi="宋体" w:cs="宋体"/>
          <w:color w:val="auto"/>
          <w:szCs w:val="21"/>
          <w:highlight w:val="none"/>
          <w:lang w:eastAsia="zh-TW"/>
        </w:rPr>
        <w:t>修改</w:t>
      </w:r>
      <w:r>
        <w:rPr>
          <w:rFonts w:hint="eastAsia" w:ascii="宋体" w:hAnsi="宋体"/>
          <w:color w:val="auto"/>
          <w:szCs w:val="21"/>
          <w:highlight w:val="none"/>
        </w:rPr>
        <w:t>（更正）</w:t>
      </w:r>
      <w:r>
        <w:rPr>
          <w:rFonts w:hint="eastAsia" w:ascii="宋体" w:hAnsi="宋体" w:cs="宋体"/>
          <w:color w:val="auto"/>
          <w:szCs w:val="21"/>
          <w:highlight w:val="none"/>
        </w:rPr>
        <w:t>的</w:t>
      </w:r>
      <w:r>
        <w:rPr>
          <w:rFonts w:hint="eastAsia" w:ascii="宋体" w:hAnsi="宋体"/>
          <w:color w:val="auto"/>
          <w:szCs w:val="21"/>
          <w:highlight w:val="none"/>
        </w:rPr>
        <w:t>，于投标截止时间前在指定媒体上发布公告，并通知所有报名及购买招标文件的投标</w:t>
      </w:r>
      <w:r>
        <w:rPr>
          <w:rFonts w:hint="eastAsia" w:ascii="宋体" w:hAnsi="宋体" w:cs="宋体"/>
          <w:color w:val="auto"/>
          <w:szCs w:val="21"/>
          <w:highlight w:val="none"/>
        </w:rPr>
        <w:t>人</w:t>
      </w:r>
      <w:r>
        <w:rPr>
          <w:rFonts w:hint="eastAsia" w:ascii="宋体" w:hAnsi="宋体"/>
          <w:color w:val="auto"/>
          <w:szCs w:val="21"/>
          <w:highlight w:val="none"/>
        </w:rPr>
        <w:t>，报名及购买招标文件的投标人在收到澄清或修改（更正）通知后应按要求以书面形式（传真有效）予以确认，</w:t>
      </w:r>
      <w:r>
        <w:rPr>
          <w:rFonts w:hint="eastAsia" w:ascii="宋体" w:hAnsi="宋体" w:cs="宋体"/>
          <w:color w:val="auto"/>
          <w:szCs w:val="21"/>
          <w:highlight w:val="none"/>
          <w:lang w:eastAsia="zh-TW"/>
        </w:rPr>
        <w:t>如在24小时之内无书面回函则视为同意修改内容，并有责任履行相应的义务。</w:t>
      </w:r>
    </w:p>
    <w:p>
      <w:pPr>
        <w:numPr>
          <w:ilvl w:val="1"/>
          <w:numId w:val="27"/>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采购人或者采购代理机构</w:t>
      </w:r>
      <w:r>
        <w:rPr>
          <w:rFonts w:hint="eastAsia" w:ascii="宋体" w:hAnsi="宋体" w:cs="宋体"/>
          <w:color w:val="auto"/>
          <w:szCs w:val="21"/>
          <w:highlight w:val="none"/>
        </w:rPr>
        <w:t>发出的</w:t>
      </w:r>
      <w:r>
        <w:rPr>
          <w:rFonts w:hint="eastAsia" w:ascii="宋体" w:hAnsi="宋体"/>
          <w:color w:val="auto"/>
          <w:szCs w:val="21"/>
          <w:highlight w:val="none"/>
        </w:rPr>
        <w:t>澄清或修改（更正/变更）的内容为招标文件的组成部分，</w:t>
      </w:r>
      <w:r>
        <w:rPr>
          <w:rFonts w:hint="eastAsia" w:ascii="宋体" w:hAnsi="宋体" w:cs="宋体"/>
          <w:color w:val="auto"/>
          <w:szCs w:val="21"/>
          <w:highlight w:val="none"/>
          <w:lang w:eastAsia="zh-TW"/>
        </w:rPr>
        <w:t>并对供应商具有约束力</w:t>
      </w:r>
      <w:r>
        <w:rPr>
          <w:rFonts w:hint="eastAsia" w:ascii="宋体" w:hAnsi="宋体" w:cs="宋体"/>
          <w:color w:val="auto"/>
          <w:szCs w:val="21"/>
          <w:highlight w:val="none"/>
        </w:rPr>
        <w:t>。</w:t>
      </w:r>
    </w:p>
    <w:p>
      <w:pPr>
        <w:numPr>
          <w:ilvl w:val="1"/>
          <w:numId w:val="2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对招标文件中描述有歧意或前后不一致的地方，</w:t>
      </w:r>
      <w:r>
        <w:rPr>
          <w:rFonts w:hint="eastAsia" w:ascii="宋体" w:hAnsi="宋体" w:cs="宋体"/>
          <w:color w:val="auto"/>
          <w:szCs w:val="21"/>
          <w:highlight w:val="none"/>
        </w:rPr>
        <w:t>评审委员会</w:t>
      </w:r>
      <w:r>
        <w:rPr>
          <w:rFonts w:hint="eastAsia" w:ascii="宋体" w:hAnsi="宋体" w:cs="宋体"/>
          <w:color w:val="auto"/>
          <w:szCs w:val="21"/>
          <w:highlight w:val="none"/>
          <w:lang w:eastAsia="zh-TW"/>
        </w:rPr>
        <w:t>有权进行评判</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但对同一条款的评判应适用于每个投标人。</w:t>
      </w:r>
    </w:p>
    <w:p>
      <w:pPr>
        <w:numPr>
          <w:ilvl w:val="0"/>
          <w:numId w:val="27"/>
        </w:numPr>
        <w:autoSpaceDE w:val="0"/>
        <w:autoSpaceDN w:val="0"/>
        <w:adjustRightInd w:val="0"/>
        <w:snapToGrid w:val="0"/>
        <w:spacing w:line="360" w:lineRule="auto"/>
        <w:ind w:left="449" w:hanging="449" w:hangingChars="213"/>
        <w:outlineLvl w:val="2"/>
        <w:rPr>
          <w:rFonts w:ascii="宋体" w:hAnsi="宋体" w:cs="宋体"/>
          <w:color w:val="auto"/>
          <w:szCs w:val="21"/>
          <w:highlight w:val="none"/>
        </w:rPr>
      </w:pPr>
      <w:bookmarkStart w:id="166" w:name="_Toc32090"/>
      <w:r>
        <w:rPr>
          <w:rFonts w:hint="eastAsia" w:ascii="宋体" w:hAnsi="宋体"/>
          <w:b/>
          <w:bCs/>
          <w:color w:val="auto"/>
          <w:szCs w:val="21"/>
          <w:highlight w:val="none"/>
        </w:rPr>
        <w:t>现场考察或者召开开标前答疑会</w:t>
      </w:r>
      <w:bookmarkEnd w:id="166"/>
    </w:p>
    <w:p>
      <w:pPr>
        <w:numPr>
          <w:ilvl w:val="1"/>
          <w:numId w:val="27"/>
        </w:numPr>
        <w:tabs>
          <w:tab w:val="left" w:pos="851"/>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除非</w:t>
      </w:r>
      <w:r>
        <w:rPr>
          <w:rFonts w:hint="eastAsia" w:ascii="宋体" w:hAnsi="宋体" w:cs="黑体"/>
          <w:b/>
          <w:color w:val="auto"/>
          <w:szCs w:val="21"/>
          <w:highlight w:val="none"/>
        </w:rPr>
        <w:t>投标资料表</w:t>
      </w:r>
      <w:r>
        <w:rPr>
          <w:rFonts w:hint="eastAsia" w:ascii="宋体" w:hAnsi="宋体" w:cs="宋体"/>
          <w:color w:val="auto"/>
          <w:szCs w:val="21"/>
          <w:highlight w:val="none"/>
        </w:rPr>
        <w:t>中另有规定，不举行项目</w:t>
      </w:r>
      <w:r>
        <w:rPr>
          <w:rFonts w:hint="eastAsia" w:ascii="宋体" w:hAnsi="宋体"/>
          <w:bCs/>
          <w:color w:val="auto"/>
          <w:szCs w:val="21"/>
          <w:highlight w:val="none"/>
        </w:rPr>
        <w:t>现场考察或者召开开标前答疑会</w:t>
      </w:r>
      <w:r>
        <w:rPr>
          <w:rFonts w:hint="eastAsia" w:ascii="宋体" w:hAnsi="宋体" w:cs="宋体"/>
          <w:color w:val="auto"/>
          <w:szCs w:val="21"/>
          <w:highlight w:val="none"/>
        </w:rPr>
        <w:t>，如举行</w:t>
      </w:r>
      <w:r>
        <w:rPr>
          <w:rFonts w:hint="eastAsia" w:ascii="宋体" w:hAnsi="宋体"/>
          <w:bCs/>
          <w:color w:val="auto"/>
          <w:szCs w:val="21"/>
          <w:highlight w:val="none"/>
        </w:rPr>
        <w:t>现场考察或者召开开标前答疑会</w:t>
      </w:r>
      <w:r>
        <w:rPr>
          <w:rFonts w:hint="eastAsia" w:ascii="宋体" w:hAnsi="宋体" w:cs="宋体"/>
          <w:color w:val="auto"/>
          <w:szCs w:val="21"/>
          <w:highlight w:val="none"/>
        </w:rPr>
        <w:t>的，则按以下规定：</w:t>
      </w:r>
    </w:p>
    <w:p>
      <w:pPr>
        <w:numPr>
          <w:ilvl w:val="2"/>
          <w:numId w:val="27"/>
        </w:numPr>
        <w:tabs>
          <w:tab w:val="left" w:pos="851"/>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在</w:t>
      </w:r>
      <w:r>
        <w:rPr>
          <w:rFonts w:hint="eastAsia" w:ascii="宋体" w:hAnsi="宋体" w:cs="黑体"/>
          <w:color w:val="auto"/>
          <w:szCs w:val="21"/>
          <w:highlight w:val="none"/>
          <w:lang w:eastAsia="zh-TW"/>
        </w:rPr>
        <w:t>投标资料表</w:t>
      </w:r>
      <w:r>
        <w:rPr>
          <w:rFonts w:hint="eastAsia" w:ascii="宋体" w:hAnsi="宋体" w:cs="宋体"/>
          <w:color w:val="auto"/>
          <w:szCs w:val="21"/>
          <w:highlight w:val="none"/>
        </w:rPr>
        <w:t>中规定的日期、时间和地点组织</w:t>
      </w:r>
      <w:r>
        <w:rPr>
          <w:rFonts w:hint="eastAsia" w:ascii="宋体" w:hAnsi="宋体"/>
          <w:bCs/>
          <w:color w:val="auto"/>
          <w:szCs w:val="21"/>
          <w:highlight w:val="none"/>
        </w:rPr>
        <w:t>现场考察或者召开开标前答疑会</w:t>
      </w:r>
      <w:r>
        <w:rPr>
          <w:rFonts w:hint="eastAsia" w:ascii="宋体" w:hAnsi="宋体" w:cs="宋体"/>
          <w:color w:val="auto"/>
          <w:szCs w:val="21"/>
          <w:highlight w:val="none"/>
        </w:rPr>
        <w:t>；</w:t>
      </w:r>
    </w:p>
    <w:p>
      <w:pPr>
        <w:numPr>
          <w:ilvl w:val="2"/>
          <w:numId w:val="27"/>
        </w:numPr>
        <w:tabs>
          <w:tab w:val="left" w:pos="851"/>
        </w:tabs>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rPr>
        <w:t>供应商</w:t>
      </w:r>
      <w:r>
        <w:rPr>
          <w:rFonts w:hint="eastAsia" w:ascii="宋体" w:hAnsi="宋体" w:cs="宋体"/>
          <w:color w:val="auto"/>
          <w:szCs w:val="21"/>
          <w:highlight w:val="none"/>
          <w:lang w:eastAsia="zh-TW"/>
        </w:rPr>
        <w:t>对本项目提出的疑问，</w:t>
      </w:r>
      <w:r>
        <w:rPr>
          <w:rFonts w:hint="eastAsia" w:ascii="宋体" w:hAnsi="宋体" w:cs="宋体"/>
          <w:color w:val="auto"/>
          <w:szCs w:val="21"/>
          <w:highlight w:val="none"/>
        </w:rPr>
        <w:t>可</w:t>
      </w:r>
      <w:r>
        <w:rPr>
          <w:rFonts w:hint="eastAsia" w:ascii="宋体" w:hAnsi="宋体" w:cs="宋体"/>
          <w:color w:val="auto"/>
          <w:szCs w:val="21"/>
          <w:highlight w:val="none"/>
          <w:lang w:eastAsia="zh-TW"/>
        </w:rPr>
        <w:t>在</w:t>
      </w:r>
      <w:r>
        <w:rPr>
          <w:rFonts w:hint="eastAsia" w:ascii="宋体" w:hAnsi="宋体"/>
          <w:bCs/>
          <w:color w:val="auto"/>
          <w:szCs w:val="21"/>
          <w:highlight w:val="none"/>
        </w:rPr>
        <w:t>现场考察或者召开开标前答疑会</w:t>
      </w:r>
      <w:r>
        <w:rPr>
          <w:rFonts w:hint="eastAsia" w:ascii="宋体" w:hAnsi="宋体" w:cs="宋体"/>
          <w:color w:val="auto"/>
          <w:szCs w:val="21"/>
          <w:highlight w:val="none"/>
          <w:lang w:eastAsia="zh-TW"/>
        </w:rPr>
        <w:t>召开日前至少一个工作日将问题清单以书面形式（加盖公章）提交至采购代理机构。</w:t>
      </w:r>
    </w:p>
    <w:p>
      <w:pPr>
        <w:pStyle w:val="4"/>
        <w:numPr>
          <w:ilvl w:val="0"/>
          <w:numId w:val="26"/>
        </w:numPr>
        <w:spacing w:line="240" w:lineRule="auto"/>
        <w:jc w:val="center"/>
        <w:rPr>
          <w:rFonts w:asciiTheme="majorEastAsia" w:hAnsiTheme="majorEastAsia" w:eastAsiaTheme="majorEastAsia"/>
          <w:color w:val="auto"/>
          <w:sz w:val="30"/>
          <w:szCs w:val="30"/>
          <w:highlight w:val="none"/>
          <w:lang w:eastAsia="zh-TW"/>
        </w:rPr>
      </w:pPr>
      <w:bookmarkStart w:id="167" w:name="_Toc435516652"/>
      <w:bookmarkStart w:id="168" w:name="_Toc10367"/>
      <w:bookmarkStart w:id="169" w:name="_Toc15510"/>
      <w:bookmarkStart w:id="170" w:name="_Toc435174935"/>
      <w:bookmarkStart w:id="171" w:name="_Toc438223138"/>
      <w:r>
        <w:rPr>
          <w:rFonts w:hint="eastAsia" w:asciiTheme="majorEastAsia" w:hAnsiTheme="majorEastAsia" w:eastAsiaTheme="majorEastAsia"/>
          <w:color w:val="auto"/>
          <w:sz w:val="30"/>
          <w:szCs w:val="30"/>
          <w:highlight w:val="none"/>
          <w:lang w:eastAsia="zh-TW"/>
        </w:rPr>
        <w:t>投标文件的编制</w:t>
      </w:r>
      <w:bookmarkEnd w:id="167"/>
      <w:bookmarkEnd w:id="168"/>
      <w:bookmarkEnd w:id="169"/>
      <w:bookmarkEnd w:id="170"/>
      <w:bookmarkEnd w:id="171"/>
    </w:p>
    <w:p>
      <w:pPr>
        <w:numPr>
          <w:ilvl w:val="0"/>
          <w:numId w:val="27"/>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72" w:name="_Toc27317"/>
      <w:r>
        <w:rPr>
          <w:rFonts w:hint="eastAsia" w:ascii="宋体" w:hAnsi="宋体"/>
          <w:b/>
          <w:bCs/>
          <w:color w:val="auto"/>
          <w:szCs w:val="21"/>
          <w:highlight w:val="none"/>
        </w:rPr>
        <w:t>投标的语言</w:t>
      </w:r>
      <w:bookmarkEnd w:id="172"/>
    </w:p>
    <w:p>
      <w:pPr>
        <w:numPr>
          <w:ilvl w:val="1"/>
          <w:numId w:val="27"/>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投标人提交的投标文件以及投标人与采购人或者采购代理机构就有关投标的所有来往函电均应使用中文书写</w:t>
      </w:r>
      <w:r>
        <w:rPr>
          <w:rFonts w:hint="eastAsia" w:ascii="宋体" w:hAnsi="宋体" w:cs="宋体"/>
          <w:color w:val="auto"/>
          <w:szCs w:val="21"/>
          <w:highlight w:val="none"/>
        </w:rPr>
        <w:t>。投</w:t>
      </w:r>
      <w:r>
        <w:rPr>
          <w:rFonts w:hint="eastAsia" w:ascii="宋体" w:hAnsi="宋体" w:cs="宋体"/>
          <w:color w:val="auto"/>
          <w:szCs w:val="21"/>
          <w:highlight w:val="none"/>
          <w:lang w:eastAsia="zh-TW"/>
        </w:rPr>
        <w:t>标人提交的支持文件或印刷的资料可以用另一种语言</w:t>
      </w:r>
      <w:r>
        <w:rPr>
          <w:rFonts w:hint="eastAsia" w:ascii="宋体" w:hAnsi="宋体" w:cs="宋体"/>
          <w:color w:val="auto"/>
          <w:szCs w:val="21"/>
          <w:highlight w:val="none"/>
        </w:rPr>
        <w:t>，</w:t>
      </w:r>
      <w:r>
        <w:rPr>
          <w:rFonts w:hint="eastAsia" w:ascii="宋体" w:hAnsi="宋体" w:cs="宋体"/>
          <w:color w:val="auto"/>
          <w:szCs w:val="21"/>
          <w:highlight w:val="none"/>
          <w:lang w:eastAsia="zh-TW"/>
        </w:rPr>
        <w:t>但相应内容应附有中文翻译本</w:t>
      </w:r>
      <w:r>
        <w:rPr>
          <w:rFonts w:hint="eastAsia" w:ascii="宋体" w:hAnsi="宋体" w:cs="宋体"/>
          <w:color w:val="auto"/>
          <w:szCs w:val="21"/>
          <w:highlight w:val="none"/>
        </w:rPr>
        <w:t>，由翻译机构盖章或者翻译人员签名。</w:t>
      </w:r>
      <w:r>
        <w:rPr>
          <w:rFonts w:hint="eastAsia" w:ascii="宋体" w:hAnsi="宋体"/>
          <w:color w:val="auto"/>
          <w:highlight w:val="none"/>
        </w:rPr>
        <w:t>两种语言不一致时以中文翻译本为准。</w:t>
      </w:r>
    </w:p>
    <w:p>
      <w:pPr>
        <w:numPr>
          <w:ilvl w:val="0"/>
          <w:numId w:val="27"/>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73" w:name="_Toc2446"/>
      <w:r>
        <w:rPr>
          <w:rFonts w:hint="eastAsia" w:ascii="宋体" w:hAnsi="宋体"/>
          <w:b/>
          <w:bCs/>
          <w:color w:val="auto"/>
          <w:szCs w:val="21"/>
          <w:highlight w:val="none"/>
        </w:rPr>
        <w:t>投标文件的构成</w:t>
      </w:r>
      <w:bookmarkEnd w:id="173"/>
    </w:p>
    <w:p>
      <w:pPr>
        <w:numPr>
          <w:ilvl w:val="1"/>
          <w:numId w:val="27"/>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投标人编写的投标文件应包括</w:t>
      </w:r>
      <w:r>
        <w:rPr>
          <w:rFonts w:hint="eastAsia" w:ascii="宋体" w:hAnsi="宋体" w:cs="宋体"/>
          <w:color w:val="auto"/>
          <w:szCs w:val="21"/>
          <w:highlight w:val="none"/>
        </w:rPr>
        <w:t>资格性文件、符合性文件、技术文件、商务文件等</w:t>
      </w:r>
      <w:r>
        <w:rPr>
          <w:rFonts w:hint="eastAsia" w:ascii="宋体" w:hAnsi="宋体" w:cs="宋体"/>
          <w:color w:val="auto"/>
          <w:szCs w:val="21"/>
          <w:highlight w:val="none"/>
          <w:lang w:eastAsia="zh-TW"/>
        </w:rPr>
        <w:t>，编排顺序参见投标文件格式</w:t>
      </w:r>
      <w:r>
        <w:rPr>
          <w:rFonts w:hint="eastAsia" w:ascii="宋体" w:hAnsi="宋体" w:cs="宋体"/>
          <w:color w:val="auto"/>
          <w:szCs w:val="21"/>
          <w:highlight w:val="none"/>
        </w:rPr>
        <w:t>。</w:t>
      </w:r>
    </w:p>
    <w:p>
      <w:pPr>
        <w:numPr>
          <w:ilvl w:val="1"/>
          <w:numId w:val="27"/>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投标文件的构成应符合法律法规及招标文件的要求。</w:t>
      </w:r>
    </w:p>
    <w:p>
      <w:pPr>
        <w:numPr>
          <w:ilvl w:val="0"/>
          <w:numId w:val="27"/>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74" w:name="_Toc11091"/>
      <w:r>
        <w:rPr>
          <w:rFonts w:hint="eastAsia" w:ascii="宋体" w:hAnsi="宋体"/>
          <w:b/>
          <w:bCs/>
          <w:color w:val="auto"/>
          <w:szCs w:val="21"/>
          <w:highlight w:val="none"/>
        </w:rPr>
        <w:t>投标文件的编写</w:t>
      </w:r>
      <w:bookmarkEnd w:id="174"/>
    </w:p>
    <w:p>
      <w:pPr>
        <w:numPr>
          <w:ilvl w:val="1"/>
          <w:numId w:val="2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投标人对招标文件中多个包组进行投标的</w:t>
      </w:r>
      <w:r>
        <w:rPr>
          <w:rFonts w:hint="eastAsia" w:ascii="宋体" w:hAnsi="宋体" w:cs="宋体"/>
          <w:color w:val="auto"/>
          <w:szCs w:val="21"/>
          <w:highlight w:val="none"/>
        </w:rPr>
        <w:t>，</w:t>
      </w:r>
      <w:r>
        <w:rPr>
          <w:rFonts w:hint="eastAsia" w:ascii="宋体" w:hAnsi="宋体" w:cs="宋体"/>
          <w:color w:val="auto"/>
          <w:szCs w:val="21"/>
          <w:highlight w:val="none"/>
          <w:lang w:eastAsia="zh-TW"/>
        </w:rPr>
        <w:t>其投标文件的编制</w:t>
      </w:r>
      <w:r>
        <w:rPr>
          <w:rFonts w:hint="eastAsia" w:ascii="宋体" w:hAnsi="宋体" w:cs="宋体"/>
          <w:color w:val="auto"/>
          <w:szCs w:val="21"/>
          <w:highlight w:val="none"/>
        </w:rPr>
        <w:t>可按</w:t>
      </w:r>
      <w:r>
        <w:rPr>
          <w:rFonts w:hint="eastAsia" w:ascii="宋体" w:hAnsi="宋体" w:cs="宋体"/>
          <w:color w:val="auto"/>
          <w:szCs w:val="21"/>
          <w:highlight w:val="none"/>
          <w:lang w:eastAsia="zh-TW"/>
        </w:rPr>
        <w:t>每个包组的要求分别装订和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。投标人应当对投标文件进行装订，对未经装订的投标文件可能发生的文件散落或缺损，由此造成的后果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责任由投标人承担</w:t>
      </w:r>
      <w:r>
        <w:rPr>
          <w:rFonts w:hint="eastAsia" w:ascii="宋体" w:hAnsi="宋体" w:cs="宋体"/>
          <w:color w:val="auto"/>
          <w:szCs w:val="21"/>
          <w:highlight w:val="none"/>
        </w:rPr>
        <w:t>。</w:t>
      </w:r>
    </w:p>
    <w:p>
      <w:pPr>
        <w:numPr>
          <w:ilvl w:val="1"/>
          <w:numId w:val="27"/>
        </w:numPr>
        <w:tabs>
          <w:tab w:val="left" w:pos="709"/>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投标人必须对投标文件所提供的全部资料的真实性承担法律责任，并无条件接受采购人或者采购代理机构或者</w:t>
      </w:r>
      <w:r>
        <w:rPr>
          <w:rFonts w:hint="eastAsia" w:ascii="宋体" w:hAnsi="宋体"/>
          <w:color w:val="auto"/>
          <w:szCs w:val="21"/>
          <w:highlight w:val="none"/>
        </w:rPr>
        <w:t>采购监督管理部门</w:t>
      </w:r>
      <w:r>
        <w:rPr>
          <w:rFonts w:hint="eastAsia" w:ascii="宋体" w:hAnsi="宋体" w:cs="宋体"/>
          <w:color w:val="auto"/>
          <w:szCs w:val="21"/>
          <w:highlight w:val="none"/>
          <w:lang w:eastAsia="zh-TW"/>
        </w:rPr>
        <w:t>对其中任何资料进行核实的要求。</w:t>
      </w:r>
    </w:p>
    <w:p>
      <w:pPr>
        <w:numPr>
          <w:ilvl w:val="1"/>
          <w:numId w:val="2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如果因为投标人</w:t>
      </w:r>
      <w:r>
        <w:rPr>
          <w:rFonts w:hint="eastAsia" w:ascii="宋体" w:hAnsi="宋体" w:cs="宋体"/>
          <w:color w:val="auto"/>
          <w:szCs w:val="21"/>
          <w:highlight w:val="none"/>
        </w:rPr>
        <w:t>的</w:t>
      </w:r>
      <w:r>
        <w:rPr>
          <w:rFonts w:hint="eastAsia" w:ascii="宋体" w:hAnsi="宋体" w:cs="宋体"/>
          <w:color w:val="auto"/>
          <w:szCs w:val="21"/>
          <w:highlight w:val="none"/>
          <w:lang w:eastAsia="zh-TW"/>
        </w:rPr>
        <w:t>投标文件只填写和提供了本</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文件要求的部分内容和附件，或没有提供招标文件中所要求的资料及数据，由此造成的后果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责任由投标人承担</w:t>
      </w:r>
      <w:r>
        <w:rPr>
          <w:rFonts w:hint="eastAsia" w:ascii="宋体" w:hAnsi="宋体" w:cs="宋体"/>
          <w:color w:val="auto"/>
          <w:szCs w:val="21"/>
          <w:highlight w:val="none"/>
        </w:rPr>
        <w:t>。</w:t>
      </w:r>
    </w:p>
    <w:p>
      <w:pPr>
        <w:numPr>
          <w:ilvl w:val="1"/>
          <w:numId w:val="27"/>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投标人应认真阅读、并充分理解招标文件的全部内容（包括所有的补充、修改内容重要事项、格式、条款和技术规范、参数及要求等）。投标人没有按照招标文件要求提交资料，或者投标</w:t>
      </w:r>
      <w:r>
        <w:rPr>
          <w:rFonts w:hint="eastAsia" w:ascii="宋体" w:hAnsi="宋体" w:cs="宋体"/>
          <w:color w:val="auto"/>
          <w:szCs w:val="21"/>
          <w:highlight w:val="none"/>
        </w:rPr>
        <w:t>文件</w:t>
      </w:r>
      <w:r>
        <w:rPr>
          <w:rFonts w:hint="eastAsia" w:ascii="宋体" w:hAnsi="宋体" w:cs="宋体"/>
          <w:color w:val="auto"/>
          <w:szCs w:val="21"/>
          <w:highlight w:val="none"/>
          <w:lang w:eastAsia="zh-TW"/>
        </w:rPr>
        <w:t>没有对招标文件在各方面都</w:t>
      </w:r>
      <w:r>
        <w:rPr>
          <w:rFonts w:hint="eastAsia" w:ascii="宋体" w:hAnsi="宋体" w:cs="宋体"/>
          <w:color w:val="auto"/>
          <w:szCs w:val="21"/>
          <w:highlight w:val="none"/>
        </w:rPr>
        <w:t>作</w:t>
      </w:r>
      <w:r>
        <w:rPr>
          <w:rFonts w:hint="eastAsia" w:ascii="宋体" w:hAnsi="宋体" w:cs="宋体"/>
          <w:color w:val="auto"/>
          <w:szCs w:val="21"/>
          <w:highlight w:val="none"/>
          <w:lang w:eastAsia="zh-TW"/>
        </w:rPr>
        <w:t>出实质性响应是投标人的风险，有可能导致其投标被认定为无效投标或被确定为投标无效。</w:t>
      </w:r>
    </w:p>
    <w:p>
      <w:pPr>
        <w:numPr>
          <w:ilvl w:val="0"/>
          <w:numId w:val="27"/>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75" w:name="_Toc7497"/>
      <w:r>
        <w:rPr>
          <w:rFonts w:hint="eastAsia" w:ascii="宋体" w:hAnsi="宋体"/>
          <w:b/>
          <w:bCs/>
          <w:color w:val="auto"/>
          <w:szCs w:val="21"/>
          <w:highlight w:val="none"/>
        </w:rPr>
        <w:t>投标报价</w:t>
      </w:r>
      <w:bookmarkEnd w:id="175"/>
    </w:p>
    <w:p>
      <w:pPr>
        <w:numPr>
          <w:ilvl w:val="1"/>
          <w:numId w:val="27"/>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投标人应按照“用户需求书”</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采购项目技术规格、参数及要求规定的内容、责任范围进行报价。并按《</w:t>
      </w:r>
      <w:r>
        <w:rPr>
          <w:rFonts w:hint="eastAsia" w:ascii="宋体" w:hAnsi="宋体" w:cs="宋体"/>
          <w:color w:val="auto"/>
          <w:szCs w:val="21"/>
          <w:highlight w:val="none"/>
        </w:rPr>
        <w:t>开标一览表(报价表)</w:t>
      </w:r>
      <w:r>
        <w:rPr>
          <w:rFonts w:hint="eastAsia" w:ascii="宋体" w:hAnsi="宋体" w:cs="宋体"/>
          <w:color w:val="auto"/>
          <w:szCs w:val="21"/>
          <w:highlight w:val="none"/>
          <w:lang w:eastAsia="zh-TW"/>
        </w:rPr>
        <w:t>》</w:t>
      </w:r>
      <w:r>
        <w:rPr>
          <w:rFonts w:hint="eastAsia" w:ascii="宋体" w:hAnsi="宋体" w:cs="宋体"/>
          <w:color w:val="auto"/>
          <w:szCs w:val="21"/>
          <w:highlight w:val="none"/>
        </w:rPr>
        <w:t>及</w:t>
      </w:r>
      <w:r>
        <w:rPr>
          <w:rFonts w:hint="eastAsia" w:ascii="宋体" w:hAnsi="宋体" w:cs="宋体"/>
          <w:color w:val="auto"/>
          <w:szCs w:val="21"/>
          <w:highlight w:val="none"/>
          <w:lang w:eastAsia="zh-TW"/>
        </w:rPr>
        <w:t>《投标分项报价表》（如适用）的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p>
    <w:p>
      <w:pPr>
        <w:numPr>
          <w:ilvl w:val="1"/>
          <w:numId w:val="27"/>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投标分项报价</w:t>
      </w:r>
      <w:r>
        <w:rPr>
          <w:rFonts w:hint="eastAsia" w:ascii="宋体" w:hAnsi="宋体" w:cs="宋体"/>
          <w:color w:val="auto"/>
          <w:szCs w:val="21"/>
          <w:highlight w:val="none"/>
        </w:rPr>
        <w:t>应包含：</w:t>
      </w:r>
    </w:p>
    <w:p>
      <w:pPr>
        <w:numPr>
          <w:ilvl w:val="2"/>
          <w:numId w:val="27"/>
        </w:numPr>
        <w:tabs>
          <w:tab w:val="left" w:pos="851"/>
          <w:tab w:val="clear" w:pos="567"/>
        </w:tabs>
        <w:autoSpaceDE w:val="0"/>
        <w:autoSpaceDN w:val="0"/>
        <w:adjustRightInd w:val="0"/>
        <w:snapToGrid w:val="0"/>
        <w:spacing w:line="360" w:lineRule="auto"/>
        <w:ind w:left="851" w:hanging="851"/>
        <w:jc w:val="left"/>
        <w:rPr>
          <w:rFonts w:ascii="宋体" w:hAnsi="宋体" w:cs="宋体"/>
          <w:color w:val="auto"/>
          <w:szCs w:val="21"/>
          <w:highlight w:val="none"/>
          <w:lang w:eastAsia="zh-TW"/>
        </w:rPr>
      </w:pPr>
      <w:r>
        <w:rPr>
          <w:rFonts w:hint="eastAsia" w:ascii="宋体" w:hAnsi="宋体" w:cs="宋体"/>
          <w:color w:val="auto"/>
          <w:szCs w:val="21"/>
          <w:highlight w:val="none"/>
        </w:rPr>
        <w:t>按招标文件的要求全部货物及服务内容所需的所有费用，</w:t>
      </w:r>
      <w:r>
        <w:rPr>
          <w:color w:val="auto"/>
          <w:highlight w:val="none"/>
        </w:rPr>
        <w:t>包括但不限于项目的</w:t>
      </w:r>
      <w:r>
        <w:rPr>
          <w:rFonts w:hint="eastAsia" w:ascii="宋体" w:hAnsi="宋体" w:cs="宋体"/>
          <w:color w:val="auto"/>
          <w:szCs w:val="21"/>
          <w:highlight w:val="none"/>
        </w:rPr>
        <w:t>全部</w:t>
      </w:r>
      <w:r>
        <w:rPr>
          <w:rFonts w:hint="eastAsia" w:ascii="宋体" w:hAnsi="宋体" w:cs="宋体"/>
          <w:color w:val="auto"/>
          <w:szCs w:val="21"/>
          <w:highlight w:val="none"/>
          <w:lang w:eastAsia="zh-TW"/>
        </w:rPr>
        <w:t>产品</w:t>
      </w:r>
      <w:r>
        <w:rPr>
          <w:rFonts w:hint="eastAsia" w:ascii="宋体" w:hAnsi="宋体" w:cs="宋体"/>
          <w:color w:val="auto"/>
          <w:szCs w:val="21"/>
          <w:highlight w:val="none"/>
        </w:rPr>
        <w:t>价格、服务价格、</w:t>
      </w:r>
      <w:r>
        <w:rPr>
          <w:rFonts w:hint="eastAsia" w:ascii="宋体" w:hAnsi="宋体" w:cs="宋体"/>
          <w:color w:val="auto"/>
          <w:szCs w:val="21"/>
          <w:highlight w:val="none"/>
          <w:lang w:eastAsia="zh-TW"/>
        </w:rPr>
        <w:t>应向中华人民共和国政府缴纳的增值税和其它税等全部税费、</w:t>
      </w:r>
      <w:r>
        <w:rPr>
          <w:color w:val="auto"/>
          <w:highlight w:val="none"/>
        </w:rPr>
        <w:t>运输、保险、安装、伴随服务、</w:t>
      </w:r>
      <w:r>
        <w:rPr>
          <w:rFonts w:hint="eastAsia" w:ascii="宋体" w:hAnsi="宋体" w:cs="宋体"/>
          <w:color w:val="auto"/>
          <w:szCs w:val="21"/>
          <w:highlight w:val="none"/>
          <w:lang w:eastAsia="zh-TW"/>
        </w:rPr>
        <w:t>标准附件价、备品备件及专用工具价</w:t>
      </w:r>
      <w:r>
        <w:rPr>
          <w:rFonts w:ascii="宋体" w:hAnsi="宋体" w:cs="宋体"/>
          <w:color w:val="auto"/>
          <w:szCs w:val="21"/>
          <w:highlight w:val="none"/>
          <w:lang w:eastAsia="zh-TW"/>
        </w:rPr>
        <w:t>(</w:t>
      </w:r>
      <w:r>
        <w:rPr>
          <w:rFonts w:hint="eastAsia" w:ascii="宋体" w:hAnsi="宋体" w:cs="宋体"/>
          <w:color w:val="auto"/>
          <w:szCs w:val="21"/>
          <w:highlight w:val="none"/>
          <w:lang w:eastAsia="zh-TW"/>
        </w:rPr>
        <w:t>如有</w:t>
      </w:r>
      <w:r>
        <w:rPr>
          <w:rFonts w:ascii="宋体" w:hAnsi="宋体" w:cs="宋体"/>
          <w:color w:val="auto"/>
          <w:szCs w:val="21"/>
          <w:highlight w:val="none"/>
          <w:lang w:eastAsia="zh-TW"/>
        </w:rPr>
        <w:t>)、</w:t>
      </w:r>
      <w:r>
        <w:rPr>
          <w:color w:val="auto"/>
          <w:highlight w:val="none"/>
        </w:rPr>
        <w:t>以及</w:t>
      </w:r>
      <w:r>
        <w:rPr>
          <w:rFonts w:hint="eastAsia" w:ascii="宋体" w:hAnsi="宋体" w:cs="宋体"/>
          <w:color w:val="auto"/>
          <w:szCs w:val="21"/>
          <w:highlight w:val="none"/>
        </w:rPr>
        <w:t>履行合同所需的费用、</w:t>
      </w:r>
      <w:r>
        <w:rPr>
          <w:color w:val="auto"/>
          <w:highlight w:val="none"/>
        </w:rPr>
        <w:t>所有风险、责任等</w:t>
      </w:r>
      <w:r>
        <w:rPr>
          <w:rFonts w:hint="eastAsia" w:ascii="宋体" w:hAnsi="宋体" w:cs="宋体"/>
          <w:color w:val="auto"/>
          <w:szCs w:val="21"/>
          <w:highlight w:val="none"/>
        </w:rPr>
        <w:t>其他一切隐含及不可预见的费用</w:t>
      </w:r>
      <w:r>
        <w:rPr>
          <w:color w:val="auto"/>
          <w:highlight w:val="none"/>
        </w:rPr>
        <w:t>。如是</w:t>
      </w:r>
      <w:r>
        <w:rPr>
          <w:rFonts w:hint="eastAsia" w:ascii="宋体" w:hAnsi="宋体" w:cs="宋体"/>
          <w:color w:val="auto"/>
          <w:szCs w:val="21"/>
          <w:highlight w:val="none"/>
          <w:lang w:eastAsia="zh-TW"/>
        </w:rPr>
        <w:t>提供境外的货物</w:t>
      </w:r>
      <w:r>
        <w:rPr>
          <w:rFonts w:hint="eastAsia" w:ascii="宋体" w:hAnsi="宋体" w:cs="宋体"/>
          <w:color w:val="auto"/>
          <w:szCs w:val="21"/>
          <w:highlight w:val="none"/>
        </w:rPr>
        <w:t>，</w:t>
      </w:r>
      <w:r>
        <w:rPr>
          <w:rFonts w:hint="eastAsia" w:ascii="宋体" w:hAnsi="宋体" w:cs="宋体"/>
          <w:color w:val="auto"/>
          <w:szCs w:val="21"/>
          <w:highlight w:val="none"/>
          <w:lang w:eastAsia="zh-TW"/>
        </w:rPr>
        <w:t>还应包括货物从境外进口己缴纳或应缴纳的全部关税、增值税和其它税</w:t>
      </w:r>
      <w:r>
        <w:rPr>
          <w:rFonts w:hint="eastAsia" w:ascii="宋体" w:hAnsi="宋体" w:cs="宋体"/>
          <w:color w:val="auto"/>
          <w:szCs w:val="21"/>
          <w:highlight w:val="none"/>
        </w:rPr>
        <w:t>、</w:t>
      </w:r>
      <w:r>
        <w:rPr>
          <w:rFonts w:hint="eastAsia" w:ascii="宋体" w:hAnsi="宋体" w:cs="宋体"/>
          <w:color w:val="auto"/>
          <w:szCs w:val="21"/>
          <w:highlight w:val="none"/>
          <w:lang w:eastAsia="zh-TW"/>
        </w:rPr>
        <w:t>报货物境外离岸价格、国外运输费、国外运输保险费等费用。</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中对进口环节关税和增值税另有规定的，从其规定。</w:t>
      </w:r>
    </w:p>
    <w:p>
      <w:pPr>
        <w:numPr>
          <w:ilvl w:val="1"/>
          <w:numId w:val="2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olor w:val="auto"/>
          <w:szCs w:val="21"/>
          <w:highlight w:val="none"/>
        </w:rPr>
        <w:t>除</w:t>
      </w:r>
      <w:r>
        <w:rPr>
          <w:rFonts w:hint="eastAsia" w:ascii="宋体" w:hAnsi="宋体"/>
          <w:b/>
          <w:color w:val="auto"/>
          <w:szCs w:val="21"/>
          <w:highlight w:val="none"/>
        </w:rPr>
        <w:t>投标资料表</w:t>
      </w:r>
      <w:r>
        <w:rPr>
          <w:rFonts w:hint="eastAsia" w:ascii="宋体" w:hAnsi="宋体"/>
          <w:color w:val="auto"/>
          <w:szCs w:val="21"/>
          <w:highlight w:val="none"/>
        </w:rPr>
        <w:t>中另有规定，</w:t>
      </w:r>
      <w:r>
        <w:rPr>
          <w:rFonts w:hint="eastAsia" w:ascii="宋体" w:hAnsi="宋体" w:cs="宋体"/>
          <w:color w:val="auto"/>
          <w:szCs w:val="21"/>
          <w:highlight w:val="none"/>
          <w:lang w:eastAsia="zh-TW"/>
        </w:rPr>
        <w:t>投标人所报的投标价在合同执行过程中是固定不变的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不得以任何理由予以变更。任何包含价格调整要求的投标被认为是非实质性响应投标而予以拒绝。</w:t>
      </w:r>
    </w:p>
    <w:p>
      <w:pPr>
        <w:numPr>
          <w:ilvl w:val="1"/>
          <w:numId w:val="2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除</w:t>
      </w:r>
      <w:r>
        <w:rPr>
          <w:rFonts w:hint="eastAsia" w:ascii="宋体" w:hAnsi="宋体"/>
          <w:b/>
          <w:color w:val="auto"/>
          <w:szCs w:val="21"/>
          <w:highlight w:val="none"/>
        </w:rPr>
        <w:t>投标资料表</w:t>
      </w:r>
      <w:r>
        <w:rPr>
          <w:rFonts w:hint="eastAsia" w:ascii="宋体" w:hAnsi="宋体"/>
          <w:color w:val="auto"/>
          <w:szCs w:val="21"/>
          <w:highlight w:val="none"/>
        </w:rPr>
        <w:t>中允许有备选方案外，本次招标不接受选择性报价，</w:t>
      </w:r>
      <w:r>
        <w:rPr>
          <w:rFonts w:hint="eastAsia" w:ascii="宋体" w:hAnsi="宋体" w:cs="宋体"/>
          <w:color w:val="auto"/>
          <w:szCs w:val="21"/>
          <w:highlight w:val="none"/>
        </w:rPr>
        <w:t>否则将被视为无效投标。</w:t>
      </w:r>
    </w:p>
    <w:p>
      <w:pPr>
        <w:numPr>
          <w:ilvl w:val="1"/>
          <w:numId w:val="27"/>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olor w:val="auto"/>
          <w:szCs w:val="21"/>
          <w:highlight w:val="none"/>
        </w:rPr>
        <w:t>除</w:t>
      </w:r>
      <w:r>
        <w:rPr>
          <w:rFonts w:hint="eastAsia" w:ascii="宋体" w:hAnsi="宋体"/>
          <w:b/>
          <w:color w:val="auto"/>
          <w:szCs w:val="21"/>
          <w:highlight w:val="none"/>
        </w:rPr>
        <w:t>投标资料表</w:t>
      </w:r>
      <w:r>
        <w:rPr>
          <w:rFonts w:hint="eastAsia" w:ascii="宋体" w:hAnsi="宋体" w:cs="宋体"/>
          <w:color w:val="auto"/>
          <w:szCs w:val="21"/>
          <w:highlight w:val="none"/>
        </w:rPr>
        <w:t>另</w:t>
      </w:r>
      <w:r>
        <w:rPr>
          <w:rFonts w:hint="eastAsia" w:ascii="宋体" w:hAnsi="宋体"/>
          <w:color w:val="auto"/>
          <w:szCs w:val="21"/>
          <w:highlight w:val="none"/>
        </w:rPr>
        <w:t>有规定外，本次招标不接受具有附加条件的报价，</w:t>
      </w:r>
      <w:r>
        <w:rPr>
          <w:rFonts w:hint="eastAsia" w:ascii="宋体" w:hAnsi="宋体" w:cs="宋体"/>
          <w:color w:val="auto"/>
          <w:szCs w:val="21"/>
          <w:highlight w:val="none"/>
        </w:rPr>
        <w:t>否则将被视为无效投标。</w:t>
      </w:r>
    </w:p>
    <w:p>
      <w:pPr>
        <w:numPr>
          <w:ilvl w:val="0"/>
          <w:numId w:val="27"/>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76" w:name="_Toc2827"/>
      <w:r>
        <w:rPr>
          <w:rFonts w:hint="eastAsia" w:ascii="宋体" w:hAnsi="宋体"/>
          <w:b/>
          <w:bCs/>
          <w:color w:val="auto"/>
          <w:szCs w:val="21"/>
          <w:highlight w:val="none"/>
        </w:rPr>
        <w:t>投标货币</w:t>
      </w:r>
      <w:bookmarkEnd w:id="176"/>
    </w:p>
    <w:p>
      <w:pPr>
        <w:numPr>
          <w:ilvl w:val="1"/>
          <w:numId w:val="2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投标人所提供的货物和服务均应以人民币报价。</w:t>
      </w:r>
    </w:p>
    <w:p>
      <w:pPr>
        <w:numPr>
          <w:ilvl w:val="0"/>
          <w:numId w:val="27"/>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77" w:name="_Toc23174"/>
      <w:r>
        <w:rPr>
          <w:rFonts w:hint="eastAsia" w:ascii="宋体" w:hAnsi="宋体"/>
          <w:b/>
          <w:bCs/>
          <w:color w:val="auto"/>
          <w:szCs w:val="21"/>
          <w:highlight w:val="none"/>
        </w:rPr>
        <w:t>联合体投标</w:t>
      </w:r>
      <w:bookmarkEnd w:id="177"/>
    </w:p>
    <w:p>
      <w:pPr>
        <w:numPr>
          <w:ilvl w:val="1"/>
          <w:numId w:val="27"/>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除非</w:t>
      </w:r>
      <w:r>
        <w:rPr>
          <w:rFonts w:hint="eastAsia" w:ascii="宋体" w:hAnsi="宋体"/>
          <w:b/>
          <w:color w:val="auto"/>
          <w:szCs w:val="21"/>
          <w:highlight w:val="none"/>
        </w:rPr>
        <w:t>投标邀请</w:t>
      </w:r>
      <w:r>
        <w:rPr>
          <w:rFonts w:hint="eastAsia" w:ascii="宋体" w:hAnsi="宋体"/>
          <w:color w:val="auto"/>
          <w:szCs w:val="21"/>
          <w:highlight w:val="none"/>
        </w:rPr>
        <w:t>中另有规定，不接受联合体投标。如果投标邀请中规定允许联合体投标的，则必须满足：</w:t>
      </w:r>
    </w:p>
    <w:p>
      <w:pPr>
        <w:numPr>
          <w:ilvl w:val="2"/>
          <w:numId w:val="2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以联合体形式参加投标的，联合体各方均必须符合联合体各方均必须符合</w:t>
      </w:r>
      <w:r>
        <w:rPr>
          <w:rFonts w:hint="eastAsia" w:ascii="宋体" w:hAnsi="宋体"/>
          <w:bCs/>
          <w:color w:val="auto"/>
          <w:szCs w:val="20"/>
          <w:highlight w:val="none"/>
        </w:rPr>
        <w:t>《中华人民共和国政府采购法》第二十二条第（一）至（六）项规定。</w:t>
      </w:r>
    </w:p>
    <w:p>
      <w:pPr>
        <w:numPr>
          <w:ilvl w:val="2"/>
          <w:numId w:val="27"/>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pPr>
        <w:numPr>
          <w:ilvl w:val="2"/>
          <w:numId w:val="27"/>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联合体中有同类资质的供应商按照联合体分工承担相同工作的，应当按照资质等级较低的供应商确定资质等级。</w:t>
      </w:r>
    </w:p>
    <w:p>
      <w:pPr>
        <w:numPr>
          <w:ilvl w:val="2"/>
          <w:numId w:val="27"/>
        </w:numPr>
        <w:tabs>
          <w:tab w:val="left" w:pos="851"/>
        </w:tabs>
        <w:autoSpaceDE w:val="0"/>
        <w:autoSpaceDN w:val="0"/>
        <w:adjustRightInd w:val="0"/>
        <w:snapToGrid w:val="0"/>
        <w:spacing w:line="360" w:lineRule="auto"/>
        <w:rPr>
          <w:rFonts w:ascii="宋体" w:hAnsi="宋体"/>
          <w:color w:val="auto"/>
          <w:szCs w:val="21"/>
          <w:highlight w:val="none"/>
        </w:rPr>
      </w:pPr>
      <w:r>
        <w:rPr>
          <w:rFonts w:ascii="宋体" w:hAnsi="宋体"/>
          <w:color w:val="auto"/>
          <w:szCs w:val="21"/>
          <w:highlight w:val="none"/>
        </w:rPr>
        <w:t>联合体中标的，联合体各方应当共同与</w:t>
      </w:r>
      <w:r>
        <w:rPr>
          <w:rFonts w:hint="eastAsia" w:ascii="宋体" w:hAnsi="宋体"/>
          <w:color w:val="auto"/>
          <w:szCs w:val="21"/>
          <w:highlight w:val="none"/>
        </w:rPr>
        <w:t>采购</w:t>
      </w:r>
      <w:r>
        <w:rPr>
          <w:rFonts w:ascii="宋体" w:hAnsi="宋体"/>
          <w:color w:val="auto"/>
          <w:szCs w:val="21"/>
          <w:highlight w:val="none"/>
        </w:rPr>
        <w:t>人签订合同。</w:t>
      </w:r>
    </w:p>
    <w:p>
      <w:pPr>
        <w:numPr>
          <w:ilvl w:val="0"/>
          <w:numId w:val="27"/>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78" w:name="_Toc14020"/>
      <w:r>
        <w:rPr>
          <w:rFonts w:hint="eastAsia" w:ascii="宋体" w:hAnsi="宋体"/>
          <w:b/>
          <w:bCs/>
          <w:color w:val="auto"/>
          <w:szCs w:val="21"/>
          <w:highlight w:val="none"/>
        </w:rPr>
        <w:t>证明投标人合格和资格的文件</w:t>
      </w:r>
      <w:bookmarkEnd w:id="178"/>
    </w:p>
    <w:p>
      <w:pPr>
        <w:numPr>
          <w:ilvl w:val="1"/>
          <w:numId w:val="27"/>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投标人应提交证明其有资格参加投标和中标后有能力履行合同的文件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并作为其投标文件的一部分。如果投标人为联合体</w:t>
      </w:r>
      <w:r>
        <w:rPr>
          <w:rFonts w:hint="eastAsia" w:ascii="宋体" w:hAnsi="宋体" w:cs="宋体"/>
          <w:color w:val="auto"/>
          <w:szCs w:val="21"/>
          <w:highlight w:val="none"/>
        </w:rPr>
        <w:t>，</w:t>
      </w:r>
      <w:r>
        <w:rPr>
          <w:rFonts w:hint="eastAsia" w:ascii="宋体" w:hAnsi="宋体" w:cs="宋体"/>
          <w:color w:val="auto"/>
          <w:szCs w:val="21"/>
          <w:highlight w:val="none"/>
          <w:lang w:eastAsia="zh-TW"/>
        </w:rPr>
        <w:t>应提交联合体各方的资格证明文件、</w:t>
      </w:r>
      <w:r>
        <w:rPr>
          <w:rFonts w:hint="eastAsia" w:ascii="宋体" w:hAnsi="宋体"/>
          <w:color w:val="auto"/>
          <w:szCs w:val="21"/>
          <w:highlight w:val="none"/>
        </w:rPr>
        <w:t>联合</w:t>
      </w:r>
      <w:r>
        <w:rPr>
          <w:rFonts w:hint="eastAsia" w:ascii="宋体" w:hAnsi="宋体" w:cs="宋体"/>
          <w:color w:val="auto"/>
          <w:szCs w:val="21"/>
          <w:highlight w:val="none"/>
        </w:rPr>
        <w:t>投标协议</w:t>
      </w:r>
      <w:r>
        <w:rPr>
          <w:rFonts w:hint="eastAsia" w:ascii="宋体" w:hAnsi="宋体" w:cs="宋体"/>
          <w:color w:val="auto"/>
          <w:szCs w:val="21"/>
          <w:highlight w:val="none"/>
          <w:lang w:eastAsia="zh-TW"/>
        </w:rPr>
        <w:t>并注明</w:t>
      </w:r>
      <w:r>
        <w:rPr>
          <w:rFonts w:hint="eastAsia" w:ascii="宋体" w:hAnsi="宋体" w:cs="宋体"/>
          <w:color w:val="auto"/>
          <w:szCs w:val="21"/>
          <w:highlight w:val="none"/>
        </w:rPr>
        <w:t>主体方及各方拟承担的工作和责任。</w:t>
      </w:r>
      <w:r>
        <w:rPr>
          <w:rFonts w:hint="eastAsia" w:ascii="宋体" w:hAnsi="宋体" w:cs="宋体"/>
          <w:color w:val="auto"/>
          <w:szCs w:val="21"/>
          <w:highlight w:val="none"/>
          <w:lang w:eastAsia="zh-TW"/>
        </w:rPr>
        <w:t>否则</w:t>
      </w:r>
      <w:r>
        <w:rPr>
          <w:rFonts w:hint="eastAsia" w:ascii="宋体" w:hAnsi="宋体" w:cs="宋体"/>
          <w:color w:val="auto"/>
          <w:szCs w:val="21"/>
          <w:highlight w:val="none"/>
        </w:rPr>
        <w:t>，</w:t>
      </w:r>
      <w:r>
        <w:rPr>
          <w:rFonts w:hint="eastAsia" w:ascii="宋体" w:hAnsi="宋体" w:cs="宋体"/>
          <w:color w:val="auto"/>
          <w:szCs w:val="21"/>
          <w:highlight w:val="none"/>
          <w:lang w:eastAsia="zh-TW"/>
        </w:rPr>
        <w:t>将导致其投标</w:t>
      </w:r>
      <w:r>
        <w:rPr>
          <w:rFonts w:hint="eastAsia" w:ascii="宋体" w:hAnsi="宋体" w:cs="宋体"/>
          <w:color w:val="auto"/>
          <w:szCs w:val="21"/>
          <w:highlight w:val="none"/>
        </w:rPr>
        <w:t>无效。</w:t>
      </w:r>
    </w:p>
    <w:p>
      <w:pPr>
        <w:numPr>
          <w:ilvl w:val="1"/>
          <w:numId w:val="27"/>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投标人提交的资格证明文件应证明其</w:t>
      </w:r>
      <w:r>
        <w:rPr>
          <w:rFonts w:hint="eastAsia" w:ascii="宋体" w:hAnsi="宋体" w:cs="宋体"/>
          <w:color w:val="auto"/>
          <w:szCs w:val="21"/>
          <w:highlight w:val="none"/>
        </w:rPr>
        <w:t>满足</w:t>
      </w:r>
      <w:r>
        <w:rPr>
          <w:rFonts w:hint="eastAsia" w:ascii="宋体"/>
          <w:bCs/>
          <w:color w:val="auto"/>
          <w:szCs w:val="20"/>
          <w:highlight w:val="none"/>
        </w:rPr>
        <w:t>投标人的资格要求</w:t>
      </w:r>
      <w:r>
        <w:rPr>
          <w:rFonts w:hint="eastAsia" w:ascii="宋体" w:hAnsi="宋体" w:cs="宋体"/>
          <w:color w:val="auto"/>
          <w:szCs w:val="21"/>
          <w:highlight w:val="none"/>
          <w:lang w:eastAsia="zh-TW"/>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79" w:name="_Toc17198"/>
      <w:r>
        <w:rPr>
          <w:rFonts w:ascii="宋体" w:hAnsi="宋体"/>
          <w:b/>
          <w:bCs/>
          <w:color w:val="auto"/>
          <w:szCs w:val="21"/>
          <w:highlight w:val="none"/>
        </w:rPr>
        <w:t>证明投标标的的合格性和符合招标文件规定的文件</w:t>
      </w:r>
      <w:bookmarkEnd w:id="179"/>
    </w:p>
    <w:p>
      <w:pPr>
        <w:numPr>
          <w:ilvl w:val="1"/>
          <w:numId w:val="27"/>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投标</w:t>
      </w:r>
      <w:r>
        <w:rPr>
          <w:rFonts w:hint="eastAsia" w:ascii="宋体" w:hAnsi="宋体" w:cs="宋体"/>
          <w:color w:val="auto"/>
          <w:szCs w:val="21"/>
          <w:highlight w:val="none"/>
          <w:lang w:eastAsia="zh-TW"/>
        </w:rPr>
        <w:t>的货物和服务的合格性符合招标文件规定。该证明文件作为投标文件的一部分。</w:t>
      </w:r>
    </w:p>
    <w:p>
      <w:pPr>
        <w:numPr>
          <w:ilvl w:val="1"/>
          <w:numId w:val="27"/>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货物和服务合格性的证明文件应包括投标分项报价表中对货物和服务原产地的说明。</w:t>
      </w:r>
    </w:p>
    <w:p>
      <w:pPr>
        <w:numPr>
          <w:ilvl w:val="1"/>
          <w:numId w:val="27"/>
        </w:numPr>
        <w:autoSpaceDE w:val="0"/>
        <w:autoSpaceDN w:val="0"/>
        <w:adjustRightInd w:val="0"/>
        <w:snapToGrid w:val="0"/>
        <w:spacing w:line="360" w:lineRule="auto"/>
        <w:rPr>
          <w:rFonts w:ascii="宋体" w:hAnsi="宋体"/>
          <w:strike/>
          <w:color w:val="auto"/>
          <w:szCs w:val="21"/>
          <w:highlight w:val="none"/>
        </w:rPr>
      </w:pPr>
      <w:r>
        <w:rPr>
          <w:rFonts w:hint="eastAsia" w:ascii="宋体" w:hAnsi="宋体" w:cs="宋体"/>
          <w:color w:val="auto"/>
          <w:szCs w:val="21"/>
          <w:highlight w:val="none"/>
          <w:lang w:eastAsia="zh-TW"/>
        </w:rPr>
        <w:t>证明货物和服务与招标文件的要求相一致的文件，可以是文字资料、图纸和数据</w:t>
      </w:r>
      <w:r>
        <w:rPr>
          <w:rFonts w:hint="eastAsia" w:ascii="宋体" w:hAnsi="宋体" w:cs="宋体"/>
          <w:color w:val="auto"/>
          <w:szCs w:val="21"/>
          <w:highlight w:val="none"/>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80" w:name="_Toc30449"/>
      <w:r>
        <w:rPr>
          <w:rFonts w:hint="eastAsia" w:ascii="宋体" w:hAnsi="宋体"/>
          <w:b/>
          <w:bCs/>
          <w:color w:val="auto"/>
          <w:szCs w:val="21"/>
          <w:highlight w:val="none"/>
        </w:rPr>
        <w:t>投标保证金</w:t>
      </w:r>
      <w:bookmarkEnd w:id="180"/>
      <w:r>
        <w:rPr>
          <w:rFonts w:hint="eastAsia" w:ascii="宋体" w:hAnsi="宋体"/>
          <w:b/>
          <w:bCs/>
          <w:color w:val="auto"/>
          <w:szCs w:val="21"/>
          <w:highlight w:val="none"/>
        </w:rPr>
        <w:t>（本项目不适用）</w:t>
      </w:r>
    </w:p>
    <w:p>
      <w:pPr>
        <w:numPr>
          <w:ilvl w:val="1"/>
          <w:numId w:val="27"/>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投标人应</w:t>
      </w:r>
      <w:r>
        <w:rPr>
          <w:rFonts w:hint="eastAsia" w:ascii="宋体" w:hAnsi="宋体" w:cs="宋体"/>
          <w:color w:val="auto"/>
          <w:szCs w:val="21"/>
          <w:highlight w:val="none"/>
        </w:rPr>
        <w:t>按</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w:t>
      </w:r>
      <w:r>
        <w:rPr>
          <w:rFonts w:hint="eastAsia" w:ascii="宋体" w:hAnsi="宋体" w:cs="宋体"/>
          <w:color w:val="auto"/>
          <w:szCs w:val="21"/>
          <w:highlight w:val="none"/>
        </w:rPr>
        <w:t>的金</w:t>
      </w:r>
      <w:r>
        <w:rPr>
          <w:rFonts w:hint="eastAsia" w:ascii="宋体" w:hAnsi="宋体" w:cs="宋体"/>
          <w:color w:val="auto"/>
          <w:szCs w:val="21"/>
          <w:highlight w:val="none"/>
          <w:lang w:eastAsia="zh-TW"/>
        </w:rPr>
        <w:t>额</w:t>
      </w:r>
      <w:r>
        <w:rPr>
          <w:rFonts w:hint="eastAsia" w:ascii="宋体" w:hAnsi="宋体" w:cs="宋体"/>
          <w:color w:val="auto"/>
          <w:szCs w:val="21"/>
          <w:highlight w:val="none"/>
        </w:rPr>
        <w:t>和期限缴纳</w:t>
      </w:r>
      <w:r>
        <w:rPr>
          <w:rFonts w:hint="eastAsia" w:ascii="宋体" w:hAnsi="宋体" w:cs="宋体"/>
          <w:color w:val="auto"/>
          <w:szCs w:val="21"/>
          <w:highlight w:val="none"/>
          <w:lang w:eastAsia="zh-TW"/>
        </w:rPr>
        <w:t>投标保证金</w:t>
      </w:r>
      <w:r>
        <w:rPr>
          <w:rFonts w:hint="eastAsia" w:ascii="宋体" w:hAnsi="宋体" w:cs="宋体"/>
          <w:color w:val="auto"/>
          <w:szCs w:val="21"/>
          <w:highlight w:val="none"/>
        </w:rPr>
        <w:t>，</w:t>
      </w:r>
      <w:r>
        <w:rPr>
          <w:rFonts w:hint="eastAsia" w:ascii="宋体" w:hAnsi="宋体" w:cs="宋体"/>
          <w:color w:val="auto"/>
          <w:szCs w:val="21"/>
          <w:highlight w:val="none"/>
          <w:lang w:eastAsia="zh-TW"/>
        </w:rPr>
        <w:t>并作为其投标</w:t>
      </w:r>
      <w:r>
        <w:rPr>
          <w:rFonts w:hint="eastAsia" w:ascii="宋体" w:hAnsi="宋体" w:cs="宋体"/>
          <w:color w:val="auto"/>
          <w:szCs w:val="21"/>
          <w:highlight w:val="none"/>
        </w:rPr>
        <w:t>文件的组成</w:t>
      </w:r>
      <w:r>
        <w:rPr>
          <w:rFonts w:hint="eastAsia" w:ascii="宋体" w:hAnsi="宋体" w:cs="宋体"/>
          <w:color w:val="auto"/>
          <w:szCs w:val="21"/>
          <w:highlight w:val="none"/>
          <w:lang w:eastAsia="zh-TW"/>
        </w:rPr>
        <w:t>部分。</w:t>
      </w:r>
    </w:p>
    <w:p>
      <w:pPr>
        <w:numPr>
          <w:ilvl w:val="1"/>
          <w:numId w:val="27"/>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投标人在投标截止时间前撤回已提交的投标文件的，采购人或者采购代理机构应当自收到投标人书面撤回通知之日起5个工作日内，退还已收取的投标保证金，但因投标人自身原因导致无法及时退还的除外。</w:t>
      </w:r>
    </w:p>
    <w:p>
      <w:pPr>
        <w:numPr>
          <w:ilvl w:val="1"/>
          <w:numId w:val="27"/>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未中标的投标人保证金，在中标通知书发出之日起</w:t>
      </w:r>
      <w:r>
        <w:rPr>
          <w:rFonts w:hint="eastAsia" w:ascii="宋体" w:hAnsi="宋体" w:cs="宋体"/>
          <w:color w:val="auto"/>
          <w:szCs w:val="21"/>
          <w:highlight w:val="none"/>
        </w:rPr>
        <w:t>5</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不计利息原额退还。</w:t>
      </w:r>
    </w:p>
    <w:p>
      <w:pPr>
        <w:numPr>
          <w:ilvl w:val="1"/>
          <w:numId w:val="27"/>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中标人的投标保证金，在中标人与采购人签订采购合同之日起</w:t>
      </w:r>
      <w:r>
        <w:rPr>
          <w:rFonts w:hint="eastAsia" w:ascii="宋体" w:hAnsi="宋体" w:cs="宋体"/>
          <w:color w:val="auto"/>
          <w:szCs w:val="21"/>
          <w:highlight w:val="none"/>
        </w:rPr>
        <w:t>5</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不计利息原额退还或者转为中标人的</w:t>
      </w:r>
      <w:r>
        <w:rPr>
          <w:rFonts w:hint="eastAsia" w:ascii="宋体" w:hAnsi="宋体" w:cs="宋体"/>
          <w:color w:val="auto"/>
          <w:szCs w:val="21"/>
          <w:highlight w:val="none"/>
        </w:rPr>
        <w:t>履约保证金</w:t>
      </w:r>
      <w:r>
        <w:rPr>
          <w:rFonts w:hint="eastAsia" w:ascii="宋体" w:hAnsi="宋体" w:cs="宋体"/>
          <w:color w:val="auto"/>
          <w:szCs w:val="21"/>
          <w:highlight w:val="none"/>
          <w:lang w:eastAsia="zh-TW"/>
        </w:rPr>
        <w:t>。</w:t>
      </w:r>
    </w:p>
    <w:p>
      <w:pPr>
        <w:numPr>
          <w:ilvl w:val="1"/>
          <w:numId w:val="27"/>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下列任一情况发生时</w:t>
      </w:r>
      <w:r>
        <w:rPr>
          <w:rFonts w:hint="eastAsia" w:ascii="宋体" w:hAnsi="宋体" w:cs="宋体"/>
          <w:color w:val="auto"/>
          <w:szCs w:val="21"/>
          <w:highlight w:val="none"/>
        </w:rPr>
        <w:t>，</w:t>
      </w:r>
      <w:r>
        <w:rPr>
          <w:rFonts w:hint="eastAsia" w:ascii="宋体" w:hAnsi="宋体" w:cs="宋体"/>
          <w:color w:val="auto"/>
          <w:szCs w:val="21"/>
          <w:highlight w:val="none"/>
          <w:lang w:eastAsia="zh-TW"/>
        </w:rPr>
        <w:t>投标保证金将不予退还：</w:t>
      </w:r>
    </w:p>
    <w:p>
      <w:pPr>
        <w:numPr>
          <w:ilvl w:val="2"/>
          <w:numId w:val="27"/>
        </w:numPr>
        <w:tabs>
          <w:tab w:val="left" w:pos="851"/>
        </w:tabs>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投标人在招标文件中规定的投标有效期内撤</w:t>
      </w:r>
      <w:r>
        <w:rPr>
          <w:rFonts w:hint="eastAsia" w:ascii="宋体" w:hAnsi="宋体" w:cs="宋体"/>
          <w:color w:val="auto"/>
          <w:szCs w:val="21"/>
          <w:highlight w:val="none"/>
        </w:rPr>
        <w:t>销</w:t>
      </w:r>
      <w:r>
        <w:rPr>
          <w:rFonts w:hint="eastAsia" w:ascii="宋体" w:hAnsi="宋体" w:cs="宋体"/>
          <w:color w:val="auto"/>
          <w:szCs w:val="21"/>
          <w:highlight w:val="none"/>
          <w:lang w:eastAsia="zh-TW"/>
        </w:rPr>
        <w:t>其投标</w:t>
      </w:r>
      <w:r>
        <w:rPr>
          <w:rFonts w:ascii="宋体" w:hAnsi="宋体" w:cs="宋体"/>
          <w:color w:val="auto"/>
          <w:szCs w:val="21"/>
          <w:highlight w:val="none"/>
          <w:lang w:eastAsia="zh-TW"/>
        </w:rPr>
        <w:t>文件</w:t>
      </w:r>
      <w:r>
        <w:rPr>
          <w:rFonts w:hint="eastAsia" w:ascii="宋体" w:hAnsi="宋体" w:cs="宋体"/>
          <w:color w:val="auto"/>
          <w:szCs w:val="21"/>
          <w:highlight w:val="none"/>
        </w:rPr>
        <w:t>；</w:t>
      </w:r>
    </w:p>
    <w:p>
      <w:pPr>
        <w:numPr>
          <w:ilvl w:val="2"/>
          <w:numId w:val="27"/>
        </w:numPr>
        <w:tabs>
          <w:tab w:val="left" w:pos="851"/>
        </w:tabs>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中标后无正当理由放弃中标或中标人</w:t>
      </w:r>
      <w:r>
        <w:rPr>
          <w:rFonts w:hint="eastAsia" w:ascii="宋体" w:hAnsi="宋体" w:cs="宋体"/>
          <w:color w:val="auto"/>
          <w:szCs w:val="21"/>
          <w:highlight w:val="none"/>
        </w:rPr>
        <w:t>拒绝与采购人</w:t>
      </w:r>
      <w:r>
        <w:rPr>
          <w:rFonts w:hint="eastAsia" w:ascii="宋体" w:hAnsi="宋体" w:cs="宋体"/>
          <w:color w:val="auto"/>
          <w:szCs w:val="21"/>
          <w:highlight w:val="none"/>
          <w:lang w:eastAsia="zh-TW"/>
        </w:rPr>
        <w:t>签订合同</w:t>
      </w:r>
      <w:r>
        <w:rPr>
          <w:rFonts w:hint="eastAsia" w:ascii="宋体" w:hAnsi="宋体" w:cs="宋体"/>
          <w:color w:val="auto"/>
          <w:szCs w:val="21"/>
          <w:highlight w:val="none"/>
        </w:rPr>
        <w:t>；</w:t>
      </w:r>
    </w:p>
    <w:p>
      <w:pPr>
        <w:numPr>
          <w:ilvl w:val="2"/>
          <w:numId w:val="27"/>
        </w:numPr>
        <w:tabs>
          <w:tab w:val="left" w:pos="851"/>
        </w:tabs>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依法</w:t>
      </w:r>
      <w:r>
        <w:rPr>
          <w:rFonts w:hint="eastAsia" w:ascii="宋体" w:hAnsi="宋体" w:cs="宋体"/>
          <w:color w:val="auto"/>
          <w:szCs w:val="21"/>
          <w:highlight w:val="none"/>
        </w:rPr>
        <w:t>被认定中标无效</w:t>
      </w:r>
      <w:r>
        <w:rPr>
          <w:rFonts w:hint="eastAsia" w:ascii="宋体" w:hAnsi="宋体" w:cs="宋体"/>
          <w:color w:val="auto"/>
          <w:szCs w:val="21"/>
          <w:highlight w:val="none"/>
          <w:lang w:eastAsia="zh-TW"/>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81" w:name="_Toc23376"/>
      <w:r>
        <w:rPr>
          <w:rFonts w:hint="eastAsia" w:ascii="宋体" w:hAnsi="宋体"/>
          <w:b/>
          <w:bCs/>
          <w:color w:val="auto"/>
          <w:szCs w:val="21"/>
          <w:highlight w:val="none"/>
        </w:rPr>
        <w:t>投标有效期</w:t>
      </w:r>
      <w:bookmarkEnd w:id="181"/>
    </w:p>
    <w:p>
      <w:pPr>
        <w:numPr>
          <w:ilvl w:val="1"/>
          <w:numId w:val="27"/>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投标应自</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中规定的投标有效期从提交投标文件的截止之日起算，并</w:t>
      </w:r>
      <w:r>
        <w:rPr>
          <w:rFonts w:hint="eastAsia" w:ascii="宋体" w:hAnsi="宋体" w:cs="宋体"/>
          <w:color w:val="auto"/>
          <w:szCs w:val="21"/>
          <w:highlight w:val="none"/>
        </w:rPr>
        <w:t>与</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中所述期限内保持有效。投标有效期不足的投标将被视为非实质性响应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视为无效投标</w:t>
      </w:r>
      <w:r>
        <w:rPr>
          <w:rFonts w:hint="eastAsia" w:ascii="宋体" w:hAnsi="宋体" w:cs="宋体"/>
          <w:color w:val="auto"/>
          <w:szCs w:val="21"/>
          <w:highlight w:val="none"/>
          <w:lang w:eastAsia="zh-TW"/>
        </w:rPr>
        <w:t>。</w:t>
      </w:r>
    </w:p>
    <w:p>
      <w:pPr>
        <w:numPr>
          <w:ilvl w:val="1"/>
          <w:numId w:val="27"/>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特殊情况下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在原投标有效期截止之前</w:t>
      </w:r>
      <w:r>
        <w:rPr>
          <w:rFonts w:hint="eastAsia" w:ascii="宋体" w:hAnsi="宋体" w:cs="宋体"/>
          <w:color w:val="auto"/>
          <w:szCs w:val="21"/>
          <w:highlight w:val="none"/>
        </w:rPr>
        <w:t>，</w:t>
      </w:r>
      <w:r>
        <w:rPr>
          <w:rFonts w:hint="eastAsia" w:ascii="宋体" w:hAnsi="宋体" w:cs="宋体"/>
          <w:color w:val="auto"/>
          <w:szCs w:val="21"/>
          <w:highlight w:val="none"/>
          <w:lang w:eastAsia="zh-TW"/>
        </w:rPr>
        <w:t>采购代理机构可要求投标人延长投标有效期。这种要求与答复均应以书面形式提交。投标人可拒绝采购代理机构的这种要求</w:t>
      </w:r>
      <w:r>
        <w:rPr>
          <w:rFonts w:hint="eastAsia" w:ascii="宋体" w:hAnsi="宋体" w:cs="宋体"/>
          <w:color w:val="auto"/>
          <w:szCs w:val="21"/>
          <w:highlight w:val="none"/>
        </w:rPr>
        <w:t>，</w:t>
      </w:r>
      <w:r>
        <w:rPr>
          <w:rFonts w:hint="eastAsia" w:ascii="宋体" w:hAnsi="宋体" w:cs="宋体"/>
          <w:color w:val="auto"/>
          <w:szCs w:val="21"/>
          <w:highlight w:val="none"/>
          <w:lang w:eastAsia="zh-TW"/>
        </w:rPr>
        <w:t>其投标保证金将</w:t>
      </w:r>
      <w:r>
        <w:rPr>
          <w:rFonts w:hint="eastAsia" w:ascii="宋体" w:hAnsi="宋体" w:cs="宋体"/>
          <w:color w:val="auto"/>
          <w:szCs w:val="21"/>
          <w:highlight w:val="none"/>
        </w:rPr>
        <w:t>予以退还，</w:t>
      </w:r>
      <w:r>
        <w:rPr>
          <w:rFonts w:hint="eastAsia" w:ascii="宋体" w:hAnsi="宋体" w:cs="宋体"/>
          <w:color w:val="auto"/>
          <w:szCs w:val="21"/>
          <w:highlight w:val="none"/>
          <w:lang w:eastAsia="zh-TW"/>
        </w:rPr>
        <w:t>但其投标在原投标有效期期满后将不再有效。同意延长投标有效期的投标人将不会被要求和允许修正其投标</w:t>
      </w:r>
      <w:r>
        <w:rPr>
          <w:rFonts w:hint="eastAsia" w:ascii="宋体" w:hAnsi="宋体" w:cs="宋体"/>
          <w:color w:val="auto"/>
          <w:szCs w:val="21"/>
          <w:highlight w:val="none"/>
        </w:rPr>
        <w:t>，</w:t>
      </w:r>
      <w:r>
        <w:rPr>
          <w:rFonts w:hint="eastAsia" w:ascii="宋体" w:hAnsi="宋体" w:cs="宋体"/>
          <w:color w:val="auto"/>
          <w:szCs w:val="21"/>
          <w:highlight w:val="none"/>
          <w:lang w:eastAsia="zh-TW"/>
        </w:rPr>
        <w:t>而只会被要求相应地延长其投标保证金的有效期。在这种情况下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本须知有关投标保证金的退还和</w:t>
      </w:r>
      <w:r>
        <w:rPr>
          <w:rFonts w:hint="eastAsia" w:ascii="宋体" w:hAnsi="宋体" w:cs="宋体"/>
          <w:color w:val="auto"/>
          <w:szCs w:val="21"/>
          <w:highlight w:val="none"/>
        </w:rPr>
        <w:t>不予退还</w:t>
      </w:r>
      <w:r>
        <w:rPr>
          <w:rFonts w:hint="eastAsia" w:ascii="宋体" w:hAnsi="宋体" w:cs="宋体"/>
          <w:color w:val="auto"/>
          <w:szCs w:val="21"/>
          <w:highlight w:val="none"/>
          <w:lang w:eastAsia="zh-TW"/>
        </w:rPr>
        <w:t>的规定将在延长了的有效期内继续有效。</w:t>
      </w:r>
    </w:p>
    <w:p>
      <w:pPr>
        <w:numPr>
          <w:ilvl w:val="0"/>
          <w:numId w:val="27"/>
        </w:numPr>
        <w:autoSpaceDE w:val="0"/>
        <w:autoSpaceDN w:val="0"/>
        <w:adjustRightInd w:val="0"/>
        <w:snapToGrid w:val="0"/>
        <w:spacing w:line="360" w:lineRule="auto"/>
        <w:ind w:left="449" w:hanging="449" w:hangingChars="213"/>
        <w:outlineLvl w:val="2"/>
        <w:rPr>
          <w:rFonts w:hint="eastAsia" w:ascii="宋体" w:hAnsi="宋体" w:eastAsia="宋体" w:cs="宋体"/>
          <w:b/>
          <w:bCs/>
          <w:color w:val="auto"/>
          <w:szCs w:val="21"/>
          <w:highlight w:val="none"/>
          <w:u w:val="none"/>
        </w:rPr>
      </w:pPr>
      <w:bookmarkStart w:id="182" w:name="_Toc20270"/>
      <w:r>
        <w:rPr>
          <w:rFonts w:hint="eastAsia" w:ascii="宋体" w:hAnsi="宋体" w:eastAsia="宋体" w:cs="宋体"/>
          <w:b/>
          <w:bCs/>
          <w:color w:val="auto"/>
          <w:szCs w:val="21"/>
          <w:highlight w:val="none"/>
          <w:u w:val="none"/>
        </w:rPr>
        <w:t>投标文件的式样和签署、密封</w:t>
      </w:r>
      <w:bookmarkEnd w:id="182"/>
    </w:p>
    <w:p>
      <w:pPr>
        <w:numPr>
          <w:ilvl w:val="1"/>
          <w:numId w:val="27"/>
        </w:numPr>
        <w:autoSpaceDE w:val="0"/>
        <w:autoSpaceDN w:val="0"/>
        <w:adjustRightInd w:val="0"/>
        <w:snapToGrid w:val="0"/>
        <w:spacing w:line="360" w:lineRule="auto"/>
        <w:rPr>
          <w:rFonts w:hint="eastAsia" w:ascii="宋体" w:hAnsi="宋体" w:eastAsia="宋体" w:cs="宋体"/>
          <w:b/>
          <w:bCs/>
          <w:color w:val="auto"/>
          <w:szCs w:val="21"/>
          <w:highlight w:val="none"/>
          <w:u w:val="none"/>
        </w:rPr>
      </w:pPr>
      <w:bookmarkStart w:id="183" w:name="_Toc435174936"/>
      <w:bookmarkStart w:id="184" w:name="_Toc435516653"/>
      <w:bookmarkStart w:id="185" w:name="_Toc438223139"/>
      <w:r>
        <w:rPr>
          <w:rFonts w:hint="eastAsia" w:ascii="宋体" w:hAnsi="宋体" w:eastAsia="宋体" w:cs="宋体"/>
          <w:color w:val="auto"/>
          <w:szCs w:val="21"/>
          <w:highlight w:val="none"/>
          <w:u w:val="none"/>
          <w:lang w:eastAsia="zh-TW"/>
        </w:rPr>
        <w:t>投标文件的式样：</w:t>
      </w:r>
    </w:p>
    <w:p>
      <w:pPr>
        <w:numPr>
          <w:ilvl w:val="2"/>
          <w:numId w:val="27"/>
        </w:numPr>
        <w:autoSpaceDE w:val="0"/>
        <w:autoSpaceDN w:val="0"/>
        <w:adjustRightInd w:val="0"/>
        <w:snapToGrid w:val="0"/>
        <w:spacing w:line="360" w:lineRule="auto"/>
        <w:ind w:left="567" w:hanging="567"/>
        <w:rPr>
          <w:rFonts w:hint="eastAsia" w:ascii="宋体" w:hAnsi="宋体" w:eastAsia="宋体" w:cs="宋体"/>
          <w:b/>
          <w:bCs/>
          <w:color w:val="auto"/>
          <w:szCs w:val="21"/>
          <w:highlight w:val="none"/>
          <w:u w:val="none"/>
        </w:rPr>
      </w:pPr>
      <w:r>
        <w:rPr>
          <w:rFonts w:hint="eastAsia" w:ascii="宋体" w:hAnsi="宋体" w:eastAsia="宋体" w:cs="宋体"/>
          <w:color w:val="auto"/>
          <w:szCs w:val="21"/>
          <w:highlight w:val="none"/>
          <w:u w:val="none"/>
          <w:lang w:eastAsia="zh-TW"/>
        </w:rPr>
        <w:t>投标人</w:t>
      </w:r>
      <w:r>
        <w:rPr>
          <w:rFonts w:hint="eastAsia" w:ascii="宋体" w:hAnsi="宋体" w:eastAsia="宋体" w:cs="宋体"/>
          <w:color w:val="auto"/>
          <w:szCs w:val="21"/>
          <w:highlight w:val="none"/>
          <w:u w:val="none"/>
          <w:lang w:val="en-US" w:eastAsia="zh-CN"/>
        </w:rPr>
        <w:t>应按照招标文件要求编制投标文件，</w:t>
      </w:r>
      <w:r>
        <w:rPr>
          <w:rStyle w:val="41"/>
          <w:rFonts w:hint="eastAsia" w:ascii="宋体" w:hAnsi="宋体" w:eastAsia="宋体" w:cs="宋体"/>
          <w:b w:val="0"/>
          <w:bCs w:val="0"/>
          <w:color w:val="auto"/>
          <w:highlight w:val="none"/>
          <w:u w:val="none"/>
        </w:rPr>
        <w:t>在招标文件要求盖章处加盖公章后打印扫描成一个PDF</w:t>
      </w:r>
      <w:r>
        <w:rPr>
          <w:rStyle w:val="41"/>
          <w:rFonts w:hint="eastAsia" w:ascii="宋体" w:hAnsi="宋体" w:eastAsia="宋体" w:cs="宋体"/>
          <w:b w:val="0"/>
          <w:bCs w:val="0"/>
          <w:color w:val="auto"/>
          <w:highlight w:val="none"/>
          <w:u w:val="none"/>
          <w:lang w:eastAsia="zh-CN"/>
        </w:rPr>
        <w:t>（</w:t>
      </w:r>
      <w:r>
        <w:rPr>
          <w:rStyle w:val="41"/>
          <w:rFonts w:hint="eastAsia" w:ascii="宋体" w:hAnsi="宋体" w:eastAsia="宋体" w:cs="宋体"/>
          <w:b w:val="0"/>
          <w:bCs w:val="0"/>
          <w:color w:val="auto"/>
          <w:highlight w:val="none"/>
          <w:u w:val="none"/>
          <w:lang w:val="en-US" w:eastAsia="zh-CN"/>
        </w:rPr>
        <w:t>无病毒、无密码</w:t>
      </w:r>
      <w:r>
        <w:rPr>
          <w:rStyle w:val="41"/>
          <w:rFonts w:hint="eastAsia" w:ascii="宋体" w:hAnsi="宋体" w:eastAsia="宋体" w:cs="宋体"/>
          <w:b w:val="0"/>
          <w:bCs w:val="0"/>
          <w:color w:val="auto"/>
          <w:highlight w:val="none"/>
          <w:u w:val="none"/>
          <w:lang w:eastAsia="zh-CN"/>
        </w:rPr>
        <w:t>），在</w:t>
      </w:r>
      <w:r>
        <w:rPr>
          <w:rFonts w:hint="eastAsia" w:ascii="宋体" w:hAnsi="宋体" w:eastAsia="宋体" w:cs="宋体"/>
          <w:bCs/>
          <w:color w:val="auto"/>
          <w:szCs w:val="20"/>
          <w:highlight w:val="none"/>
          <w:u w:val="none"/>
        </w:rPr>
        <w:t>投标截止时间</w:t>
      </w:r>
      <w:r>
        <w:rPr>
          <w:rFonts w:hint="eastAsia" w:ascii="宋体" w:hAnsi="宋体" w:eastAsia="宋体" w:cs="宋体"/>
          <w:bCs/>
          <w:color w:val="auto"/>
          <w:szCs w:val="20"/>
          <w:highlight w:val="none"/>
          <w:u w:val="none"/>
          <w:lang w:eastAsia="zh-CN"/>
        </w:rPr>
        <w:t>前</w:t>
      </w:r>
      <w:r>
        <w:rPr>
          <w:rStyle w:val="41"/>
          <w:rFonts w:hint="eastAsia" w:ascii="宋体" w:hAnsi="宋体" w:eastAsia="宋体" w:cs="宋体"/>
          <w:b w:val="0"/>
          <w:bCs w:val="0"/>
          <w:color w:val="auto"/>
          <w:highlight w:val="none"/>
          <w:u w:val="none"/>
        </w:rPr>
        <w:t>上传</w:t>
      </w:r>
      <w:r>
        <w:rPr>
          <w:rStyle w:val="41"/>
          <w:rFonts w:hint="eastAsia" w:ascii="宋体" w:hAnsi="宋体" w:eastAsia="宋体" w:cs="宋体"/>
          <w:b w:val="0"/>
          <w:bCs w:val="0"/>
          <w:color w:val="auto"/>
          <w:highlight w:val="none"/>
          <w:u w:val="none"/>
          <w:lang w:eastAsia="zh-CN"/>
        </w:rPr>
        <w:t>至</w:t>
      </w:r>
      <w:r>
        <w:rPr>
          <w:rFonts w:hint="eastAsia" w:ascii="宋体" w:hAnsi="宋体" w:eastAsia="宋体" w:cs="宋体"/>
          <w:color w:val="auto"/>
          <w:szCs w:val="21"/>
          <w:highlight w:val="none"/>
          <w:u w:val="none"/>
        </w:rPr>
        <w:t>采链线上采购一体化平台</w:t>
      </w:r>
      <w:r>
        <w:rPr>
          <w:rFonts w:hint="eastAsia" w:ascii="宋体" w:hAnsi="宋体" w:eastAsia="宋体" w:cs="宋体"/>
          <w:color w:val="auto"/>
          <w:szCs w:val="21"/>
          <w:highlight w:val="none"/>
          <w:u w:val="none"/>
          <w:lang w:eastAsia="zh-CN"/>
        </w:rPr>
        <w:t>。</w:t>
      </w:r>
    </w:p>
    <w:p>
      <w:pPr>
        <w:numPr>
          <w:ilvl w:val="2"/>
          <w:numId w:val="27"/>
        </w:numPr>
        <w:autoSpaceDE w:val="0"/>
        <w:autoSpaceDN w:val="0"/>
        <w:adjustRightInd w:val="0"/>
        <w:snapToGrid w:val="0"/>
        <w:spacing w:line="360" w:lineRule="auto"/>
        <w:ind w:left="567" w:hanging="567"/>
        <w:rPr>
          <w:rFonts w:ascii="宋体" w:hAnsi="宋体" w:cs="黑体"/>
          <w:b/>
          <w:bCs/>
          <w:color w:val="auto"/>
          <w:szCs w:val="21"/>
          <w:highlight w:val="none"/>
        </w:rPr>
      </w:pPr>
      <w:r>
        <w:rPr>
          <w:rFonts w:hint="eastAsia" w:ascii="宋体" w:hAnsi="宋体" w:cs="宋体"/>
          <w:color w:val="auto"/>
          <w:szCs w:val="21"/>
          <w:highlight w:val="none"/>
          <w:lang w:eastAsia="zh-TW"/>
        </w:rPr>
        <w:t>投标人应准备</w:t>
      </w:r>
      <w:r>
        <w:rPr>
          <w:rFonts w:hint="eastAsia" w:ascii="宋体" w:hAnsi="宋体" w:cs="宋体"/>
          <w:color w:val="auto"/>
          <w:szCs w:val="21"/>
          <w:highlight w:val="none"/>
        </w:rPr>
        <w:t>纸质</w:t>
      </w:r>
      <w:r>
        <w:rPr>
          <w:rFonts w:hint="eastAsia" w:ascii="宋体" w:hAnsi="宋体" w:cs="宋体"/>
          <w:color w:val="auto"/>
          <w:szCs w:val="21"/>
          <w:highlight w:val="none"/>
          <w:lang w:eastAsia="zh-TW"/>
        </w:rPr>
        <w:t>投标文件一份正本和</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中规定数目的</w:t>
      </w:r>
      <w:r>
        <w:rPr>
          <w:rFonts w:hint="eastAsia" w:ascii="宋体" w:hAnsi="宋体" w:cs="宋体"/>
          <w:color w:val="auto"/>
          <w:szCs w:val="21"/>
          <w:highlight w:val="none"/>
        </w:rPr>
        <w:t>纸质</w:t>
      </w:r>
      <w:r>
        <w:rPr>
          <w:rFonts w:hint="eastAsia" w:ascii="宋体" w:hAnsi="宋体" w:cs="宋体"/>
          <w:color w:val="auto"/>
          <w:szCs w:val="21"/>
          <w:highlight w:val="none"/>
          <w:lang w:eastAsia="zh-TW"/>
        </w:rPr>
        <w:t>副本</w:t>
      </w:r>
      <w:r>
        <w:rPr>
          <w:rFonts w:hint="eastAsia" w:ascii="宋体" w:hAnsi="宋体" w:cs="宋体"/>
          <w:color w:val="auto"/>
          <w:szCs w:val="21"/>
          <w:highlight w:val="none"/>
        </w:rPr>
        <w:t>。</w:t>
      </w:r>
      <w:r>
        <w:rPr>
          <w:rFonts w:hint="eastAsia" w:ascii="宋体" w:hAnsi="宋体" w:cs="宋体"/>
          <w:color w:val="auto"/>
          <w:szCs w:val="21"/>
          <w:highlight w:val="none"/>
          <w:lang w:eastAsia="zh-TW"/>
        </w:rPr>
        <w:t>投标文件的副本可采用正本的复印件。每套投标文件须清楚地标明“正本”或</w:t>
      </w:r>
      <w:r>
        <w:rPr>
          <w:rFonts w:hint="eastAsia" w:ascii="宋体" w:hAnsi="宋体" w:cs="宋体"/>
          <w:color w:val="auto"/>
          <w:szCs w:val="21"/>
          <w:highlight w:val="none"/>
        </w:rPr>
        <w:t>“副</w:t>
      </w:r>
      <w:r>
        <w:rPr>
          <w:rFonts w:hint="eastAsia" w:ascii="宋体" w:hAnsi="宋体" w:cs="宋体"/>
          <w:color w:val="auto"/>
          <w:szCs w:val="21"/>
          <w:highlight w:val="none"/>
          <w:lang w:eastAsia="zh-TW"/>
        </w:rPr>
        <w:t>本</w:t>
      </w:r>
      <w:r>
        <w:rPr>
          <w:rFonts w:hint="eastAsia" w:ascii="宋体" w:hAnsi="宋体" w:cs="宋体"/>
          <w:color w:val="auto"/>
          <w:szCs w:val="21"/>
          <w:highlight w:val="none"/>
        </w:rPr>
        <w:t>”</w:t>
      </w:r>
      <w:r>
        <w:rPr>
          <w:rFonts w:hint="eastAsia" w:ascii="宋体" w:hAnsi="宋体" w:cs="宋体"/>
          <w:color w:val="auto"/>
          <w:szCs w:val="21"/>
          <w:highlight w:val="none"/>
          <w:lang w:eastAsia="zh-TW"/>
        </w:rPr>
        <w:t>。若副本与正本不符</w:t>
      </w:r>
      <w:r>
        <w:rPr>
          <w:rFonts w:hint="eastAsia" w:ascii="宋体" w:hAnsi="宋体" w:cs="宋体"/>
          <w:color w:val="auto"/>
          <w:szCs w:val="21"/>
          <w:highlight w:val="none"/>
        </w:rPr>
        <w:t>，</w:t>
      </w:r>
      <w:r>
        <w:rPr>
          <w:rFonts w:hint="eastAsia" w:ascii="宋体" w:hAnsi="宋体" w:cs="宋体"/>
          <w:color w:val="auto"/>
          <w:szCs w:val="21"/>
          <w:highlight w:val="none"/>
          <w:lang w:eastAsia="zh-TW"/>
        </w:rPr>
        <w:t>以正本为准。</w:t>
      </w:r>
    </w:p>
    <w:p>
      <w:pPr>
        <w:numPr>
          <w:ilvl w:val="1"/>
          <w:numId w:val="27"/>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投标文件的签署：</w:t>
      </w:r>
      <w:r>
        <w:rPr>
          <w:rFonts w:ascii="宋体" w:hAnsi="宋体" w:cs="黑体"/>
          <w:b/>
          <w:bCs/>
          <w:color w:val="auto"/>
          <w:szCs w:val="21"/>
          <w:highlight w:val="none"/>
        </w:rPr>
        <w:t xml:space="preserve"> </w:t>
      </w:r>
    </w:p>
    <w:p>
      <w:pPr>
        <w:numPr>
          <w:ilvl w:val="2"/>
          <w:numId w:val="27"/>
        </w:numPr>
        <w:autoSpaceDE w:val="0"/>
        <w:autoSpaceDN w:val="0"/>
        <w:adjustRightInd w:val="0"/>
        <w:snapToGrid w:val="0"/>
        <w:spacing w:line="360" w:lineRule="auto"/>
        <w:ind w:left="851" w:hanging="851"/>
        <w:rPr>
          <w:rFonts w:ascii="宋体" w:hAnsi="宋体"/>
          <w:color w:val="auto"/>
          <w:szCs w:val="21"/>
          <w:highlight w:val="none"/>
        </w:rPr>
      </w:pPr>
      <w:r>
        <w:rPr>
          <w:rFonts w:hint="eastAsia" w:ascii="宋体" w:hAnsi="宋体" w:cs="宋体"/>
          <w:color w:val="auto"/>
          <w:szCs w:val="21"/>
          <w:highlight w:val="none"/>
          <w:lang w:eastAsia="zh-TW"/>
        </w:rPr>
        <w:t>投标文件的正本需打印或用不褪色墨水书写</w:t>
      </w:r>
      <w:r>
        <w:rPr>
          <w:rFonts w:hint="eastAsia" w:ascii="宋体" w:hAnsi="宋体" w:cs="宋体"/>
          <w:color w:val="auto"/>
          <w:szCs w:val="21"/>
          <w:highlight w:val="none"/>
        </w:rPr>
        <w:t>，且招标文件要求签名的</w:t>
      </w:r>
      <w:r>
        <w:rPr>
          <w:rFonts w:hint="eastAsia" w:ascii="宋体" w:hAnsi="宋体" w:cs="宋体"/>
          <w:color w:val="auto"/>
          <w:szCs w:val="21"/>
          <w:highlight w:val="none"/>
          <w:lang w:eastAsia="zh-TW"/>
        </w:rPr>
        <w:t>由</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代表人或经其正式授权的代表签字</w:t>
      </w:r>
      <w:r>
        <w:rPr>
          <w:rFonts w:hint="eastAsia" w:ascii="宋体" w:hAnsi="宋体" w:cs="宋体"/>
          <w:color w:val="auto"/>
          <w:szCs w:val="21"/>
          <w:highlight w:val="none"/>
        </w:rPr>
        <w:t>或盖章</w:t>
      </w:r>
      <w:r>
        <w:rPr>
          <w:rFonts w:hint="eastAsia" w:ascii="宋体" w:hAnsi="宋体" w:cs="宋体"/>
          <w:color w:val="auto"/>
          <w:szCs w:val="21"/>
          <w:highlight w:val="none"/>
          <w:lang w:eastAsia="zh-TW"/>
        </w:rPr>
        <w:t>，以及招标文件中明示盖公章</w:t>
      </w:r>
      <w:r>
        <w:rPr>
          <w:rFonts w:hint="eastAsia" w:ascii="宋体" w:hAnsi="宋体" w:cs="宋体"/>
          <w:color w:val="auto"/>
          <w:szCs w:val="21"/>
          <w:highlight w:val="none"/>
        </w:rPr>
        <w:t>处</w:t>
      </w:r>
      <w:r>
        <w:rPr>
          <w:rFonts w:hint="eastAsia" w:ascii="宋体" w:hAnsi="宋体" w:cs="宋体"/>
          <w:color w:val="auto"/>
          <w:szCs w:val="21"/>
          <w:highlight w:val="none"/>
          <w:lang w:eastAsia="zh-TW"/>
        </w:rPr>
        <w:t>及</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提供的证明材料应盖投标人公章，</w:t>
      </w:r>
      <w:r>
        <w:rPr>
          <w:rFonts w:hint="eastAsia" w:ascii="宋体" w:hAnsi="宋体" w:cs="宋体"/>
          <w:color w:val="auto"/>
          <w:szCs w:val="21"/>
          <w:highlight w:val="none"/>
        </w:rPr>
        <w:t>副本可以</w:t>
      </w:r>
      <w:r>
        <w:rPr>
          <w:rFonts w:hint="eastAsia" w:ascii="宋体" w:hAnsi="宋体" w:cs="Courier New"/>
          <w:color w:val="auto"/>
          <w:highlight w:val="none"/>
        </w:rPr>
        <w:t>用正本</w:t>
      </w:r>
      <w:r>
        <w:rPr>
          <w:rFonts w:hint="eastAsia" w:ascii="宋体" w:hAnsi="宋体" w:cs="宋体"/>
          <w:color w:val="auto"/>
          <w:szCs w:val="21"/>
          <w:highlight w:val="none"/>
        </w:rPr>
        <w:t>复印，与正本具有同等法律效力</w:t>
      </w:r>
      <w:r>
        <w:rPr>
          <w:rFonts w:hint="eastAsia" w:ascii="宋体" w:hAnsi="宋体" w:cs="宋体"/>
          <w:color w:val="auto"/>
          <w:szCs w:val="21"/>
          <w:highlight w:val="none"/>
          <w:lang w:eastAsia="zh-TW"/>
        </w:rPr>
        <w:t>。授权代表须将以书面形式出具的《法定代表人授权</w:t>
      </w:r>
      <w:r>
        <w:rPr>
          <w:rFonts w:hint="eastAsia" w:ascii="宋体" w:hAnsi="宋体" w:cs="宋体"/>
          <w:color w:val="auto"/>
          <w:szCs w:val="21"/>
          <w:highlight w:val="none"/>
        </w:rPr>
        <w:t>委托</w:t>
      </w:r>
      <w:r>
        <w:rPr>
          <w:rFonts w:hint="eastAsia" w:ascii="宋体" w:hAnsi="宋体" w:cs="宋体"/>
          <w:color w:val="auto"/>
          <w:szCs w:val="21"/>
          <w:highlight w:val="none"/>
          <w:lang w:eastAsia="zh-TW"/>
        </w:rPr>
        <w:t>书》附在</w:t>
      </w:r>
      <w:r>
        <w:rPr>
          <w:rFonts w:hint="eastAsia" w:ascii="宋体" w:hAnsi="宋体" w:cs="宋体"/>
          <w:color w:val="auto"/>
          <w:szCs w:val="21"/>
          <w:highlight w:val="none"/>
        </w:rPr>
        <w:t>投</w:t>
      </w:r>
      <w:r>
        <w:rPr>
          <w:rFonts w:hint="eastAsia" w:ascii="宋体" w:hAnsi="宋体" w:cs="宋体"/>
          <w:color w:val="auto"/>
          <w:szCs w:val="21"/>
          <w:highlight w:val="none"/>
          <w:lang w:eastAsia="zh-TW"/>
        </w:rPr>
        <w:t>标文件中。</w:t>
      </w:r>
    </w:p>
    <w:p>
      <w:pPr>
        <w:numPr>
          <w:ilvl w:val="2"/>
          <w:numId w:val="27"/>
        </w:numPr>
        <w:tabs>
          <w:tab w:val="left" w:pos="851"/>
        </w:tabs>
        <w:autoSpaceDE w:val="0"/>
        <w:autoSpaceDN w:val="0"/>
        <w:adjustRightInd w:val="0"/>
        <w:snapToGrid w:val="0"/>
        <w:spacing w:line="360" w:lineRule="auto"/>
        <w:ind w:left="851" w:hanging="851"/>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投标文件中的任何重要的插字、涂改和增删，必须由法定代表人或经其正式授权的代表在旁边签章或签字</w:t>
      </w:r>
      <w:r>
        <w:rPr>
          <w:rFonts w:hint="eastAsia" w:ascii="宋体" w:hAnsi="宋体"/>
          <w:color w:val="auto"/>
          <w:highlight w:val="none"/>
        </w:rPr>
        <w:t>或盖投标人公章</w:t>
      </w:r>
      <w:r>
        <w:rPr>
          <w:rFonts w:hint="eastAsia" w:ascii="宋体" w:hAnsi="宋体" w:cs="宋体"/>
          <w:color w:val="auto"/>
          <w:szCs w:val="21"/>
          <w:highlight w:val="none"/>
          <w:lang w:eastAsia="zh-TW"/>
        </w:rPr>
        <w:t>才有效。</w:t>
      </w:r>
    </w:p>
    <w:p>
      <w:pPr>
        <w:numPr>
          <w:ilvl w:val="1"/>
          <w:numId w:val="27"/>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投标文件</w:t>
      </w:r>
      <w:r>
        <w:rPr>
          <w:rFonts w:hint="eastAsia" w:ascii="宋体" w:hAnsi="宋体"/>
          <w:b/>
          <w:bCs/>
          <w:color w:val="auto"/>
          <w:szCs w:val="21"/>
          <w:highlight w:val="none"/>
        </w:rPr>
        <w:t>密封</w:t>
      </w:r>
      <w:r>
        <w:rPr>
          <w:rFonts w:hint="eastAsia" w:ascii="宋体" w:hAnsi="宋体" w:cs="宋体"/>
          <w:color w:val="auto"/>
          <w:szCs w:val="21"/>
          <w:highlight w:val="none"/>
          <w:lang w:eastAsia="zh-TW"/>
        </w:rPr>
        <w:t>：</w:t>
      </w:r>
    </w:p>
    <w:p>
      <w:pPr>
        <w:numPr>
          <w:ilvl w:val="2"/>
          <w:numId w:val="27"/>
        </w:numPr>
        <w:tabs>
          <w:tab w:val="left" w:pos="851"/>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olor w:val="auto"/>
          <w:highlight w:val="none"/>
        </w:rPr>
        <w:t>外包装上应当</w:t>
      </w:r>
      <w:r>
        <w:rPr>
          <w:rFonts w:hint="eastAsia" w:ascii="宋体" w:hAnsi="宋体" w:cs="宋体"/>
          <w:color w:val="auto"/>
          <w:szCs w:val="21"/>
          <w:highlight w:val="none"/>
        </w:rPr>
        <w:t>清楚写明</w:t>
      </w:r>
      <w:r>
        <w:rPr>
          <w:rFonts w:hint="eastAsia" w:ascii="宋体" w:hAnsi="宋体"/>
          <w:color w:val="auto"/>
          <w:highlight w:val="none"/>
        </w:rPr>
        <w:t>投标人名称、项目名称、项目编号、</w:t>
      </w:r>
      <w:r>
        <w:rPr>
          <w:rFonts w:hint="eastAsia" w:ascii="宋体" w:hAnsi="宋体" w:cs="宋体"/>
          <w:color w:val="auto"/>
          <w:szCs w:val="21"/>
          <w:highlight w:val="none"/>
        </w:rPr>
        <w:t>包组号（如有）</w:t>
      </w:r>
      <w:r>
        <w:rPr>
          <w:rFonts w:hint="eastAsia" w:ascii="宋体" w:hAnsi="宋体" w:cs="宋体"/>
          <w:color w:val="auto"/>
          <w:szCs w:val="21"/>
          <w:highlight w:val="none"/>
          <w:lang w:eastAsia="zh-TW"/>
        </w:rPr>
        <w:t>和</w:t>
      </w:r>
      <w:r>
        <w:rPr>
          <w:rFonts w:hint="eastAsia" w:ascii="宋体" w:hAnsi="宋体"/>
          <w:color w:val="auto"/>
          <w:szCs w:val="21"/>
          <w:highlight w:val="none"/>
        </w:rPr>
        <w:t>“</w:t>
      </w:r>
      <w:r>
        <w:rPr>
          <w:rFonts w:hint="eastAsia" w:ascii="宋体" w:hAnsi="宋体" w:cs="宋体"/>
          <w:color w:val="auto"/>
          <w:szCs w:val="21"/>
          <w:highlight w:val="none"/>
          <w:lang w:eastAsia="zh-TW"/>
        </w:rPr>
        <w:t>在</w:t>
      </w:r>
      <w:r>
        <w:rPr>
          <w:rFonts w:ascii="宋体" w:hAnsi="宋体" w:cs="宋体"/>
          <w:color w:val="auto"/>
          <w:szCs w:val="21"/>
          <w:highlight w:val="none"/>
        </w:rPr>
        <w:t>(</w:t>
      </w:r>
      <w:r>
        <w:rPr>
          <w:rFonts w:hint="eastAsia" w:ascii="宋体" w:hAnsi="宋体" w:cs="宋体"/>
          <w:color w:val="auto"/>
          <w:szCs w:val="21"/>
          <w:highlight w:val="none"/>
        </w:rPr>
        <w:t>招标文件中规定的开标日期和时间</w:t>
      </w:r>
      <w:r>
        <w:rPr>
          <w:rFonts w:ascii="宋体" w:hAnsi="宋体" w:cs="宋体"/>
          <w:color w:val="auto"/>
          <w:szCs w:val="21"/>
          <w:highlight w:val="none"/>
        </w:rPr>
        <w:t>)</w:t>
      </w:r>
      <w:r>
        <w:rPr>
          <w:rFonts w:hint="eastAsia" w:ascii="宋体" w:hAnsi="宋体" w:cs="宋体"/>
          <w:color w:val="auto"/>
          <w:szCs w:val="21"/>
          <w:highlight w:val="none"/>
        </w:rPr>
        <w:t>之前不得启封”的</w:t>
      </w:r>
      <w:r>
        <w:rPr>
          <w:rFonts w:hint="eastAsia" w:ascii="宋体" w:hAnsi="宋体" w:cs="宋体"/>
          <w:color w:val="auto"/>
          <w:szCs w:val="21"/>
          <w:highlight w:val="none"/>
          <w:lang w:eastAsia="zh-TW"/>
        </w:rPr>
        <w:t>字样。</w:t>
      </w:r>
    </w:p>
    <w:p>
      <w:pPr>
        <w:numPr>
          <w:ilvl w:val="2"/>
          <w:numId w:val="27"/>
        </w:numPr>
        <w:autoSpaceDE w:val="0"/>
        <w:autoSpaceDN w:val="0"/>
        <w:adjustRightInd w:val="0"/>
        <w:snapToGrid w:val="0"/>
        <w:spacing w:line="360" w:lineRule="auto"/>
        <w:ind w:left="851" w:hanging="851"/>
        <w:rPr>
          <w:rFonts w:ascii="宋体" w:hAnsi="宋体" w:cs="宋体"/>
          <w:color w:val="auto"/>
          <w:szCs w:val="21"/>
          <w:highlight w:val="none"/>
          <w:lang w:eastAsia="zh-TW"/>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采购代理机构对误投或提前启封概不负责</w:t>
      </w:r>
      <w:r>
        <w:rPr>
          <w:rFonts w:hint="eastAsia" w:ascii="宋体" w:hAnsi="宋体" w:cs="宋体"/>
          <w:color w:val="auto"/>
          <w:szCs w:val="21"/>
          <w:highlight w:val="none"/>
        </w:rPr>
        <w:t>。</w:t>
      </w:r>
    </w:p>
    <w:p>
      <w:pPr>
        <w:pStyle w:val="4"/>
        <w:numPr>
          <w:ilvl w:val="0"/>
          <w:numId w:val="26"/>
        </w:numPr>
        <w:spacing w:line="240" w:lineRule="auto"/>
        <w:jc w:val="center"/>
        <w:rPr>
          <w:rFonts w:asciiTheme="majorEastAsia" w:hAnsiTheme="majorEastAsia" w:eastAsiaTheme="majorEastAsia"/>
          <w:color w:val="auto"/>
          <w:sz w:val="30"/>
          <w:szCs w:val="30"/>
          <w:highlight w:val="none"/>
          <w:lang w:eastAsia="zh-TW"/>
        </w:rPr>
      </w:pPr>
      <w:bookmarkStart w:id="186" w:name="_Toc28883"/>
      <w:bookmarkStart w:id="187" w:name="_Toc15523"/>
      <w:r>
        <w:rPr>
          <w:rFonts w:hint="eastAsia" w:asciiTheme="majorEastAsia" w:hAnsiTheme="majorEastAsia" w:eastAsiaTheme="majorEastAsia"/>
          <w:color w:val="auto"/>
          <w:sz w:val="30"/>
          <w:szCs w:val="30"/>
          <w:highlight w:val="none"/>
          <w:lang w:eastAsia="zh-TW"/>
        </w:rPr>
        <w:t>投标文件的递交</w:t>
      </w:r>
      <w:bookmarkEnd w:id="183"/>
      <w:bookmarkEnd w:id="184"/>
      <w:bookmarkEnd w:id="185"/>
      <w:bookmarkEnd w:id="186"/>
      <w:bookmarkEnd w:id="187"/>
    </w:p>
    <w:p>
      <w:pPr>
        <w:numPr>
          <w:ilvl w:val="0"/>
          <w:numId w:val="27"/>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88" w:name="_Toc13202"/>
      <w:r>
        <w:rPr>
          <w:rFonts w:hint="eastAsia" w:ascii="宋体" w:hAnsi="宋体"/>
          <w:b/>
          <w:bCs/>
          <w:color w:val="auto"/>
          <w:szCs w:val="21"/>
          <w:highlight w:val="none"/>
        </w:rPr>
        <w:t>投标文件递交</w:t>
      </w:r>
      <w:bookmarkEnd w:id="188"/>
    </w:p>
    <w:p>
      <w:pPr>
        <w:numPr>
          <w:ilvl w:val="1"/>
          <w:numId w:val="27"/>
        </w:numPr>
        <w:autoSpaceDE w:val="0"/>
        <w:autoSpaceDN w:val="0"/>
        <w:adjustRightInd w:val="0"/>
        <w:snapToGrid w:val="0"/>
        <w:spacing w:line="360" w:lineRule="auto"/>
        <w:rPr>
          <w:rFonts w:ascii="宋体" w:hAnsi="宋体" w:cs="黑体"/>
          <w:b w:val="0"/>
          <w:bCs w:val="0"/>
          <w:color w:val="auto"/>
          <w:szCs w:val="21"/>
          <w:highlight w:val="none"/>
        </w:rPr>
      </w:pPr>
      <w:r>
        <w:rPr>
          <w:rStyle w:val="41"/>
          <w:rFonts w:hint="eastAsia" w:hAnsi="宋体" w:eastAsia="宋体" w:cs="宋体"/>
          <w:b w:val="0"/>
          <w:bCs w:val="0"/>
          <w:color w:val="auto"/>
          <w:highlight w:val="none"/>
          <w:u w:val="none"/>
        </w:rPr>
        <w:t>投标人按照招标文件要求编制投标文件，在招标文件要求盖章处加盖公章后打印扫描成一个</w:t>
      </w:r>
      <w:r>
        <w:rPr>
          <w:rStyle w:val="41"/>
          <w:rFonts w:hint="eastAsia" w:ascii="宋体" w:hAnsi="宋体" w:eastAsia="宋体" w:cs="宋体"/>
          <w:b w:val="0"/>
          <w:bCs w:val="0"/>
          <w:color w:val="auto"/>
          <w:highlight w:val="none"/>
          <w:u w:val="none"/>
        </w:rPr>
        <w:t>PDF</w:t>
      </w:r>
      <w:r>
        <w:rPr>
          <w:rStyle w:val="41"/>
          <w:rFonts w:hint="eastAsia" w:ascii="宋体" w:hAnsi="宋体" w:eastAsia="宋体" w:cs="宋体"/>
          <w:b w:val="0"/>
          <w:bCs w:val="0"/>
          <w:color w:val="auto"/>
          <w:highlight w:val="none"/>
          <w:u w:val="none"/>
          <w:lang w:eastAsia="zh-CN"/>
        </w:rPr>
        <w:t>（</w:t>
      </w:r>
      <w:r>
        <w:rPr>
          <w:rStyle w:val="41"/>
          <w:rFonts w:hint="eastAsia" w:ascii="宋体" w:hAnsi="宋体" w:eastAsia="宋体" w:cs="宋体"/>
          <w:b w:val="0"/>
          <w:bCs w:val="0"/>
          <w:color w:val="auto"/>
          <w:highlight w:val="none"/>
          <w:u w:val="none"/>
          <w:lang w:val="en-US" w:eastAsia="zh-CN"/>
        </w:rPr>
        <w:t>无病毒、无密码</w:t>
      </w:r>
      <w:r>
        <w:rPr>
          <w:rStyle w:val="41"/>
          <w:rFonts w:hint="eastAsia" w:ascii="宋体" w:hAnsi="宋体" w:eastAsia="宋体" w:cs="宋体"/>
          <w:b w:val="0"/>
          <w:bCs w:val="0"/>
          <w:color w:val="auto"/>
          <w:highlight w:val="none"/>
          <w:u w:val="none"/>
          <w:lang w:eastAsia="zh-CN"/>
        </w:rPr>
        <w:t>）</w:t>
      </w:r>
      <w:r>
        <w:rPr>
          <w:rStyle w:val="41"/>
          <w:rFonts w:hint="eastAsia" w:ascii="宋体" w:hAnsi="宋体" w:cs="宋体"/>
          <w:b w:val="0"/>
          <w:bCs w:val="0"/>
          <w:color w:val="auto"/>
          <w:highlight w:val="none"/>
          <w:u w:val="none"/>
          <w:lang w:eastAsia="zh-CN"/>
        </w:rPr>
        <w:t>，</w:t>
      </w:r>
      <w:r>
        <w:rPr>
          <w:rStyle w:val="41"/>
          <w:rFonts w:hint="eastAsia" w:hAnsi="宋体" w:eastAsia="宋体" w:cs="宋体"/>
          <w:b w:val="0"/>
          <w:bCs w:val="0"/>
          <w:color w:val="auto"/>
          <w:highlight w:val="none"/>
          <w:u w:val="none"/>
          <w:lang w:eastAsia="zh-CN"/>
        </w:rPr>
        <w:t>在</w:t>
      </w:r>
      <w:r>
        <w:rPr>
          <w:rFonts w:hint="eastAsia" w:ascii="宋体" w:hAnsi="宋体" w:cs="宋体"/>
          <w:bCs/>
          <w:color w:val="auto"/>
          <w:szCs w:val="20"/>
          <w:highlight w:val="none"/>
        </w:rPr>
        <w:t>投标截止时间</w:t>
      </w:r>
      <w:r>
        <w:rPr>
          <w:rFonts w:hint="eastAsia" w:hAnsi="宋体" w:cs="宋体"/>
          <w:bCs/>
          <w:color w:val="auto"/>
          <w:szCs w:val="20"/>
          <w:highlight w:val="none"/>
          <w:lang w:eastAsia="zh-CN"/>
        </w:rPr>
        <w:t>前</w:t>
      </w:r>
      <w:r>
        <w:rPr>
          <w:rStyle w:val="41"/>
          <w:rFonts w:hint="eastAsia" w:hAnsi="宋体" w:eastAsia="宋体" w:cs="宋体"/>
          <w:b w:val="0"/>
          <w:bCs w:val="0"/>
          <w:color w:val="auto"/>
          <w:highlight w:val="none"/>
          <w:u w:val="none"/>
        </w:rPr>
        <w:t>上传</w:t>
      </w:r>
      <w:r>
        <w:rPr>
          <w:rStyle w:val="41"/>
          <w:rFonts w:hint="eastAsia" w:hAnsi="宋体" w:eastAsia="宋体" w:cs="宋体"/>
          <w:b w:val="0"/>
          <w:bCs w:val="0"/>
          <w:color w:val="auto"/>
          <w:highlight w:val="none"/>
          <w:u w:val="none"/>
          <w:lang w:eastAsia="zh-CN"/>
        </w:rPr>
        <w:t>至</w:t>
      </w:r>
      <w:r>
        <w:rPr>
          <w:rStyle w:val="41"/>
          <w:rFonts w:hint="eastAsia" w:hAnsi="宋体" w:cs="宋体"/>
          <w:b w:val="0"/>
          <w:bCs w:val="0"/>
          <w:color w:val="auto"/>
          <w:highlight w:val="none"/>
          <w:u w:val="none"/>
          <w:lang w:eastAsia="zh-CN"/>
        </w:rPr>
        <w:t>云</w:t>
      </w:r>
      <w:r>
        <w:rPr>
          <w:rFonts w:hint="eastAsia" w:ascii="宋体" w:hAnsi="宋体"/>
          <w:color w:val="auto"/>
          <w:szCs w:val="21"/>
          <w:highlight w:val="none"/>
        </w:rPr>
        <w:t>采链线上采购一体化平台</w:t>
      </w:r>
      <w:r>
        <w:rPr>
          <w:rStyle w:val="41"/>
          <w:rFonts w:hint="eastAsia" w:hAnsi="宋体" w:eastAsia="宋体" w:cs="宋体"/>
          <w:b w:val="0"/>
          <w:bCs w:val="0"/>
          <w:color w:val="auto"/>
          <w:highlight w:val="none"/>
          <w:u w:val="none"/>
          <w:lang w:eastAsia="zh-CN"/>
        </w:rPr>
        <w:t>并在平台报价</w:t>
      </w:r>
      <w:r>
        <w:rPr>
          <w:rStyle w:val="41"/>
          <w:rFonts w:hint="eastAsia" w:hAnsi="宋体" w:cs="宋体"/>
          <w:b w:val="0"/>
          <w:bCs w:val="0"/>
          <w:color w:val="auto"/>
          <w:highlight w:val="none"/>
          <w:u w:val="none"/>
          <w:lang w:eastAsia="zh-CN"/>
        </w:rPr>
        <w:t>，</w:t>
      </w:r>
      <w:r>
        <w:rPr>
          <w:rStyle w:val="41"/>
          <w:rFonts w:hint="eastAsia" w:hAnsi="宋体" w:cs="宋体"/>
          <w:b w:val="0"/>
          <w:bCs w:val="0"/>
          <w:color w:val="auto"/>
          <w:highlight w:val="none"/>
          <w:u w:val="none"/>
          <w:lang w:val="en-US" w:eastAsia="zh-CN"/>
        </w:rPr>
        <w:t>在投标截止后上传投标文件及报价的为无效投标</w:t>
      </w:r>
      <w:r>
        <w:rPr>
          <w:rStyle w:val="41"/>
          <w:rFonts w:hint="eastAsia" w:hAnsi="宋体" w:eastAsia="宋体" w:cs="宋体"/>
          <w:b w:val="0"/>
          <w:bCs w:val="0"/>
          <w:color w:val="auto"/>
          <w:highlight w:val="none"/>
          <w:u w:val="none"/>
        </w:rPr>
        <w:t>。</w:t>
      </w:r>
    </w:p>
    <w:p>
      <w:pPr>
        <w:numPr>
          <w:ilvl w:val="1"/>
          <w:numId w:val="27"/>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w:t>
      </w:r>
      <w:r>
        <w:rPr>
          <w:rFonts w:hint="eastAsia" w:ascii="宋体" w:hAnsi="宋体" w:cs="宋体"/>
          <w:color w:val="auto"/>
          <w:szCs w:val="21"/>
          <w:highlight w:val="none"/>
          <w:lang w:eastAsia="zh-CN"/>
        </w:rPr>
        <w:t>纸质</w:t>
      </w:r>
      <w:r>
        <w:rPr>
          <w:rFonts w:hint="eastAsia" w:ascii="宋体" w:hAnsi="宋体" w:cs="宋体"/>
          <w:color w:val="auto"/>
          <w:szCs w:val="21"/>
          <w:highlight w:val="none"/>
        </w:rPr>
        <w:t>的投标文件</w:t>
      </w:r>
      <w:r>
        <w:rPr>
          <w:rFonts w:hint="eastAsia" w:ascii="宋体" w:hAnsi="宋体" w:cs="宋体"/>
          <w:color w:val="auto"/>
          <w:szCs w:val="21"/>
          <w:highlight w:val="none"/>
          <w:lang w:eastAsia="zh-TW"/>
        </w:rPr>
        <w:t>应</w:t>
      </w:r>
      <w:r>
        <w:rPr>
          <w:rFonts w:hint="eastAsia" w:ascii="宋体" w:hAnsi="宋体" w:cs="宋体"/>
          <w:color w:val="auto"/>
          <w:szCs w:val="21"/>
          <w:highlight w:val="none"/>
        </w:rPr>
        <w:t>在</w:t>
      </w:r>
      <w:r>
        <w:rPr>
          <w:rFonts w:hint="eastAsia" w:ascii="宋体" w:hAnsi="宋体"/>
          <w:color w:val="auto"/>
          <w:highlight w:val="none"/>
        </w:rPr>
        <w:t>本</w:t>
      </w:r>
      <w:r>
        <w:rPr>
          <w:rFonts w:hint="eastAsia" w:ascii="宋体" w:hAnsi="宋体"/>
          <w:color w:val="auto"/>
          <w:highlight w:val="none"/>
          <w:lang w:eastAsia="zh-CN"/>
        </w:rPr>
        <w:t>招标文件第一章规定的</w:t>
      </w:r>
      <w:r>
        <w:rPr>
          <w:rFonts w:hint="eastAsia" w:ascii="宋体" w:hAnsi="宋体"/>
          <w:color w:val="auto"/>
          <w:highlight w:val="none"/>
        </w:rPr>
        <w:t>时间前</w:t>
      </w:r>
      <w:r>
        <w:rPr>
          <w:rFonts w:hint="eastAsia" w:ascii="宋体" w:hAnsi="宋体"/>
          <w:color w:val="auto"/>
          <w:highlight w:val="none"/>
          <w:lang w:eastAsia="zh-CN"/>
        </w:rPr>
        <w:t>邮寄</w:t>
      </w:r>
      <w:r>
        <w:rPr>
          <w:rFonts w:hint="eastAsia"/>
          <w:color w:val="auto"/>
          <w:highlight w:val="none"/>
          <w:lang w:eastAsia="zh-CN"/>
        </w:rPr>
        <w:t>到</w:t>
      </w:r>
      <w:r>
        <w:rPr>
          <w:rFonts w:ascii="宋体" w:hAnsi="宋体" w:cs="宋体"/>
          <w:color w:val="auto"/>
          <w:szCs w:val="21"/>
          <w:highlight w:val="none"/>
        </w:rPr>
        <w:t>我司</w:t>
      </w:r>
      <w:r>
        <w:rPr>
          <w:rFonts w:hint="eastAsia" w:ascii="宋体" w:hAnsi="宋体"/>
          <w:color w:val="auto"/>
          <w:highlight w:val="none"/>
        </w:rPr>
        <w:t>。</w:t>
      </w:r>
    </w:p>
    <w:p>
      <w:pPr>
        <w:numPr>
          <w:ilvl w:val="1"/>
          <w:numId w:val="27"/>
        </w:numPr>
        <w:autoSpaceDE w:val="0"/>
        <w:autoSpaceDN w:val="0"/>
        <w:adjustRightInd w:val="0"/>
        <w:snapToGrid w:val="0"/>
        <w:spacing w:line="360" w:lineRule="auto"/>
        <w:rPr>
          <w:rFonts w:ascii="宋体" w:hAnsi="宋体" w:cs="黑体"/>
          <w:b/>
          <w:bCs/>
          <w:strike/>
          <w:color w:val="auto"/>
          <w:szCs w:val="21"/>
          <w:highlight w:val="none"/>
        </w:rPr>
      </w:pPr>
      <w:r>
        <w:rPr>
          <w:rFonts w:hint="eastAsia" w:ascii="宋体" w:hAnsi="宋体" w:cs="宋体"/>
          <w:color w:val="auto"/>
          <w:szCs w:val="21"/>
          <w:highlight w:val="none"/>
          <w:lang w:eastAsia="zh-TW"/>
        </w:rPr>
        <w:t>逾期送达或者未按照招标文件要求密封的投标文件，采购人、采购代理机构应当拒收。</w:t>
      </w:r>
    </w:p>
    <w:p>
      <w:pPr>
        <w:numPr>
          <w:ilvl w:val="0"/>
          <w:numId w:val="27"/>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89" w:name="_Toc22017"/>
      <w:r>
        <w:rPr>
          <w:rFonts w:hint="eastAsia" w:ascii="宋体" w:hAnsi="宋体"/>
          <w:b/>
          <w:bCs/>
          <w:color w:val="auto"/>
          <w:szCs w:val="21"/>
          <w:highlight w:val="none"/>
        </w:rPr>
        <w:t>投标文件的修改和撤回、撤销</w:t>
      </w:r>
      <w:bookmarkEnd w:id="189"/>
    </w:p>
    <w:p>
      <w:pPr>
        <w:numPr>
          <w:ilvl w:val="1"/>
          <w:numId w:val="27"/>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在投标截止时间前，可以对所递交的投标文件进行补充、修改或者撤回，并书面通知采购代理机构。补充、修改的内容应当按招标文件要求签署、盖章、密封后，并作为投标文件的组成部分。在投标截止时间之后，投标人不得对其投标文件做任何修改和补充。</w:t>
      </w:r>
    </w:p>
    <w:p>
      <w:pPr>
        <w:numPr>
          <w:ilvl w:val="1"/>
          <w:numId w:val="27"/>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bCs/>
          <w:color w:val="auto"/>
          <w:highlight w:val="none"/>
        </w:rPr>
        <w:t>投标人在投标截止后或在招标文件中规定的投标有效期内不可撤销其投标。</w:t>
      </w:r>
    </w:p>
    <w:p>
      <w:pPr>
        <w:numPr>
          <w:ilvl w:val="1"/>
          <w:numId w:val="27"/>
        </w:numPr>
        <w:autoSpaceDE w:val="0"/>
        <w:autoSpaceDN w:val="0"/>
        <w:adjustRightInd w:val="0"/>
        <w:snapToGrid w:val="0"/>
        <w:spacing w:line="360" w:lineRule="auto"/>
        <w:rPr>
          <w:rFonts w:ascii="宋体" w:hAnsi="宋体" w:cs="黑体"/>
          <w:b/>
          <w:bCs/>
          <w:strike/>
          <w:color w:val="auto"/>
          <w:szCs w:val="21"/>
          <w:highlight w:val="none"/>
        </w:rPr>
      </w:pPr>
      <w:r>
        <w:rPr>
          <w:rFonts w:hint="eastAsia" w:ascii="宋体" w:hAnsi="宋体"/>
          <w:color w:val="auto"/>
          <w:highlight w:val="none"/>
        </w:rPr>
        <w:t>投标人所提交的投标文件在本项目投标截止时间后均不予退还。</w:t>
      </w:r>
    </w:p>
    <w:p>
      <w:pPr>
        <w:numPr>
          <w:ilvl w:val="0"/>
          <w:numId w:val="27"/>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90" w:name="_Toc18853"/>
      <w:r>
        <w:rPr>
          <w:rFonts w:hint="eastAsia" w:ascii="宋体" w:hAnsi="宋体"/>
          <w:b/>
          <w:bCs/>
          <w:color w:val="auto"/>
          <w:szCs w:val="21"/>
          <w:highlight w:val="none"/>
        </w:rPr>
        <w:t>质疑</w:t>
      </w:r>
      <w:bookmarkEnd w:id="190"/>
    </w:p>
    <w:p>
      <w:pPr>
        <w:numPr>
          <w:ilvl w:val="1"/>
          <w:numId w:val="27"/>
        </w:numPr>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质疑</w:t>
      </w:r>
    </w:p>
    <w:p>
      <w:pPr>
        <w:numPr>
          <w:ilvl w:val="2"/>
          <w:numId w:val="27"/>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质疑期限：</w:t>
      </w:r>
    </w:p>
    <w:p>
      <w:pPr>
        <w:numPr>
          <w:ilvl w:val="3"/>
          <w:numId w:val="27"/>
        </w:numPr>
        <w:tabs>
          <w:tab w:val="left" w:pos="1078"/>
        </w:tabs>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供应商认为采购文件的内容损害其权益的，应在采购文件公布之日起七个工作日内。</w:t>
      </w:r>
    </w:p>
    <w:p>
      <w:pPr>
        <w:numPr>
          <w:ilvl w:val="3"/>
          <w:numId w:val="27"/>
        </w:numPr>
        <w:tabs>
          <w:tab w:val="left" w:pos="1078"/>
        </w:tabs>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供应商认为采购过程损害其权益的，应在各采购程序环节结束之日起七个工作日内。</w:t>
      </w:r>
    </w:p>
    <w:p>
      <w:pPr>
        <w:numPr>
          <w:ilvl w:val="3"/>
          <w:numId w:val="27"/>
        </w:numPr>
        <w:tabs>
          <w:tab w:val="left" w:pos="1078"/>
        </w:tabs>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供应商认为中标或者成交结果以及评审委员会、谈判小组、竞价小组组成人员损害其权益的，应在中标或者成交结果公示之日起七个工作日内。</w:t>
      </w:r>
    </w:p>
    <w:p>
      <w:pPr>
        <w:numPr>
          <w:ilvl w:val="2"/>
          <w:numId w:val="27"/>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提交要求：</w:t>
      </w:r>
    </w:p>
    <w:p>
      <w:pPr>
        <w:numPr>
          <w:ilvl w:val="3"/>
          <w:numId w:val="27"/>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以书面形式向采购人或者采购代理机构</w:t>
      </w:r>
      <w:r>
        <w:rPr>
          <w:rFonts w:hint="eastAsia" w:ascii="宋体" w:hAnsi="宋体" w:cs="宋体"/>
          <w:color w:val="auto"/>
          <w:szCs w:val="21"/>
          <w:highlight w:val="none"/>
        </w:rPr>
        <w:t>一次性提出针对同一采购程序环节的</w:t>
      </w:r>
      <w:r>
        <w:rPr>
          <w:rFonts w:hint="eastAsia" w:ascii="宋体" w:hAnsi="宋体" w:cs="黑体"/>
          <w:bCs/>
          <w:color w:val="auto"/>
          <w:szCs w:val="21"/>
          <w:highlight w:val="none"/>
        </w:rPr>
        <w:t>质疑。</w:t>
      </w:r>
    </w:p>
    <w:p>
      <w:pPr>
        <w:numPr>
          <w:ilvl w:val="3"/>
          <w:numId w:val="27"/>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以联合体形式参加采购活动的，其质疑应当由组成联合体的所有供应商共同提出。</w:t>
      </w:r>
    </w:p>
    <w:p>
      <w:pPr>
        <w:numPr>
          <w:ilvl w:val="3"/>
          <w:numId w:val="27"/>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pPr>
        <w:numPr>
          <w:ilvl w:val="3"/>
          <w:numId w:val="27"/>
        </w:numPr>
        <w:autoSpaceDE w:val="0"/>
        <w:autoSpaceDN w:val="0"/>
        <w:adjustRightInd w:val="0"/>
        <w:snapToGrid w:val="0"/>
        <w:spacing w:line="360" w:lineRule="auto"/>
        <w:ind w:left="1078" w:hanging="1078"/>
        <w:rPr>
          <w:rFonts w:hAnsi="宋体"/>
          <w:snapToGrid w:val="0"/>
          <w:color w:val="auto"/>
          <w:szCs w:val="21"/>
          <w:highlight w:val="none"/>
        </w:rPr>
      </w:pPr>
      <w:r>
        <w:rPr>
          <w:rFonts w:hint="eastAsia" w:hAnsi="宋体"/>
          <w:color w:val="auto"/>
          <w:szCs w:val="21"/>
          <w:highlight w:val="none"/>
        </w:rPr>
        <w:t>供应商捏造事实、提供虚假材料或者以非法手段取得证明材料不能作为质疑的证明材料</w:t>
      </w:r>
      <w:r>
        <w:rPr>
          <w:rFonts w:hint="eastAsia" w:hAnsi="宋体"/>
          <w:snapToGrid w:val="0"/>
          <w:color w:val="auto"/>
          <w:szCs w:val="21"/>
          <w:highlight w:val="none"/>
        </w:rPr>
        <w:t>。</w:t>
      </w:r>
    </w:p>
    <w:p>
      <w:pPr>
        <w:numPr>
          <w:ilvl w:val="3"/>
          <w:numId w:val="27"/>
        </w:numPr>
        <w:tabs>
          <w:tab w:val="left" w:pos="1134"/>
        </w:tabs>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olor w:val="auto"/>
          <w:szCs w:val="21"/>
          <w:highlight w:val="none"/>
        </w:rPr>
        <w:tab/>
      </w:r>
      <w:r>
        <w:rPr>
          <w:rFonts w:hint="eastAsia" w:ascii="宋体" w:hAnsi="宋体" w:cs="宋体"/>
          <w:color w:val="auto"/>
          <w:szCs w:val="21"/>
          <w:highlight w:val="none"/>
          <w:lang w:eastAsia="zh-TW"/>
        </w:rPr>
        <w:t>采购人或者采购代理机构</w:t>
      </w:r>
      <w:r>
        <w:rPr>
          <w:rFonts w:hint="eastAsia" w:ascii="宋体" w:hAnsi="宋体"/>
          <w:color w:val="auto"/>
          <w:szCs w:val="21"/>
          <w:highlight w:val="none"/>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numPr>
          <w:ilvl w:val="2"/>
          <w:numId w:val="27"/>
        </w:numPr>
        <w:autoSpaceDE w:val="0"/>
        <w:autoSpaceDN w:val="0"/>
        <w:adjustRightInd w:val="0"/>
        <w:snapToGrid w:val="0"/>
        <w:spacing w:line="360" w:lineRule="auto"/>
        <w:ind w:left="851" w:hanging="851"/>
        <w:rPr>
          <w:rFonts w:ascii="宋体" w:hAnsi="宋体" w:cs="黑体"/>
          <w:b/>
          <w:bCs/>
          <w:color w:val="auto"/>
          <w:szCs w:val="21"/>
          <w:highlight w:val="none"/>
        </w:rPr>
      </w:pPr>
      <w:r>
        <w:rPr>
          <w:rFonts w:hint="eastAsia" w:hAnsi="宋体"/>
          <w:snapToGrid w:val="0"/>
          <w:color w:val="auto"/>
          <w:szCs w:val="21"/>
          <w:highlight w:val="none"/>
        </w:rPr>
        <w:t>采购人或采购代理机构接收以书面形式递交的质疑函，接收质疑函的联系人、联系方式和通讯地址详见</w:t>
      </w:r>
      <w:bookmarkStart w:id="191" w:name="_Hlk57971227"/>
      <w:r>
        <w:rPr>
          <w:rFonts w:hint="eastAsia" w:hAnsi="宋体"/>
          <w:b/>
          <w:bCs/>
          <w:snapToGrid w:val="0"/>
          <w:color w:val="auto"/>
          <w:szCs w:val="21"/>
          <w:highlight w:val="none"/>
        </w:rPr>
        <w:t>第二章 投标资料表</w:t>
      </w:r>
      <w:bookmarkEnd w:id="191"/>
      <w:r>
        <w:rPr>
          <w:rFonts w:hint="eastAsia" w:ascii="宋体" w:hAnsi="宋体"/>
          <w:color w:val="auto"/>
          <w:szCs w:val="21"/>
          <w:highlight w:val="none"/>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92" w:name="_Toc19729"/>
      <w:r>
        <w:rPr>
          <w:rFonts w:hint="eastAsia" w:ascii="宋体" w:hAnsi="宋体"/>
          <w:b/>
          <w:bCs/>
          <w:color w:val="auto"/>
          <w:szCs w:val="21"/>
          <w:highlight w:val="none"/>
        </w:rPr>
        <w:t>中标通知书</w:t>
      </w:r>
      <w:bookmarkEnd w:id="192"/>
    </w:p>
    <w:p>
      <w:pPr>
        <w:numPr>
          <w:ilvl w:val="1"/>
          <w:numId w:val="27"/>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中标人确定后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采购代理机构将在</w:t>
      </w:r>
      <w:r>
        <w:rPr>
          <w:rFonts w:hint="eastAsia" w:ascii="宋体" w:hAnsi="宋体" w:cs="宋体"/>
          <w:color w:val="auto"/>
          <w:szCs w:val="21"/>
          <w:highlight w:val="none"/>
        </w:rPr>
        <w:t>发布采购信息公告的媒体</w:t>
      </w:r>
      <w:r>
        <w:rPr>
          <w:rFonts w:hint="eastAsia" w:ascii="宋体" w:hAnsi="宋体" w:cs="宋体"/>
          <w:color w:val="auto"/>
          <w:szCs w:val="21"/>
          <w:highlight w:val="none"/>
          <w:lang w:eastAsia="zh-TW"/>
        </w:rPr>
        <w:t>上发布中标公告，并向中标人发出《中标通知书》，向采购人及未中标人发出《招标结果通知书》，《中标通知书》对中标人和采购人具有同等法律效力。</w:t>
      </w:r>
    </w:p>
    <w:p>
      <w:pPr>
        <w:numPr>
          <w:ilvl w:val="1"/>
          <w:numId w:val="27"/>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《中标通知书》将作为授予合同资格的合法依据，是合同的一个组成部分。</w:t>
      </w:r>
    </w:p>
    <w:p>
      <w:pPr>
        <w:pStyle w:val="4"/>
        <w:numPr>
          <w:ilvl w:val="0"/>
          <w:numId w:val="26"/>
        </w:numPr>
        <w:spacing w:line="240" w:lineRule="auto"/>
        <w:jc w:val="center"/>
        <w:rPr>
          <w:rFonts w:asciiTheme="majorEastAsia" w:hAnsiTheme="majorEastAsia" w:eastAsiaTheme="majorEastAsia"/>
          <w:color w:val="auto"/>
          <w:sz w:val="30"/>
          <w:szCs w:val="30"/>
          <w:highlight w:val="none"/>
          <w:lang w:eastAsia="zh-TW"/>
        </w:rPr>
      </w:pPr>
      <w:bookmarkStart w:id="193" w:name="_Toc24676"/>
      <w:bookmarkStart w:id="194" w:name="_Toc435174938"/>
      <w:bookmarkStart w:id="195" w:name="_Toc435516655"/>
      <w:bookmarkStart w:id="196" w:name="_Toc438223141"/>
      <w:bookmarkStart w:id="197" w:name="_Toc6704"/>
      <w:r>
        <w:rPr>
          <w:rFonts w:hint="eastAsia" w:asciiTheme="majorEastAsia" w:hAnsiTheme="majorEastAsia" w:eastAsiaTheme="majorEastAsia"/>
          <w:color w:val="auto"/>
          <w:sz w:val="30"/>
          <w:szCs w:val="30"/>
          <w:highlight w:val="none"/>
          <w:lang w:eastAsia="zh-TW"/>
        </w:rPr>
        <w:t>授予合同</w:t>
      </w:r>
      <w:bookmarkEnd w:id="193"/>
      <w:bookmarkEnd w:id="194"/>
      <w:bookmarkEnd w:id="195"/>
      <w:bookmarkEnd w:id="196"/>
      <w:bookmarkEnd w:id="197"/>
    </w:p>
    <w:p>
      <w:pPr>
        <w:numPr>
          <w:ilvl w:val="0"/>
          <w:numId w:val="27"/>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98" w:name="_Toc5467"/>
      <w:r>
        <w:rPr>
          <w:rFonts w:hint="eastAsia" w:ascii="宋体" w:hAnsi="宋体"/>
          <w:b/>
          <w:bCs/>
          <w:color w:val="auto"/>
          <w:szCs w:val="21"/>
          <w:highlight w:val="none"/>
        </w:rPr>
        <w:t>合同的订立</w:t>
      </w:r>
      <w:bookmarkEnd w:id="198"/>
    </w:p>
    <w:p>
      <w:pPr>
        <w:numPr>
          <w:ilvl w:val="1"/>
          <w:numId w:val="27"/>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采购人应当自中标通知书发出之日起十个工作日内，按照招标文件和中标人投标文件的约定，与中标人签订书面合同。所签订的合同不得对招标文件和中标人投标文件作实质性修改</w:t>
      </w:r>
      <w:r>
        <w:rPr>
          <w:rFonts w:hint="eastAsia" w:ascii="宋体" w:hAnsi="宋体" w:cs="宋体"/>
          <w:color w:val="auto"/>
          <w:szCs w:val="21"/>
          <w:highlight w:val="none"/>
        </w:rPr>
        <w:t>。</w:t>
      </w:r>
    </w:p>
    <w:p>
      <w:pPr>
        <w:numPr>
          <w:ilvl w:val="1"/>
          <w:numId w:val="2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采购人或者采购代理机构</w:t>
      </w:r>
      <w:r>
        <w:rPr>
          <w:rFonts w:hint="eastAsia" w:ascii="宋体" w:hAnsi="宋体" w:cs="宋体"/>
          <w:color w:val="auto"/>
          <w:szCs w:val="21"/>
          <w:highlight w:val="none"/>
        </w:rPr>
        <w:t xml:space="preserve">不得向中标人提出任何不合理的要求，作为签订合同的条件，不得与中标人私下订立背离合同实质性内容的协议。 </w:t>
      </w:r>
    </w:p>
    <w:p>
      <w:pPr>
        <w:numPr>
          <w:ilvl w:val="1"/>
          <w:numId w:val="2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自</w:t>
      </w:r>
      <w:r>
        <w:rPr>
          <w:rFonts w:hint="eastAsia" w:ascii="宋体" w:hAnsi="宋体" w:cs="宋体"/>
          <w:color w:val="auto"/>
          <w:szCs w:val="21"/>
          <w:highlight w:val="none"/>
          <w:lang w:eastAsia="zh-TW"/>
        </w:rPr>
        <w:t>采购</w:t>
      </w:r>
      <w:r>
        <w:rPr>
          <w:rFonts w:hint="eastAsia" w:ascii="宋体" w:hAnsi="宋体" w:cs="宋体"/>
          <w:color w:val="auto"/>
          <w:szCs w:val="21"/>
          <w:highlight w:val="none"/>
        </w:rPr>
        <w:t>合同签订之日起2</w:t>
      </w:r>
      <w:r>
        <w:rPr>
          <w:rFonts w:hint="eastAsia" w:ascii="宋体" w:hAnsi="宋体" w:cs="宋体"/>
          <w:color w:val="auto"/>
          <w:szCs w:val="21"/>
          <w:highlight w:val="none"/>
          <w:lang w:eastAsia="zh-TW"/>
        </w:rPr>
        <w:t>个工作日内，采购人应将采购合同</w:t>
      </w:r>
      <w:r>
        <w:rPr>
          <w:rFonts w:hint="eastAsia" w:ascii="宋体" w:hAnsi="宋体" w:cs="宋体"/>
          <w:color w:val="auto"/>
          <w:szCs w:val="21"/>
          <w:highlight w:val="none"/>
        </w:rPr>
        <w:t>在指定的渠道公告，但采购合同中涉及国家秘密、商业秘密的内容除外</w:t>
      </w:r>
      <w:r>
        <w:rPr>
          <w:rFonts w:hint="eastAsia" w:ascii="宋体" w:hAnsi="宋体" w:cs="宋体"/>
          <w:color w:val="auto"/>
          <w:szCs w:val="21"/>
          <w:highlight w:val="none"/>
          <w:lang w:eastAsia="zh-TW"/>
        </w:rPr>
        <w:t>。</w:t>
      </w:r>
    </w:p>
    <w:p>
      <w:pPr>
        <w:numPr>
          <w:ilvl w:val="1"/>
          <w:numId w:val="2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采购</w:t>
      </w:r>
      <w:r>
        <w:rPr>
          <w:rFonts w:hint="eastAsia" w:ascii="宋体" w:hAnsi="宋体" w:cs="宋体"/>
          <w:color w:val="auto"/>
          <w:szCs w:val="21"/>
          <w:highlight w:val="none"/>
        </w:rPr>
        <w:t>合同签订之日起10</w:t>
      </w:r>
      <w:r>
        <w:rPr>
          <w:rFonts w:hint="eastAsia" w:ascii="宋体" w:hAnsi="宋体" w:cs="宋体"/>
          <w:color w:val="auto"/>
          <w:szCs w:val="21"/>
          <w:highlight w:val="none"/>
          <w:lang w:eastAsia="zh-TW"/>
        </w:rPr>
        <w:t>日内，采购人应将采购合同副本报同级监管部门备案</w:t>
      </w:r>
      <w:r>
        <w:rPr>
          <w:rFonts w:hint="eastAsia" w:ascii="宋体" w:hAnsi="宋体" w:cs="宋体"/>
          <w:color w:val="auto"/>
          <w:szCs w:val="21"/>
          <w:highlight w:val="none"/>
        </w:rPr>
        <w:t>和有关部门备案</w:t>
      </w:r>
      <w:r>
        <w:rPr>
          <w:rFonts w:hint="eastAsia" w:ascii="宋体" w:hAnsi="宋体" w:cs="宋体"/>
          <w:color w:val="auto"/>
          <w:szCs w:val="21"/>
          <w:highlight w:val="none"/>
          <w:lang w:eastAsia="zh-TW"/>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99" w:name="_Toc560"/>
      <w:r>
        <w:rPr>
          <w:rFonts w:hint="eastAsia" w:ascii="宋体" w:hAnsi="宋体"/>
          <w:b/>
          <w:bCs/>
          <w:color w:val="auto"/>
          <w:szCs w:val="21"/>
          <w:highlight w:val="none"/>
        </w:rPr>
        <w:t>合同的履行</w:t>
      </w:r>
      <w:bookmarkEnd w:id="199"/>
    </w:p>
    <w:p>
      <w:pPr>
        <w:numPr>
          <w:ilvl w:val="1"/>
          <w:numId w:val="27"/>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采购合同订立后，合同各方不得擅自变更、中止或者终止合同。采购合同需要变更的，采购人应将有关合同变更内容，以书面形式报采购监督管理部门备案；因特殊情况需要中止或终止合同的，采购人应将中止或终止合同的理由以及相应措施，以书面形式报采购监督管理部门备案。</w:t>
      </w:r>
    </w:p>
    <w:p>
      <w:pPr>
        <w:numPr>
          <w:ilvl w:val="1"/>
          <w:numId w:val="27"/>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27"/>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0" w:name="_Toc20193"/>
      <w:r>
        <w:rPr>
          <w:rFonts w:hint="eastAsia" w:ascii="宋体" w:hAnsi="宋体"/>
          <w:b/>
          <w:bCs/>
          <w:color w:val="auto"/>
          <w:szCs w:val="21"/>
          <w:highlight w:val="none"/>
        </w:rPr>
        <w:t>履约保证金</w:t>
      </w:r>
      <w:bookmarkEnd w:id="200"/>
    </w:p>
    <w:p>
      <w:pPr>
        <w:numPr>
          <w:ilvl w:val="1"/>
          <w:numId w:val="27"/>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中标人应按照</w:t>
      </w:r>
      <w:r>
        <w:rPr>
          <w:rFonts w:hint="eastAsia" w:ascii="宋体" w:hAnsi="宋体" w:cs="宋体"/>
          <w:b/>
          <w:color w:val="auto"/>
          <w:szCs w:val="21"/>
          <w:highlight w:val="none"/>
        </w:rPr>
        <w:t>投标资料表</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金额，</w:t>
      </w:r>
      <w:r>
        <w:rPr>
          <w:rFonts w:hint="eastAsia" w:ascii="宋体" w:hAnsi="宋体" w:cs="宋体"/>
          <w:color w:val="auto"/>
          <w:szCs w:val="21"/>
          <w:highlight w:val="none"/>
          <w:lang w:eastAsia="zh-TW"/>
        </w:rPr>
        <w:t>采用招标文件中提供的履约保证金保函格式或采购人可以接受的其他形式向采购人提交履约保证金。</w:t>
      </w:r>
    </w:p>
    <w:p>
      <w:pPr>
        <w:numPr>
          <w:ilvl w:val="0"/>
          <w:numId w:val="27"/>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1" w:name="_Toc25777"/>
      <w:r>
        <w:rPr>
          <w:rFonts w:hint="eastAsia" w:ascii="宋体" w:hAnsi="宋体"/>
          <w:b/>
          <w:bCs/>
          <w:color w:val="auto"/>
          <w:szCs w:val="21"/>
          <w:highlight w:val="none"/>
        </w:rPr>
        <w:t>采购代理服务费</w:t>
      </w:r>
      <w:bookmarkEnd w:id="201"/>
    </w:p>
    <w:p>
      <w:pPr>
        <w:numPr>
          <w:ilvl w:val="1"/>
          <w:numId w:val="27"/>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rPr>
        <w:t>中标人应按照招标文件</w:t>
      </w:r>
      <w:r>
        <w:rPr>
          <w:rFonts w:hint="eastAsia" w:ascii="宋体" w:hAnsi="宋体" w:cs="宋体"/>
          <w:b/>
          <w:color w:val="auto"/>
          <w:szCs w:val="21"/>
          <w:highlight w:val="none"/>
        </w:rPr>
        <w:t>投标资料表</w:t>
      </w:r>
      <w:r>
        <w:rPr>
          <w:rFonts w:hint="eastAsia" w:ascii="宋体" w:hAnsi="宋体" w:cs="宋体"/>
          <w:color w:val="auto"/>
          <w:szCs w:val="21"/>
          <w:highlight w:val="none"/>
        </w:rPr>
        <w:t>中的规定缴纳采购代理服务费。</w:t>
      </w:r>
    </w:p>
    <w:p>
      <w:pPr>
        <w:numPr>
          <w:ilvl w:val="1"/>
          <w:numId w:val="27"/>
        </w:numPr>
        <w:tabs>
          <w:tab w:val="left" w:pos="709"/>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经依法取消中标资格的，采购代理服务费不予退还。</w:t>
      </w:r>
    </w:p>
    <w:sectPr>
      <w:headerReference r:id="rId10" w:type="default"/>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Microsoft YaHei UI">
    <w:altName w:val="宋体"/>
    <w:panose1 w:val="020B0503020204020204"/>
    <w:charset w:val="86"/>
    <w:family w:val="swiss"/>
    <w:pitch w:val="default"/>
    <w:sig w:usb0="00000000" w:usb1="0000000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ˎ̥">
    <w:altName w:val="思源黑体 CN Normal"/>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思源黑体 CN Normal">
    <w:panose1 w:val="020B04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2</w: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rPr>
      <w:t xml:space="preserve">http：//www.chinapsp.cn/                              </w:t>
    </w:r>
    <w:r>
      <w:fldChar w:fldCharType="begin"/>
    </w:r>
    <w:r>
      <w:rPr>
        <w:rStyle w:val="42"/>
      </w:rPr>
      <w:instrText xml:space="preserve"> PAGE </w:instrText>
    </w:r>
    <w:r>
      <w:fldChar w:fldCharType="separate"/>
    </w:r>
    <w:r>
      <w:rPr>
        <w:rStyle w:val="42"/>
      </w:rPr>
      <w:t>2</w:t>
    </w:r>
    <w:r>
      <w:fldChar w:fldCharType="end"/>
    </w:r>
    <w:r>
      <w:rPr>
        <w:rFonts w:hint="eastAsia"/>
      </w:rPr>
      <w:t>采联国际招标采购集团有限公司</w:t>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rPr>
      <w:t>http：//www.chinapsp.cn/                   第</w:t>
    </w:r>
    <w:r>
      <w:fldChar w:fldCharType="begin"/>
    </w:r>
    <w:r>
      <w:rPr>
        <w:rStyle w:val="42"/>
      </w:rPr>
      <w:instrText xml:space="preserve"> PAGE </w:instrText>
    </w:r>
    <w:r>
      <w:fldChar w:fldCharType="separate"/>
    </w:r>
    <w:r>
      <w:rPr>
        <w:rStyle w:val="42"/>
      </w:rPr>
      <w:t>75</w:t>
    </w:r>
    <w:r>
      <w:fldChar w:fldCharType="end"/>
    </w:r>
    <w:r>
      <w:rPr>
        <w:rStyle w:val="42"/>
        <w:rFonts w:hint="eastAsia"/>
      </w:rPr>
      <w:t>页，共</w:t>
    </w:r>
    <w:r>
      <w:fldChar w:fldCharType="begin"/>
    </w:r>
    <w:r>
      <w:rPr>
        <w:rStyle w:val="42"/>
      </w:rPr>
      <w:instrText xml:space="preserve"> NUMPAGES </w:instrText>
    </w:r>
    <w:r>
      <w:fldChar w:fldCharType="separate"/>
    </w:r>
    <w:r>
      <w:rPr>
        <w:rStyle w:val="42"/>
      </w:rPr>
      <w:t>75</w:t>
    </w:r>
    <w:r>
      <w:fldChar w:fldCharType="end"/>
    </w:r>
    <w:r>
      <w:rPr>
        <w:rStyle w:val="42"/>
        <w:rFonts w:hint="eastAsia"/>
      </w:rPr>
      <w:t xml:space="preserve">页               </w:t>
    </w:r>
    <w:r>
      <w:rPr>
        <w:rFonts w:hint="eastAsia"/>
      </w:rPr>
      <w:t>采联国际招标采购集团有限公司</w:t>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ascii="黑体" w:eastAsia="黑体"/>
        <w:sz w:val="24"/>
      </w:rPr>
      <w:drawing>
        <wp:inline distT="0" distB="0" distL="0" distR="0">
          <wp:extent cx="664845" cy="249555"/>
          <wp:effectExtent l="0" t="0" r="1905" b="0"/>
          <wp:docPr id="10" name="图片 10"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4845" cy="249555"/>
                  </a:xfrm>
                  <a:prstGeom prst="rect">
                    <a:avLst/>
                  </a:prstGeom>
                  <a:noFill/>
                  <a:ln>
                    <a:noFill/>
                  </a:ln>
                </pic:spPr>
              </pic:pic>
            </a:graphicData>
          </a:graphic>
        </wp:inline>
      </w:drawing>
    </w:r>
    <w:r>
      <w:rPr>
        <w:rFonts w:hint="eastAsia" w:ascii="宋体" w:hAnsi="宋体"/>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p>
    <w:pPr>
      <w:pStyle w:val="26"/>
      <w:jc w:val="both"/>
      <w:rPr>
        <w:rFonts w:ascii="宋体" w:hAnsi="宋体"/>
      </w:rPr>
    </w:pPr>
    <w:r>
      <w:drawing>
        <wp:inline distT="0" distB="0" distL="0" distR="0">
          <wp:extent cx="563245" cy="219075"/>
          <wp:effectExtent l="0" t="0" r="8255" b="9525"/>
          <wp:docPr id="5" name="图片 5" descr="C:\Users\Administrator\Desktop\采联集团新LOGO-JPG.jpg采联集团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采联集团新LOGO-JPG.jpg采联集团新LOGO-JPG"/>
                  <pic:cNvPicPr>
                    <a:picLocks noChangeAspect="1"/>
                  </pic:cNvPicPr>
                </pic:nvPicPr>
                <pic:blipFill>
                  <a:blip r:embed="rId1"/>
                  <a:srcRect/>
                  <a:stretch>
                    <a:fillRect/>
                  </a:stretch>
                </pic:blipFill>
                <pic:spPr>
                  <a:xfrm>
                    <a:off x="0" y="0"/>
                    <a:ext cx="563245" cy="230502"/>
                  </a:xfrm>
                  <a:prstGeom prst="rect">
                    <a:avLst/>
                  </a:prstGeom>
                </pic:spPr>
              </pic:pic>
            </a:graphicData>
          </a:graphic>
        </wp:inline>
      </w:drawing>
    </w:r>
    <w:r>
      <w:rPr>
        <w:rFonts w:hint="eastAsia" w:ascii="宋体" w:hAnsi="宋体"/>
      </w:rPr>
      <w:t xml:space="preserve">  让︱您︱的︱选︱择︱更︱专︱业︱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宋体" w:hAnsi="宋体"/>
      </w:rPr>
    </w:pPr>
    <w:r>
      <w:drawing>
        <wp:inline distT="0" distB="0" distL="0" distR="0">
          <wp:extent cx="563245" cy="219075"/>
          <wp:effectExtent l="0" t="0" r="8255" b="9525"/>
          <wp:docPr id="1" name="图片 1" descr="C:\Users\Administrator\Desktop\采联集团新LOGO-JPG.jpg采联集团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采联集团新LOGO-JPG.jpg采联集团新LOGO-JPG"/>
                  <pic:cNvPicPr>
                    <a:picLocks noChangeAspect="1"/>
                  </pic:cNvPicPr>
                </pic:nvPicPr>
                <pic:blipFill>
                  <a:blip r:embed="rId1"/>
                  <a:srcRect/>
                  <a:stretch>
                    <a:fillRect/>
                  </a:stretch>
                </pic:blipFill>
                <pic:spPr>
                  <a:xfrm>
                    <a:off x="0" y="0"/>
                    <a:ext cx="563245" cy="230502"/>
                  </a:xfrm>
                  <a:prstGeom prst="rect">
                    <a:avLst/>
                  </a:prstGeom>
                </pic:spPr>
              </pic:pic>
            </a:graphicData>
          </a:graphic>
        </wp:inline>
      </w:drawing>
    </w:r>
    <w:r>
      <w:rPr>
        <w:rFonts w:hint="eastAsia" w:ascii="宋体" w:hAnsi="宋体"/>
      </w:rPr>
      <w:t xml:space="preserve"> ︱让︱您︱的︱选︱择︱更︱专︱业︱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CD88F"/>
    <w:multiLevelType w:val="singleLevel"/>
    <w:tmpl w:val="A77CD88F"/>
    <w:lvl w:ilvl="0" w:tentative="0">
      <w:start w:val="6"/>
      <w:numFmt w:val="chineseCounting"/>
      <w:suff w:val="nothing"/>
      <w:lvlText w:val="%1、"/>
      <w:lvlJc w:val="left"/>
      <w:rPr>
        <w:rFonts w:hint="eastAsia"/>
      </w:rPr>
    </w:lvl>
  </w:abstractNum>
  <w:abstractNum w:abstractNumId="1">
    <w:nsid w:val="06466C15"/>
    <w:multiLevelType w:val="multilevel"/>
    <w:tmpl w:val="06466C1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3">
    <w:nsid w:val="22303E2D"/>
    <w:multiLevelType w:val="multilevel"/>
    <w:tmpl w:val="22303E2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895151C"/>
    <w:multiLevelType w:val="multilevel"/>
    <w:tmpl w:val="2895151C"/>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2E4019CA"/>
    <w:multiLevelType w:val="multilevel"/>
    <w:tmpl w:val="2E4019CA"/>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7D32220"/>
    <w:multiLevelType w:val="multilevel"/>
    <w:tmpl w:val="47D322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2">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5B12A78"/>
    <w:multiLevelType w:val="multilevel"/>
    <w:tmpl w:val="55B12A78"/>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4">
    <w:nsid w:val="59AE446A"/>
    <w:multiLevelType w:val="multilevel"/>
    <w:tmpl w:val="59AE446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5">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16">
    <w:nsid w:val="5B9A6BA0"/>
    <w:multiLevelType w:val="multilevel"/>
    <w:tmpl w:val="5B9A6BA0"/>
    <w:lvl w:ilvl="0" w:tentative="0">
      <w:start w:val="1"/>
      <w:numFmt w:val="decimal"/>
      <w:lvlText w:val="%1．"/>
      <w:lvlJc w:val="left"/>
      <w:pPr>
        <w:tabs>
          <w:tab w:val="left" w:pos="360"/>
        </w:tabs>
        <w:ind w:left="360" w:hanging="36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616415CE"/>
    <w:multiLevelType w:val="multilevel"/>
    <w:tmpl w:val="616415CE"/>
    <w:lvl w:ilvl="0" w:tentative="0">
      <w:start w:val="1"/>
      <w:numFmt w:val="decimal"/>
      <w:lvlText w:val="%1."/>
      <w:lvlJc w:val="left"/>
      <w:pPr>
        <w:ind w:left="425" w:hanging="425"/>
      </w:pPr>
      <w:rPr>
        <w:rFonts w:hint="default" w:ascii="宋体" w:hAnsi="宋体" w:eastAsia="宋体" w:cs="宋体"/>
        <w:sz w:val="21"/>
        <w:szCs w:val="21"/>
      </w:rPr>
    </w:lvl>
    <w:lvl w:ilvl="1" w:tentative="0">
      <w:start w:val="1"/>
      <w:numFmt w:val="decimal"/>
      <w:lvlText w:val="%1.%2."/>
      <w:lvlJc w:val="left"/>
      <w:pPr>
        <w:ind w:left="567" w:hanging="567"/>
      </w:pPr>
      <w:rPr>
        <w:rFonts w:hint="default" w:ascii="宋体" w:hAnsi="宋体" w:eastAsia="宋体" w:cs="宋体"/>
        <w:b w:val="0"/>
        <w:sz w:val="21"/>
        <w:szCs w:val="21"/>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0">
    <w:nsid w:val="68875A81"/>
    <w:multiLevelType w:val="multilevel"/>
    <w:tmpl w:val="68875A81"/>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1">
    <w:nsid w:val="6D349748"/>
    <w:multiLevelType w:val="singleLevel"/>
    <w:tmpl w:val="6D349748"/>
    <w:lvl w:ilvl="0" w:tentative="0">
      <w:start w:val="1"/>
      <w:numFmt w:val="chineseCounting"/>
      <w:suff w:val="nothing"/>
      <w:lvlText w:val="%1、"/>
      <w:lvlJc w:val="left"/>
      <w:pPr>
        <w:ind w:left="0" w:firstLine="420"/>
      </w:pPr>
      <w:rPr>
        <w:rFonts w:hint="eastAsia"/>
      </w:rPr>
    </w:lvl>
  </w:abstractNum>
  <w:abstractNum w:abstractNumId="22">
    <w:nsid w:val="6EEB7F65"/>
    <w:multiLevelType w:val="multilevel"/>
    <w:tmpl w:val="6EEB7F6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83550B3"/>
    <w:multiLevelType w:val="multilevel"/>
    <w:tmpl w:val="783550B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7A846717"/>
    <w:multiLevelType w:val="multilevel"/>
    <w:tmpl w:val="7A846717"/>
    <w:lvl w:ilvl="0" w:tentative="0">
      <w:start w:val="1"/>
      <w:numFmt w:val="decimal"/>
      <w:lvlText w:val="%1."/>
      <w:lvlJc w:val="left"/>
      <w:pPr>
        <w:tabs>
          <w:tab w:val="left" w:pos="425"/>
        </w:tabs>
        <w:ind w:left="425" w:hanging="425"/>
      </w:pPr>
      <w:rPr>
        <w:color w:val="auto"/>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6">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6"/>
  </w:num>
  <w:num w:numId="3">
    <w:abstractNumId w:val="9"/>
  </w:num>
  <w:num w:numId="4">
    <w:abstractNumId w:val="5"/>
  </w:num>
  <w:num w:numId="5">
    <w:abstractNumId w:val="22"/>
  </w:num>
  <w:num w:numId="6">
    <w:abstractNumId w:val="17"/>
  </w:num>
  <w:num w:numId="7">
    <w:abstractNumId w:val="12"/>
  </w:num>
  <w:num w:numId="8">
    <w:abstractNumId w:val="26"/>
  </w:num>
  <w:num w:numId="9">
    <w:abstractNumId w:val="4"/>
  </w:num>
  <w:num w:numId="10">
    <w:abstractNumId w:val="21"/>
  </w:num>
  <w:num w:numId="11">
    <w:abstractNumId w:val="19"/>
  </w:num>
  <w:num w:numId="12">
    <w:abstractNumId w:val="2"/>
  </w:num>
  <w:num w:numId="13">
    <w:abstractNumId w:val="3"/>
  </w:num>
  <w:num w:numId="14">
    <w:abstractNumId w:val="6"/>
  </w:num>
  <w:num w:numId="15">
    <w:abstractNumId w:val="13"/>
  </w:num>
  <w:num w:numId="16">
    <w:abstractNumId w:val="25"/>
  </w:num>
  <w:num w:numId="17">
    <w:abstractNumId w:val="1"/>
  </w:num>
  <w:num w:numId="18">
    <w:abstractNumId w:val="10"/>
  </w:num>
  <w:num w:numId="19">
    <w:abstractNumId w:val="20"/>
  </w:num>
  <w:num w:numId="20">
    <w:abstractNumId w:val="14"/>
  </w:num>
  <w:num w:numId="21">
    <w:abstractNumId w:val="23"/>
  </w:num>
  <w:num w:numId="22">
    <w:abstractNumId w:val="11"/>
  </w:num>
  <w:num w:numId="23">
    <w:abstractNumId w:val="8"/>
  </w:num>
  <w:num w:numId="24">
    <w:abstractNumId w:val="24"/>
  </w:num>
  <w:num w:numId="25">
    <w:abstractNumId w:val="15"/>
  </w:num>
  <w:num w:numId="26">
    <w:abstractNumId w:val="7"/>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writeProtection w:cryptProviderType="rsaFull" w:cryptAlgorithmClass="hash" w:cryptAlgorithmType="typeAny" w:cryptAlgorithmSid="4" w:cryptSpinCount="100000" w:hash="KsgZb2hwxM99SQjce4591HTAklw=" w:salt="8v8cmTBVFHYkH6WmUsIPDw=="/>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yZDI3MzBiMDRjYzQwZTE4MDg5YjI0Y2ZkNGE3MzkifQ=="/>
  </w:docVars>
  <w:rsids>
    <w:rsidRoot w:val="0092721E"/>
    <w:rsid w:val="00001700"/>
    <w:rsid w:val="00001ADA"/>
    <w:rsid w:val="00002DD8"/>
    <w:rsid w:val="0000783A"/>
    <w:rsid w:val="00010219"/>
    <w:rsid w:val="00011524"/>
    <w:rsid w:val="00015A07"/>
    <w:rsid w:val="00021301"/>
    <w:rsid w:val="0002510B"/>
    <w:rsid w:val="0002533E"/>
    <w:rsid w:val="00027156"/>
    <w:rsid w:val="00027507"/>
    <w:rsid w:val="000320C2"/>
    <w:rsid w:val="000336C8"/>
    <w:rsid w:val="0003409E"/>
    <w:rsid w:val="000358D2"/>
    <w:rsid w:val="000360DD"/>
    <w:rsid w:val="000362CD"/>
    <w:rsid w:val="0003715C"/>
    <w:rsid w:val="00042776"/>
    <w:rsid w:val="00042CF9"/>
    <w:rsid w:val="00045787"/>
    <w:rsid w:val="00051B2A"/>
    <w:rsid w:val="00052F73"/>
    <w:rsid w:val="00054202"/>
    <w:rsid w:val="00055562"/>
    <w:rsid w:val="00056807"/>
    <w:rsid w:val="000608FC"/>
    <w:rsid w:val="0006314C"/>
    <w:rsid w:val="00063D2C"/>
    <w:rsid w:val="00075810"/>
    <w:rsid w:val="00080811"/>
    <w:rsid w:val="000808FD"/>
    <w:rsid w:val="00081CA0"/>
    <w:rsid w:val="00083B4B"/>
    <w:rsid w:val="00084660"/>
    <w:rsid w:val="00084BCA"/>
    <w:rsid w:val="000860F1"/>
    <w:rsid w:val="00086188"/>
    <w:rsid w:val="000902F5"/>
    <w:rsid w:val="0009106B"/>
    <w:rsid w:val="0009174E"/>
    <w:rsid w:val="00091C48"/>
    <w:rsid w:val="000922CA"/>
    <w:rsid w:val="0009795D"/>
    <w:rsid w:val="000A13E7"/>
    <w:rsid w:val="000A458C"/>
    <w:rsid w:val="000A5671"/>
    <w:rsid w:val="000A6DE6"/>
    <w:rsid w:val="000B0204"/>
    <w:rsid w:val="000B4393"/>
    <w:rsid w:val="000B5F28"/>
    <w:rsid w:val="000C5320"/>
    <w:rsid w:val="000C6BE9"/>
    <w:rsid w:val="000D0262"/>
    <w:rsid w:val="000D0396"/>
    <w:rsid w:val="000D0AD6"/>
    <w:rsid w:val="000D0EC5"/>
    <w:rsid w:val="000D161C"/>
    <w:rsid w:val="000D1F76"/>
    <w:rsid w:val="000D2D47"/>
    <w:rsid w:val="000D32D1"/>
    <w:rsid w:val="000D4DC8"/>
    <w:rsid w:val="000D56F8"/>
    <w:rsid w:val="000D6897"/>
    <w:rsid w:val="000D6E79"/>
    <w:rsid w:val="000D74BE"/>
    <w:rsid w:val="000E171F"/>
    <w:rsid w:val="000E26C3"/>
    <w:rsid w:val="000E35B4"/>
    <w:rsid w:val="000E735D"/>
    <w:rsid w:val="000F018F"/>
    <w:rsid w:val="000F0687"/>
    <w:rsid w:val="000F2249"/>
    <w:rsid w:val="000F2A7D"/>
    <w:rsid w:val="000F5567"/>
    <w:rsid w:val="000F5D87"/>
    <w:rsid w:val="000F6C61"/>
    <w:rsid w:val="001051C9"/>
    <w:rsid w:val="0010648E"/>
    <w:rsid w:val="001066F5"/>
    <w:rsid w:val="00107D78"/>
    <w:rsid w:val="001101AF"/>
    <w:rsid w:val="00111F67"/>
    <w:rsid w:val="001177E7"/>
    <w:rsid w:val="00117E87"/>
    <w:rsid w:val="00125DB1"/>
    <w:rsid w:val="0012713F"/>
    <w:rsid w:val="0013238D"/>
    <w:rsid w:val="00132434"/>
    <w:rsid w:val="0013496E"/>
    <w:rsid w:val="001378E8"/>
    <w:rsid w:val="0013792D"/>
    <w:rsid w:val="001408BB"/>
    <w:rsid w:val="001434A5"/>
    <w:rsid w:val="00143653"/>
    <w:rsid w:val="00152A9F"/>
    <w:rsid w:val="00153301"/>
    <w:rsid w:val="00153B9E"/>
    <w:rsid w:val="001542F6"/>
    <w:rsid w:val="00154590"/>
    <w:rsid w:val="001548AD"/>
    <w:rsid w:val="00155CDD"/>
    <w:rsid w:val="00157F06"/>
    <w:rsid w:val="00160030"/>
    <w:rsid w:val="00162ABC"/>
    <w:rsid w:val="001632B3"/>
    <w:rsid w:val="00170D22"/>
    <w:rsid w:val="00175B9F"/>
    <w:rsid w:val="001836B6"/>
    <w:rsid w:val="0019030F"/>
    <w:rsid w:val="00190B48"/>
    <w:rsid w:val="00191023"/>
    <w:rsid w:val="00195DF5"/>
    <w:rsid w:val="001A1DD8"/>
    <w:rsid w:val="001A50AA"/>
    <w:rsid w:val="001A580A"/>
    <w:rsid w:val="001A616C"/>
    <w:rsid w:val="001A6511"/>
    <w:rsid w:val="001A7C1E"/>
    <w:rsid w:val="001A7CDF"/>
    <w:rsid w:val="001B0E95"/>
    <w:rsid w:val="001B148E"/>
    <w:rsid w:val="001B2082"/>
    <w:rsid w:val="001B4FC6"/>
    <w:rsid w:val="001B5E1E"/>
    <w:rsid w:val="001B60F2"/>
    <w:rsid w:val="001B6492"/>
    <w:rsid w:val="001C3B02"/>
    <w:rsid w:val="001C510A"/>
    <w:rsid w:val="001C5BBC"/>
    <w:rsid w:val="001C5C19"/>
    <w:rsid w:val="001D01D4"/>
    <w:rsid w:val="001D17E8"/>
    <w:rsid w:val="001D438B"/>
    <w:rsid w:val="001D5BF9"/>
    <w:rsid w:val="001E00E8"/>
    <w:rsid w:val="001E1909"/>
    <w:rsid w:val="001E3D73"/>
    <w:rsid w:val="001E442D"/>
    <w:rsid w:val="001E5677"/>
    <w:rsid w:val="001E7793"/>
    <w:rsid w:val="001F1F84"/>
    <w:rsid w:val="001F29C9"/>
    <w:rsid w:val="001F3AFD"/>
    <w:rsid w:val="001F5382"/>
    <w:rsid w:val="002050AC"/>
    <w:rsid w:val="0021058E"/>
    <w:rsid w:val="00212D60"/>
    <w:rsid w:val="00212F40"/>
    <w:rsid w:val="00217995"/>
    <w:rsid w:val="002219C3"/>
    <w:rsid w:val="00222C5C"/>
    <w:rsid w:val="00223671"/>
    <w:rsid w:val="0022377B"/>
    <w:rsid w:val="00224BC8"/>
    <w:rsid w:val="002254DF"/>
    <w:rsid w:val="00230D64"/>
    <w:rsid w:val="00231CC0"/>
    <w:rsid w:val="002369B8"/>
    <w:rsid w:val="00240703"/>
    <w:rsid w:val="00240A0F"/>
    <w:rsid w:val="00241A10"/>
    <w:rsid w:val="0024273E"/>
    <w:rsid w:val="00245D64"/>
    <w:rsid w:val="00245EB6"/>
    <w:rsid w:val="002463EC"/>
    <w:rsid w:val="00247EE9"/>
    <w:rsid w:val="0025208A"/>
    <w:rsid w:val="0025220D"/>
    <w:rsid w:val="00252759"/>
    <w:rsid w:val="002552AB"/>
    <w:rsid w:val="0025664A"/>
    <w:rsid w:val="00263A81"/>
    <w:rsid w:val="00264597"/>
    <w:rsid w:val="0026687D"/>
    <w:rsid w:val="002704F2"/>
    <w:rsid w:val="0027428C"/>
    <w:rsid w:val="00274D35"/>
    <w:rsid w:val="00275E64"/>
    <w:rsid w:val="00280001"/>
    <w:rsid w:val="002804D6"/>
    <w:rsid w:val="00281A24"/>
    <w:rsid w:val="0028260A"/>
    <w:rsid w:val="0028361C"/>
    <w:rsid w:val="002841E9"/>
    <w:rsid w:val="0028452A"/>
    <w:rsid w:val="002927D4"/>
    <w:rsid w:val="00294B95"/>
    <w:rsid w:val="00294F7C"/>
    <w:rsid w:val="00296F34"/>
    <w:rsid w:val="00297BDD"/>
    <w:rsid w:val="002A2DB3"/>
    <w:rsid w:val="002A32C9"/>
    <w:rsid w:val="002A734B"/>
    <w:rsid w:val="002B0DB3"/>
    <w:rsid w:val="002B12E8"/>
    <w:rsid w:val="002C4E0D"/>
    <w:rsid w:val="002C4F5A"/>
    <w:rsid w:val="002C769D"/>
    <w:rsid w:val="002D1179"/>
    <w:rsid w:val="002D1DF7"/>
    <w:rsid w:val="002D2115"/>
    <w:rsid w:val="002D4667"/>
    <w:rsid w:val="002E1FE6"/>
    <w:rsid w:val="002E33EA"/>
    <w:rsid w:val="002E6315"/>
    <w:rsid w:val="002E7B9E"/>
    <w:rsid w:val="002E7E44"/>
    <w:rsid w:val="002F631B"/>
    <w:rsid w:val="002F7360"/>
    <w:rsid w:val="003004AE"/>
    <w:rsid w:val="00303375"/>
    <w:rsid w:val="00307974"/>
    <w:rsid w:val="00310240"/>
    <w:rsid w:val="00311BFC"/>
    <w:rsid w:val="00312E66"/>
    <w:rsid w:val="00314A31"/>
    <w:rsid w:val="00314FC4"/>
    <w:rsid w:val="003159FF"/>
    <w:rsid w:val="00316AC9"/>
    <w:rsid w:val="00320690"/>
    <w:rsid w:val="00324B55"/>
    <w:rsid w:val="003260EE"/>
    <w:rsid w:val="00330FDE"/>
    <w:rsid w:val="003334CA"/>
    <w:rsid w:val="0033452D"/>
    <w:rsid w:val="00340BEE"/>
    <w:rsid w:val="00341B48"/>
    <w:rsid w:val="00342196"/>
    <w:rsid w:val="00342BB7"/>
    <w:rsid w:val="0034325A"/>
    <w:rsid w:val="0035506B"/>
    <w:rsid w:val="003556B3"/>
    <w:rsid w:val="00355823"/>
    <w:rsid w:val="0036344E"/>
    <w:rsid w:val="0036385E"/>
    <w:rsid w:val="003646BE"/>
    <w:rsid w:val="003659B8"/>
    <w:rsid w:val="00366470"/>
    <w:rsid w:val="00367F19"/>
    <w:rsid w:val="00373413"/>
    <w:rsid w:val="00375D19"/>
    <w:rsid w:val="00377915"/>
    <w:rsid w:val="00377B58"/>
    <w:rsid w:val="00381A92"/>
    <w:rsid w:val="0038213F"/>
    <w:rsid w:val="003839EC"/>
    <w:rsid w:val="00383A5C"/>
    <w:rsid w:val="0038674D"/>
    <w:rsid w:val="00387BAD"/>
    <w:rsid w:val="00391238"/>
    <w:rsid w:val="003919ED"/>
    <w:rsid w:val="00394B8A"/>
    <w:rsid w:val="003A015C"/>
    <w:rsid w:val="003A2CBB"/>
    <w:rsid w:val="003A46BE"/>
    <w:rsid w:val="003A7A45"/>
    <w:rsid w:val="003B0F9C"/>
    <w:rsid w:val="003C0EBC"/>
    <w:rsid w:val="003C1459"/>
    <w:rsid w:val="003C2744"/>
    <w:rsid w:val="003C4AC5"/>
    <w:rsid w:val="003C60D2"/>
    <w:rsid w:val="003D1EAE"/>
    <w:rsid w:val="003D2A4D"/>
    <w:rsid w:val="003D2E0E"/>
    <w:rsid w:val="003D3EC2"/>
    <w:rsid w:val="003D62D3"/>
    <w:rsid w:val="003D6DD8"/>
    <w:rsid w:val="003D741C"/>
    <w:rsid w:val="003D793A"/>
    <w:rsid w:val="003D7DF4"/>
    <w:rsid w:val="003E16EF"/>
    <w:rsid w:val="003E1A07"/>
    <w:rsid w:val="003E1D9E"/>
    <w:rsid w:val="003E3761"/>
    <w:rsid w:val="003E6098"/>
    <w:rsid w:val="003E7A1A"/>
    <w:rsid w:val="003F1BB4"/>
    <w:rsid w:val="003F1BCD"/>
    <w:rsid w:val="003F268B"/>
    <w:rsid w:val="003F6D74"/>
    <w:rsid w:val="00400B0C"/>
    <w:rsid w:val="0040421B"/>
    <w:rsid w:val="004070AE"/>
    <w:rsid w:val="00416802"/>
    <w:rsid w:val="00417D92"/>
    <w:rsid w:val="00421E4B"/>
    <w:rsid w:val="00425997"/>
    <w:rsid w:val="00426F37"/>
    <w:rsid w:val="00431308"/>
    <w:rsid w:val="00431932"/>
    <w:rsid w:val="004342B4"/>
    <w:rsid w:val="004348CD"/>
    <w:rsid w:val="00441E67"/>
    <w:rsid w:val="0044709E"/>
    <w:rsid w:val="00450035"/>
    <w:rsid w:val="00451220"/>
    <w:rsid w:val="00451A79"/>
    <w:rsid w:val="00454F62"/>
    <w:rsid w:val="00461CCC"/>
    <w:rsid w:val="004621DF"/>
    <w:rsid w:val="0046302B"/>
    <w:rsid w:val="004648D1"/>
    <w:rsid w:val="00467EB9"/>
    <w:rsid w:val="00470425"/>
    <w:rsid w:val="00470D03"/>
    <w:rsid w:val="004721EF"/>
    <w:rsid w:val="00472AC0"/>
    <w:rsid w:val="00474379"/>
    <w:rsid w:val="00475AF1"/>
    <w:rsid w:val="0047730C"/>
    <w:rsid w:val="00480D27"/>
    <w:rsid w:val="00484795"/>
    <w:rsid w:val="00484807"/>
    <w:rsid w:val="004917F1"/>
    <w:rsid w:val="004A0EAD"/>
    <w:rsid w:val="004A110E"/>
    <w:rsid w:val="004A41F0"/>
    <w:rsid w:val="004A663F"/>
    <w:rsid w:val="004B12B8"/>
    <w:rsid w:val="004B1576"/>
    <w:rsid w:val="004B7336"/>
    <w:rsid w:val="004C202C"/>
    <w:rsid w:val="004C6DF3"/>
    <w:rsid w:val="004D2988"/>
    <w:rsid w:val="004D4BB4"/>
    <w:rsid w:val="004D626A"/>
    <w:rsid w:val="004D655F"/>
    <w:rsid w:val="004D65FC"/>
    <w:rsid w:val="004D7474"/>
    <w:rsid w:val="004D7A45"/>
    <w:rsid w:val="004E063D"/>
    <w:rsid w:val="004E0B8D"/>
    <w:rsid w:val="004E2335"/>
    <w:rsid w:val="004E3B37"/>
    <w:rsid w:val="004E5049"/>
    <w:rsid w:val="004E76F2"/>
    <w:rsid w:val="005009A4"/>
    <w:rsid w:val="005060C9"/>
    <w:rsid w:val="00506488"/>
    <w:rsid w:val="005078E9"/>
    <w:rsid w:val="00510EA7"/>
    <w:rsid w:val="00512A85"/>
    <w:rsid w:val="00513851"/>
    <w:rsid w:val="00513E79"/>
    <w:rsid w:val="00514B81"/>
    <w:rsid w:val="00517521"/>
    <w:rsid w:val="00521333"/>
    <w:rsid w:val="00522515"/>
    <w:rsid w:val="005246D0"/>
    <w:rsid w:val="00524F35"/>
    <w:rsid w:val="0052710E"/>
    <w:rsid w:val="0052736B"/>
    <w:rsid w:val="0053371F"/>
    <w:rsid w:val="00537753"/>
    <w:rsid w:val="005416C8"/>
    <w:rsid w:val="00542113"/>
    <w:rsid w:val="005455FD"/>
    <w:rsid w:val="00547D67"/>
    <w:rsid w:val="005524CE"/>
    <w:rsid w:val="005531F3"/>
    <w:rsid w:val="00555CFB"/>
    <w:rsid w:val="00555F4F"/>
    <w:rsid w:val="00556439"/>
    <w:rsid w:val="00556939"/>
    <w:rsid w:val="0056055F"/>
    <w:rsid w:val="00561341"/>
    <w:rsid w:val="00564DC6"/>
    <w:rsid w:val="005671AA"/>
    <w:rsid w:val="00567770"/>
    <w:rsid w:val="00572522"/>
    <w:rsid w:val="00574D5F"/>
    <w:rsid w:val="00576106"/>
    <w:rsid w:val="00581131"/>
    <w:rsid w:val="0058484F"/>
    <w:rsid w:val="0058488F"/>
    <w:rsid w:val="0058716D"/>
    <w:rsid w:val="0059023D"/>
    <w:rsid w:val="005908ED"/>
    <w:rsid w:val="00593FEC"/>
    <w:rsid w:val="00596609"/>
    <w:rsid w:val="005A0682"/>
    <w:rsid w:val="005A11D1"/>
    <w:rsid w:val="005A6373"/>
    <w:rsid w:val="005B020A"/>
    <w:rsid w:val="005B4291"/>
    <w:rsid w:val="005B5388"/>
    <w:rsid w:val="005B6604"/>
    <w:rsid w:val="005B673D"/>
    <w:rsid w:val="005B6FE9"/>
    <w:rsid w:val="005B7D46"/>
    <w:rsid w:val="005C41E3"/>
    <w:rsid w:val="005C53B8"/>
    <w:rsid w:val="005C7E25"/>
    <w:rsid w:val="005D0AD2"/>
    <w:rsid w:val="005D7D3D"/>
    <w:rsid w:val="005E06E8"/>
    <w:rsid w:val="005E3019"/>
    <w:rsid w:val="005E706A"/>
    <w:rsid w:val="005E753B"/>
    <w:rsid w:val="005F03B6"/>
    <w:rsid w:val="005F16D1"/>
    <w:rsid w:val="005F3388"/>
    <w:rsid w:val="006000D1"/>
    <w:rsid w:val="00603607"/>
    <w:rsid w:val="00603F49"/>
    <w:rsid w:val="00606978"/>
    <w:rsid w:val="00610619"/>
    <w:rsid w:val="00610975"/>
    <w:rsid w:val="0062125E"/>
    <w:rsid w:val="0062212B"/>
    <w:rsid w:val="006225DB"/>
    <w:rsid w:val="0062260D"/>
    <w:rsid w:val="00623369"/>
    <w:rsid w:val="00623C97"/>
    <w:rsid w:val="0062775A"/>
    <w:rsid w:val="006319CC"/>
    <w:rsid w:val="006357E2"/>
    <w:rsid w:val="00637069"/>
    <w:rsid w:val="006372F9"/>
    <w:rsid w:val="00641107"/>
    <w:rsid w:val="00641797"/>
    <w:rsid w:val="00644032"/>
    <w:rsid w:val="006506D0"/>
    <w:rsid w:val="00650E75"/>
    <w:rsid w:val="00657879"/>
    <w:rsid w:val="00657D67"/>
    <w:rsid w:val="00667569"/>
    <w:rsid w:val="006702B3"/>
    <w:rsid w:val="006732DD"/>
    <w:rsid w:val="00674492"/>
    <w:rsid w:val="00674A8B"/>
    <w:rsid w:val="00674CE0"/>
    <w:rsid w:val="00674CFD"/>
    <w:rsid w:val="006835FA"/>
    <w:rsid w:val="00690296"/>
    <w:rsid w:val="00690C0D"/>
    <w:rsid w:val="00691EC3"/>
    <w:rsid w:val="00692A58"/>
    <w:rsid w:val="00692F0C"/>
    <w:rsid w:val="00694EB0"/>
    <w:rsid w:val="006964E2"/>
    <w:rsid w:val="006A1FD4"/>
    <w:rsid w:val="006A5E12"/>
    <w:rsid w:val="006B0FCC"/>
    <w:rsid w:val="006B344A"/>
    <w:rsid w:val="006C45BC"/>
    <w:rsid w:val="006C5EBC"/>
    <w:rsid w:val="006D1898"/>
    <w:rsid w:val="006D24C9"/>
    <w:rsid w:val="006D35A1"/>
    <w:rsid w:val="006D4112"/>
    <w:rsid w:val="006D4312"/>
    <w:rsid w:val="006D4367"/>
    <w:rsid w:val="006D4950"/>
    <w:rsid w:val="006D5D42"/>
    <w:rsid w:val="006E1E70"/>
    <w:rsid w:val="006E43BE"/>
    <w:rsid w:val="006E6E37"/>
    <w:rsid w:val="006F428C"/>
    <w:rsid w:val="006F55C7"/>
    <w:rsid w:val="006F78BA"/>
    <w:rsid w:val="007007AD"/>
    <w:rsid w:val="007033A9"/>
    <w:rsid w:val="007117F6"/>
    <w:rsid w:val="00712C52"/>
    <w:rsid w:val="0071336B"/>
    <w:rsid w:val="00716CD2"/>
    <w:rsid w:val="0072185F"/>
    <w:rsid w:val="007246E4"/>
    <w:rsid w:val="0073039E"/>
    <w:rsid w:val="00734F94"/>
    <w:rsid w:val="0073673B"/>
    <w:rsid w:val="00737FC4"/>
    <w:rsid w:val="00741FD2"/>
    <w:rsid w:val="00743641"/>
    <w:rsid w:val="0074554E"/>
    <w:rsid w:val="00746085"/>
    <w:rsid w:val="007478D2"/>
    <w:rsid w:val="00747EB3"/>
    <w:rsid w:val="00751803"/>
    <w:rsid w:val="00752BE7"/>
    <w:rsid w:val="00761704"/>
    <w:rsid w:val="00765F75"/>
    <w:rsid w:val="00774808"/>
    <w:rsid w:val="00776370"/>
    <w:rsid w:val="00776C08"/>
    <w:rsid w:val="00781730"/>
    <w:rsid w:val="00781936"/>
    <w:rsid w:val="00781FA1"/>
    <w:rsid w:val="0078421C"/>
    <w:rsid w:val="00785989"/>
    <w:rsid w:val="0078698F"/>
    <w:rsid w:val="00791B01"/>
    <w:rsid w:val="00791BE5"/>
    <w:rsid w:val="00792DC5"/>
    <w:rsid w:val="00792F46"/>
    <w:rsid w:val="00794A33"/>
    <w:rsid w:val="00794CD9"/>
    <w:rsid w:val="007957F2"/>
    <w:rsid w:val="007969F3"/>
    <w:rsid w:val="007A1386"/>
    <w:rsid w:val="007A4481"/>
    <w:rsid w:val="007A4A7D"/>
    <w:rsid w:val="007A519B"/>
    <w:rsid w:val="007A7268"/>
    <w:rsid w:val="007B04BF"/>
    <w:rsid w:val="007B0787"/>
    <w:rsid w:val="007B1BD0"/>
    <w:rsid w:val="007B26C7"/>
    <w:rsid w:val="007B2B61"/>
    <w:rsid w:val="007B3AD9"/>
    <w:rsid w:val="007B58FA"/>
    <w:rsid w:val="007B7AF5"/>
    <w:rsid w:val="007C0D11"/>
    <w:rsid w:val="007C0D69"/>
    <w:rsid w:val="007C257D"/>
    <w:rsid w:val="007C26B2"/>
    <w:rsid w:val="007C2A48"/>
    <w:rsid w:val="007C2F5D"/>
    <w:rsid w:val="007C4F53"/>
    <w:rsid w:val="007C58D1"/>
    <w:rsid w:val="007D5DA8"/>
    <w:rsid w:val="007D66B8"/>
    <w:rsid w:val="007E02D8"/>
    <w:rsid w:val="007E1962"/>
    <w:rsid w:val="007E48DC"/>
    <w:rsid w:val="007E76F6"/>
    <w:rsid w:val="007F165A"/>
    <w:rsid w:val="007F17BF"/>
    <w:rsid w:val="007F27D8"/>
    <w:rsid w:val="007F4543"/>
    <w:rsid w:val="007F73C0"/>
    <w:rsid w:val="008030D9"/>
    <w:rsid w:val="0080582E"/>
    <w:rsid w:val="00807B71"/>
    <w:rsid w:val="008237EB"/>
    <w:rsid w:val="008269F9"/>
    <w:rsid w:val="00826A54"/>
    <w:rsid w:val="00827512"/>
    <w:rsid w:val="00832E2E"/>
    <w:rsid w:val="0083614F"/>
    <w:rsid w:val="00837CC4"/>
    <w:rsid w:val="00837FCF"/>
    <w:rsid w:val="00841316"/>
    <w:rsid w:val="008415AA"/>
    <w:rsid w:val="0084690F"/>
    <w:rsid w:val="00847334"/>
    <w:rsid w:val="00847B07"/>
    <w:rsid w:val="0085321A"/>
    <w:rsid w:val="00855F99"/>
    <w:rsid w:val="00857D42"/>
    <w:rsid w:val="00860C0F"/>
    <w:rsid w:val="00862336"/>
    <w:rsid w:val="0086284B"/>
    <w:rsid w:val="00863CAD"/>
    <w:rsid w:val="008651E1"/>
    <w:rsid w:val="0086746B"/>
    <w:rsid w:val="0086784A"/>
    <w:rsid w:val="008722B7"/>
    <w:rsid w:val="008741B2"/>
    <w:rsid w:val="00876E91"/>
    <w:rsid w:val="0088159C"/>
    <w:rsid w:val="00883163"/>
    <w:rsid w:val="008851EB"/>
    <w:rsid w:val="0088638A"/>
    <w:rsid w:val="00890CA8"/>
    <w:rsid w:val="00890FDF"/>
    <w:rsid w:val="00895D7F"/>
    <w:rsid w:val="00897349"/>
    <w:rsid w:val="008A0AE8"/>
    <w:rsid w:val="008A1AF1"/>
    <w:rsid w:val="008A4379"/>
    <w:rsid w:val="008A6C49"/>
    <w:rsid w:val="008B0207"/>
    <w:rsid w:val="008B4DA0"/>
    <w:rsid w:val="008B637F"/>
    <w:rsid w:val="008C2590"/>
    <w:rsid w:val="008C2827"/>
    <w:rsid w:val="008C3704"/>
    <w:rsid w:val="008C5021"/>
    <w:rsid w:val="008C6A90"/>
    <w:rsid w:val="008C6CFC"/>
    <w:rsid w:val="008E260A"/>
    <w:rsid w:val="008E293B"/>
    <w:rsid w:val="008E3FAA"/>
    <w:rsid w:val="008E60B0"/>
    <w:rsid w:val="008E61F6"/>
    <w:rsid w:val="008E6FEE"/>
    <w:rsid w:val="008E7E92"/>
    <w:rsid w:val="008E7F88"/>
    <w:rsid w:val="008F3BA9"/>
    <w:rsid w:val="00903A19"/>
    <w:rsid w:val="0091015C"/>
    <w:rsid w:val="009104BA"/>
    <w:rsid w:val="00914903"/>
    <w:rsid w:val="0091601F"/>
    <w:rsid w:val="0091741B"/>
    <w:rsid w:val="00917609"/>
    <w:rsid w:val="00921F09"/>
    <w:rsid w:val="009255DA"/>
    <w:rsid w:val="00926F67"/>
    <w:rsid w:val="0092721E"/>
    <w:rsid w:val="00932B30"/>
    <w:rsid w:val="009331B8"/>
    <w:rsid w:val="00933C43"/>
    <w:rsid w:val="0094309C"/>
    <w:rsid w:val="00945824"/>
    <w:rsid w:val="00945BC4"/>
    <w:rsid w:val="00945F96"/>
    <w:rsid w:val="00953A98"/>
    <w:rsid w:val="00962820"/>
    <w:rsid w:val="0096534D"/>
    <w:rsid w:val="00965DAA"/>
    <w:rsid w:val="00967D26"/>
    <w:rsid w:val="0097174A"/>
    <w:rsid w:val="00971E9E"/>
    <w:rsid w:val="00975C43"/>
    <w:rsid w:val="00977BFA"/>
    <w:rsid w:val="00980873"/>
    <w:rsid w:val="00982129"/>
    <w:rsid w:val="0098352D"/>
    <w:rsid w:val="00986AEC"/>
    <w:rsid w:val="00990B82"/>
    <w:rsid w:val="009927A3"/>
    <w:rsid w:val="009A337D"/>
    <w:rsid w:val="009A35B7"/>
    <w:rsid w:val="009A4281"/>
    <w:rsid w:val="009A43C8"/>
    <w:rsid w:val="009A4F46"/>
    <w:rsid w:val="009A5606"/>
    <w:rsid w:val="009A781C"/>
    <w:rsid w:val="009B3841"/>
    <w:rsid w:val="009B5DD1"/>
    <w:rsid w:val="009C45A9"/>
    <w:rsid w:val="009C4ABC"/>
    <w:rsid w:val="009C5636"/>
    <w:rsid w:val="009C5668"/>
    <w:rsid w:val="009C69B9"/>
    <w:rsid w:val="009C6AB2"/>
    <w:rsid w:val="009C7A54"/>
    <w:rsid w:val="009D2CFF"/>
    <w:rsid w:val="009D3B80"/>
    <w:rsid w:val="009D4B28"/>
    <w:rsid w:val="009D5377"/>
    <w:rsid w:val="009E46B5"/>
    <w:rsid w:val="009E5524"/>
    <w:rsid w:val="009E55F7"/>
    <w:rsid w:val="009E6211"/>
    <w:rsid w:val="009F11A5"/>
    <w:rsid w:val="009F2391"/>
    <w:rsid w:val="009F3518"/>
    <w:rsid w:val="009F53D8"/>
    <w:rsid w:val="009F7CBC"/>
    <w:rsid w:val="00A00EF7"/>
    <w:rsid w:val="00A0147C"/>
    <w:rsid w:val="00A0302B"/>
    <w:rsid w:val="00A044A7"/>
    <w:rsid w:val="00A0476A"/>
    <w:rsid w:val="00A04E77"/>
    <w:rsid w:val="00A05EFF"/>
    <w:rsid w:val="00A06797"/>
    <w:rsid w:val="00A07EA2"/>
    <w:rsid w:val="00A122A1"/>
    <w:rsid w:val="00A15D08"/>
    <w:rsid w:val="00A21DC1"/>
    <w:rsid w:val="00A274B6"/>
    <w:rsid w:val="00A276AE"/>
    <w:rsid w:val="00A278DE"/>
    <w:rsid w:val="00A3301F"/>
    <w:rsid w:val="00A379E7"/>
    <w:rsid w:val="00A42BF9"/>
    <w:rsid w:val="00A45A5E"/>
    <w:rsid w:val="00A5002F"/>
    <w:rsid w:val="00A511BD"/>
    <w:rsid w:val="00A519DF"/>
    <w:rsid w:val="00A630D7"/>
    <w:rsid w:val="00A64F97"/>
    <w:rsid w:val="00A6524E"/>
    <w:rsid w:val="00A65723"/>
    <w:rsid w:val="00A66587"/>
    <w:rsid w:val="00A70495"/>
    <w:rsid w:val="00A70508"/>
    <w:rsid w:val="00A7103B"/>
    <w:rsid w:val="00A73BED"/>
    <w:rsid w:val="00A73F1E"/>
    <w:rsid w:val="00A75CF3"/>
    <w:rsid w:val="00A7694D"/>
    <w:rsid w:val="00A777C7"/>
    <w:rsid w:val="00A839A7"/>
    <w:rsid w:val="00A83D9C"/>
    <w:rsid w:val="00A83FD6"/>
    <w:rsid w:val="00A85936"/>
    <w:rsid w:val="00A91FC7"/>
    <w:rsid w:val="00A95530"/>
    <w:rsid w:val="00A97E74"/>
    <w:rsid w:val="00AA0039"/>
    <w:rsid w:val="00AA2949"/>
    <w:rsid w:val="00AA2B72"/>
    <w:rsid w:val="00AA5CD1"/>
    <w:rsid w:val="00AB1F05"/>
    <w:rsid w:val="00AB3EA6"/>
    <w:rsid w:val="00AC11D1"/>
    <w:rsid w:val="00AC5C09"/>
    <w:rsid w:val="00AC60AF"/>
    <w:rsid w:val="00AC6C16"/>
    <w:rsid w:val="00AC7E29"/>
    <w:rsid w:val="00AD1D64"/>
    <w:rsid w:val="00AD2C87"/>
    <w:rsid w:val="00AD45EF"/>
    <w:rsid w:val="00AD54B6"/>
    <w:rsid w:val="00AE0AF4"/>
    <w:rsid w:val="00AE145A"/>
    <w:rsid w:val="00AE2FD7"/>
    <w:rsid w:val="00AE4FBA"/>
    <w:rsid w:val="00AE5548"/>
    <w:rsid w:val="00AF5EFA"/>
    <w:rsid w:val="00AF6E32"/>
    <w:rsid w:val="00B004A7"/>
    <w:rsid w:val="00B01244"/>
    <w:rsid w:val="00B024C1"/>
    <w:rsid w:val="00B03D31"/>
    <w:rsid w:val="00B050C8"/>
    <w:rsid w:val="00B150F4"/>
    <w:rsid w:val="00B154D9"/>
    <w:rsid w:val="00B20BF2"/>
    <w:rsid w:val="00B24F2D"/>
    <w:rsid w:val="00B25C40"/>
    <w:rsid w:val="00B31D23"/>
    <w:rsid w:val="00B37B94"/>
    <w:rsid w:val="00B40884"/>
    <w:rsid w:val="00B428CE"/>
    <w:rsid w:val="00B42917"/>
    <w:rsid w:val="00B460E0"/>
    <w:rsid w:val="00B465AC"/>
    <w:rsid w:val="00B46C05"/>
    <w:rsid w:val="00B47897"/>
    <w:rsid w:val="00B50098"/>
    <w:rsid w:val="00B52A0A"/>
    <w:rsid w:val="00B5646B"/>
    <w:rsid w:val="00B572DA"/>
    <w:rsid w:val="00B63AED"/>
    <w:rsid w:val="00B6513D"/>
    <w:rsid w:val="00B654D7"/>
    <w:rsid w:val="00B70198"/>
    <w:rsid w:val="00B70BD3"/>
    <w:rsid w:val="00B74143"/>
    <w:rsid w:val="00B7730E"/>
    <w:rsid w:val="00B830C6"/>
    <w:rsid w:val="00B86999"/>
    <w:rsid w:val="00B92CA9"/>
    <w:rsid w:val="00B94780"/>
    <w:rsid w:val="00B95130"/>
    <w:rsid w:val="00B95C3B"/>
    <w:rsid w:val="00B96274"/>
    <w:rsid w:val="00B97BEF"/>
    <w:rsid w:val="00B97D8F"/>
    <w:rsid w:val="00BA050F"/>
    <w:rsid w:val="00BA27BC"/>
    <w:rsid w:val="00BA2E52"/>
    <w:rsid w:val="00BA330A"/>
    <w:rsid w:val="00BA4DB4"/>
    <w:rsid w:val="00BA6798"/>
    <w:rsid w:val="00BB38E9"/>
    <w:rsid w:val="00BB78C0"/>
    <w:rsid w:val="00BC75E7"/>
    <w:rsid w:val="00BD0CD6"/>
    <w:rsid w:val="00BD5EF6"/>
    <w:rsid w:val="00BE0158"/>
    <w:rsid w:val="00BE182E"/>
    <w:rsid w:val="00BE396E"/>
    <w:rsid w:val="00BE3EBF"/>
    <w:rsid w:val="00BE6513"/>
    <w:rsid w:val="00BE69CF"/>
    <w:rsid w:val="00BE7E35"/>
    <w:rsid w:val="00BF0E06"/>
    <w:rsid w:val="00BF441D"/>
    <w:rsid w:val="00BF6916"/>
    <w:rsid w:val="00C00312"/>
    <w:rsid w:val="00C03C34"/>
    <w:rsid w:val="00C065F1"/>
    <w:rsid w:val="00C07200"/>
    <w:rsid w:val="00C10079"/>
    <w:rsid w:val="00C114B4"/>
    <w:rsid w:val="00C14E97"/>
    <w:rsid w:val="00C15CA9"/>
    <w:rsid w:val="00C167DD"/>
    <w:rsid w:val="00C17119"/>
    <w:rsid w:val="00C20A46"/>
    <w:rsid w:val="00C2192B"/>
    <w:rsid w:val="00C259FD"/>
    <w:rsid w:val="00C306B1"/>
    <w:rsid w:val="00C30E01"/>
    <w:rsid w:val="00C33865"/>
    <w:rsid w:val="00C33D67"/>
    <w:rsid w:val="00C3492F"/>
    <w:rsid w:val="00C4078F"/>
    <w:rsid w:val="00C40D78"/>
    <w:rsid w:val="00C453AB"/>
    <w:rsid w:val="00C47A19"/>
    <w:rsid w:val="00C50D9C"/>
    <w:rsid w:val="00C51D94"/>
    <w:rsid w:val="00C533C0"/>
    <w:rsid w:val="00C54B0E"/>
    <w:rsid w:val="00C56B00"/>
    <w:rsid w:val="00C61111"/>
    <w:rsid w:val="00C62012"/>
    <w:rsid w:val="00C63914"/>
    <w:rsid w:val="00C67202"/>
    <w:rsid w:val="00C67671"/>
    <w:rsid w:val="00C718DD"/>
    <w:rsid w:val="00C746B1"/>
    <w:rsid w:val="00C8338C"/>
    <w:rsid w:val="00C83CF6"/>
    <w:rsid w:val="00C84240"/>
    <w:rsid w:val="00C87456"/>
    <w:rsid w:val="00C90013"/>
    <w:rsid w:val="00C915BE"/>
    <w:rsid w:val="00C9438D"/>
    <w:rsid w:val="00C95509"/>
    <w:rsid w:val="00C962B0"/>
    <w:rsid w:val="00C96876"/>
    <w:rsid w:val="00CA1C7E"/>
    <w:rsid w:val="00CA342B"/>
    <w:rsid w:val="00CA7EA4"/>
    <w:rsid w:val="00CA7EC6"/>
    <w:rsid w:val="00CB035B"/>
    <w:rsid w:val="00CB1CCE"/>
    <w:rsid w:val="00CB7362"/>
    <w:rsid w:val="00CB7BC1"/>
    <w:rsid w:val="00CC0113"/>
    <w:rsid w:val="00CC1EFC"/>
    <w:rsid w:val="00CC44DD"/>
    <w:rsid w:val="00CC5D2F"/>
    <w:rsid w:val="00CC66C4"/>
    <w:rsid w:val="00CD0E99"/>
    <w:rsid w:val="00CD12C1"/>
    <w:rsid w:val="00CD23D3"/>
    <w:rsid w:val="00CD35E2"/>
    <w:rsid w:val="00CE02DE"/>
    <w:rsid w:val="00CE044A"/>
    <w:rsid w:val="00CE5688"/>
    <w:rsid w:val="00CE79BA"/>
    <w:rsid w:val="00CF5BDF"/>
    <w:rsid w:val="00CF5D13"/>
    <w:rsid w:val="00CF6C8E"/>
    <w:rsid w:val="00CF78C4"/>
    <w:rsid w:val="00CF7918"/>
    <w:rsid w:val="00D002F6"/>
    <w:rsid w:val="00D010E8"/>
    <w:rsid w:val="00D01CEB"/>
    <w:rsid w:val="00D071DD"/>
    <w:rsid w:val="00D07825"/>
    <w:rsid w:val="00D161B4"/>
    <w:rsid w:val="00D21D24"/>
    <w:rsid w:val="00D22C58"/>
    <w:rsid w:val="00D23654"/>
    <w:rsid w:val="00D302D5"/>
    <w:rsid w:val="00D302E7"/>
    <w:rsid w:val="00D311D5"/>
    <w:rsid w:val="00D363C1"/>
    <w:rsid w:val="00D37BD4"/>
    <w:rsid w:val="00D40031"/>
    <w:rsid w:val="00D44A17"/>
    <w:rsid w:val="00D51499"/>
    <w:rsid w:val="00D51B32"/>
    <w:rsid w:val="00D521D5"/>
    <w:rsid w:val="00D52CE8"/>
    <w:rsid w:val="00D52E22"/>
    <w:rsid w:val="00D54E2B"/>
    <w:rsid w:val="00D55532"/>
    <w:rsid w:val="00D55E4A"/>
    <w:rsid w:val="00D57D3A"/>
    <w:rsid w:val="00D6021B"/>
    <w:rsid w:val="00D609F7"/>
    <w:rsid w:val="00D61B9D"/>
    <w:rsid w:val="00D66300"/>
    <w:rsid w:val="00D72720"/>
    <w:rsid w:val="00D761F6"/>
    <w:rsid w:val="00D76638"/>
    <w:rsid w:val="00D77521"/>
    <w:rsid w:val="00D77672"/>
    <w:rsid w:val="00D77FC1"/>
    <w:rsid w:val="00D82076"/>
    <w:rsid w:val="00D84838"/>
    <w:rsid w:val="00D8544A"/>
    <w:rsid w:val="00D85969"/>
    <w:rsid w:val="00D85F34"/>
    <w:rsid w:val="00D86969"/>
    <w:rsid w:val="00D869BC"/>
    <w:rsid w:val="00D872C4"/>
    <w:rsid w:val="00D93333"/>
    <w:rsid w:val="00D93FBC"/>
    <w:rsid w:val="00D9619C"/>
    <w:rsid w:val="00D964BD"/>
    <w:rsid w:val="00D96B9C"/>
    <w:rsid w:val="00DA0EEF"/>
    <w:rsid w:val="00DA3A20"/>
    <w:rsid w:val="00DA5935"/>
    <w:rsid w:val="00DA727F"/>
    <w:rsid w:val="00DB0D78"/>
    <w:rsid w:val="00DB0F78"/>
    <w:rsid w:val="00DB392E"/>
    <w:rsid w:val="00DC1F90"/>
    <w:rsid w:val="00DC3AD7"/>
    <w:rsid w:val="00DC5D0B"/>
    <w:rsid w:val="00DC7767"/>
    <w:rsid w:val="00DD0784"/>
    <w:rsid w:val="00DD2311"/>
    <w:rsid w:val="00DD34FB"/>
    <w:rsid w:val="00DD3899"/>
    <w:rsid w:val="00DD55F8"/>
    <w:rsid w:val="00DD68C9"/>
    <w:rsid w:val="00DD78F5"/>
    <w:rsid w:val="00DD7C6C"/>
    <w:rsid w:val="00DE260D"/>
    <w:rsid w:val="00DE38CC"/>
    <w:rsid w:val="00DE413C"/>
    <w:rsid w:val="00DE55E7"/>
    <w:rsid w:val="00DE787B"/>
    <w:rsid w:val="00DE7A63"/>
    <w:rsid w:val="00DF0A47"/>
    <w:rsid w:val="00DF120D"/>
    <w:rsid w:val="00DF13EC"/>
    <w:rsid w:val="00DF3CF6"/>
    <w:rsid w:val="00DF4757"/>
    <w:rsid w:val="00E0054F"/>
    <w:rsid w:val="00E0397C"/>
    <w:rsid w:val="00E03FF5"/>
    <w:rsid w:val="00E04B8E"/>
    <w:rsid w:val="00E21F5F"/>
    <w:rsid w:val="00E30C88"/>
    <w:rsid w:val="00E316A5"/>
    <w:rsid w:val="00E42AAA"/>
    <w:rsid w:val="00E45C51"/>
    <w:rsid w:val="00E5260D"/>
    <w:rsid w:val="00E5445C"/>
    <w:rsid w:val="00E55870"/>
    <w:rsid w:val="00E57DD4"/>
    <w:rsid w:val="00E6358D"/>
    <w:rsid w:val="00E6617F"/>
    <w:rsid w:val="00E6657B"/>
    <w:rsid w:val="00E6687A"/>
    <w:rsid w:val="00E67AF0"/>
    <w:rsid w:val="00E67DFC"/>
    <w:rsid w:val="00E702B6"/>
    <w:rsid w:val="00E72109"/>
    <w:rsid w:val="00E74032"/>
    <w:rsid w:val="00E75436"/>
    <w:rsid w:val="00E84324"/>
    <w:rsid w:val="00E843EB"/>
    <w:rsid w:val="00E847FE"/>
    <w:rsid w:val="00E87789"/>
    <w:rsid w:val="00E90D12"/>
    <w:rsid w:val="00E93437"/>
    <w:rsid w:val="00E94825"/>
    <w:rsid w:val="00E94860"/>
    <w:rsid w:val="00E95D2D"/>
    <w:rsid w:val="00EA010D"/>
    <w:rsid w:val="00EA3A62"/>
    <w:rsid w:val="00EA5B0C"/>
    <w:rsid w:val="00EA5CD9"/>
    <w:rsid w:val="00EB2DD7"/>
    <w:rsid w:val="00EC60E8"/>
    <w:rsid w:val="00EC7641"/>
    <w:rsid w:val="00ED2029"/>
    <w:rsid w:val="00ED5C5E"/>
    <w:rsid w:val="00ED6AB4"/>
    <w:rsid w:val="00EE094F"/>
    <w:rsid w:val="00EE0FB2"/>
    <w:rsid w:val="00EE1BF2"/>
    <w:rsid w:val="00EE3074"/>
    <w:rsid w:val="00EE5C4F"/>
    <w:rsid w:val="00EF1C61"/>
    <w:rsid w:val="00EF4D85"/>
    <w:rsid w:val="00EF7352"/>
    <w:rsid w:val="00F01D8F"/>
    <w:rsid w:val="00F04196"/>
    <w:rsid w:val="00F06302"/>
    <w:rsid w:val="00F07632"/>
    <w:rsid w:val="00F104DE"/>
    <w:rsid w:val="00F11013"/>
    <w:rsid w:val="00F12E4B"/>
    <w:rsid w:val="00F145ED"/>
    <w:rsid w:val="00F15515"/>
    <w:rsid w:val="00F16535"/>
    <w:rsid w:val="00F21613"/>
    <w:rsid w:val="00F24EC2"/>
    <w:rsid w:val="00F268A2"/>
    <w:rsid w:val="00F35A3D"/>
    <w:rsid w:val="00F363E8"/>
    <w:rsid w:val="00F379A2"/>
    <w:rsid w:val="00F37C26"/>
    <w:rsid w:val="00F450AB"/>
    <w:rsid w:val="00F45EF7"/>
    <w:rsid w:val="00F50C05"/>
    <w:rsid w:val="00F54675"/>
    <w:rsid w:val="00F5640B"/>
    <w:rsid w:val="00F61B67"/>
    <w:rsid w:val="00F63336"/>
    <w:rsid w:val="00F6389B"/>
    <w:rsid w:val="00F63DBC"/>
    <w:rsid w:val="00F646EC"/>
    <w:rsid w:val="00F66DDB"/>
    <w:rsid w:val="00F67623"/>
    <w:rsid w:val="00F75831"/>
    <w:rsid w:val="00F7646E"/>
    <w:rsid w:val="00F7750B"/>
    <w:rsid w:val="00F80C96"/>
    <w:rsid w:val="00F814CD"/>
    <w:rsid w:val="00F815F4"/>
    <w:rsid w:val="00F84116"/>
    <w:rsid w:val="00F85ED6"/>
    <w:rsid w:val="00F87E6A"/>
    <w:rsid w:val="00F908C6"/>
    <w:rsid w:val="00F9099E"/>
    <w:rsid w:val="00F90F09"/>
    <w:rsid w:val="00F92B1A"/>
    <w:rsid w:val="00F948C3"/>
    <w:rsid w:val="00F94D57"/>
    <w:rsid w:val="00FA187D"/>
    <w:rsid w:val="00FA2DE0"/>
    <w:rsid w:val="00FA5383"/>
    <w:rsid w:val="00FA6B1A"/>
    <w:rsid w:val="00FB241A"/>
    <w:rsid w:val="00FB2D6B"/>
    <w:rsid w:val="00FB4792"/>
    <w:rsid w:val="00FB6140"/>
    <w:rsid w:val="00FC0238"/>
    <w:rsid w:val="00FC6FD2"/>
    <w:rsid w:val="00FC71DD"/>
    <w:rsid w:val="00FC7AE7"/>
    <w:rsid w:val="00FD006C"/>
    <w:rsid w:val="00FD0D5C"/>
    <w:rsid w:val="00FD1029"/>
    <w:rsid w:val="00FD5266"/>
    <w:rsid w:val="00FD71A3"/>
    <w:rsid w:val="00FD7C0B"/>
    <w:rsid w:val="00FE03E1"/>
    <w:rsid w:val="00FF0084"/>
    <w:rsid w:val="00FF1227"/>
    <w:rsid w:val="00FF2E2F"/>
    <w:rsid w:val="00FF3314"/>
    <w:rsid w:val="00FF3666"/>
    <w:rsid w:val="00FF447A"/>
    <w:rsid w:val="00FF5777"/>
    <w:rsid w:val="00FF7D89"/>
    <w:rsid w:val="011473CB"/>
    <w:rsid w:val="01737C41"/>
    <w:rsid w:val="01C504BB"/>
    <w:rsid w:val="01C84ACF"/>
    <w:rsid w:val="01D31020"/>
    <w:rsid w:val="01FF6BA9"/>
    <w:rsid w:val="02D159D1"/>
    <w:rsid w:val="03195159"/>
    <w:rsid w:val="03287EC6"/>
    <w:rsid w:val="034155E9"/>
    <w:rsid w:val="03756C38"/>
    <w:rsid w:val="04712AB4"/>
    <w:rsid w:val="05195543"/>
    <w:rsid w:val="054A1175"/>
    <w:rsid w:val="05F22A47"/>
    <w:rsid w:val="06974D24"/>
    <w:rsid w:val="07746E01"/>
    <w:rsid w:val="07E0325B"/>
    <w:rsid w:val="08210266"/>
    <w:rsid w:val="084F33CB"/>
    <w:rsid w:val="08A162D5"/>
    <w:rsid w:val="0994675E"/>
    <w:rsid w:val="09A55995"/>
    <w:rsid w:val="09D21BBD"/>
    <w:rsid w:val="0A46098C"/>
    <w:rsid w:val="0AD51A28"/>
    <w:rsid w:val="0B1D5B5E"/>
    <w:rsid w:val="0C762DC1"/>
    <w:rsid w:val="0CE70ED2"/>
    <w:rsid w:val="0D9C069D"/>
    <w:rsid w:val="0DB1FEF3"/>
    <w:rsid w:val="0DE34399"/>
    <w:rsid w:val="0E1034C8"/>
    <w:rsid w:val="0E9555F6"/>
    <w:rsid w:val="0E99714E"/>
    <w:rsid w:val="0F87344A"/>
    <w:rsid w:val="0F8C0A60"/>
    <w:rsid w:val="114D2B67"/>
    <w:rsid w:val="11581270"/>
    <w:rsid w:val="116F0B8C"/>
    <w:rsid w:val="116F7B99"/>
    <w:rsid w:val="11B75368"/>
    <w:rsid w:val="11CA62F8"/>
    <w:rsid w:val="11F9626D"/>
    <w:rsid w:val="12441A2F"/>
    <w:rsid w:val="128B44DB"/>
    <w:rsid w:val="12A1740C"/>
    <w:rsid w:val="12AD6C1F"/>
    <w:rsid w:val="12B27391"/>
    <w:rsid w:val="12C372BA"/>
    <w:rsid w:val="131258B0"/>
    <w:rsid w:val="13C35C37"/>
    <w:rsid w:val="13C67FD4"/>
    <w:rsid w:val="14382F65"/>
    <w:rsid w:val="14AB40C8"/>
    <w:rsid w:val="14CF3011"/>
    <w:rsid w:val="14CF5540"/>
    <w:rsid w:val="152139F9"/>
    <w:rsid w:val="15295F19"/>
    <w:rsid w:val="158D7F1F"/>
    <w:rsid w:val="15907EEC"/>
    <w:rsid w:val="15B048EF"/>
    <w:rsid w:val="15D73229"/>
    <w:rsid w:val="15DC17AE"/>
    <w:rsid w:val="164E12CF"/>
    <w:rsid w:val="167D26E9"/>
    <w:rsid w:val="177E5132"/>
    <w:rsid w:val="17DA3CAD"/>
    <w:rsid w:val="17FF5698"/>
    <w:rsid w:val="18847BF8"/>
    <w:rsid w:val="189669D2"/>
    <w:rsid w:val="18C439CC"/>
    <w:rsid w:val="18E011D9"/>
    <w:rsid w:val="18ED431E"/>
    <w:rsid w:val="19942538"/>
    <w:rsid w:val="1A030354"/>
    <w:rsid w:val="1A186D43"/>
    <w:rsid w:val="1A90434E"/>
    <w:rsid w:val="1A9D17F9"/>
    <w:rsid w:val="1AF736B3"/>
    <w:rsid w:val="1B211E44"/>
    <w:rsid w:val="1B545730"/>
    <w:rsid w:val="1B8148BC"/>
    <w:rsid w:val="1BA06EA1"/>
    <w:rsid w:val="1BF81957"/>
    <w:rsid w:val="1C763CF8"/>
    <w:rsid w:val="1CA7361F"/>
    <w:rsid w:val="1CDC12E6"/>
    <w:rsid w:val="1E0D3178"/>
    <w:rsid w:val="1E120C67"/>
    <w:rsid w:val="1F123B08"/>
    <w:rsid w:val="1F5F584A"/>
    <w:rsid w:val="1F7F7912"/>
    <w:rsid w:val="1FB212F0"/>
    <w:rsid w:val="1FB77434"/>
    <w:rsid w:val="1FBD6824"/>
    <w:rsid w:val="20654EA7"/>
    <w:rsid w:val="20782F36"/>
    <w:rsid w:val="2088262E"/>
    <w:rsid w:val="20A13576"/>
    <w:rsid w:val="21A26BDD"/>
    <w:rsid w:val="22090649"/>
    <w:rsid w:val="221B2267"/>
    <w:rsid w:val="2247415A"/>
    <w:rsid w:val="228215B9"/>
    <w:rsid w:val="23044152"/>
    <w:rsid w:val="230A01C2"/>
    <w:rsid w:val="231A58BB"/>
    <w:rsid w:val="231C18F5"/>
    <w:rsid w:val="234D40A6"/>
    <w:rsid w:val="23661C68"/>
    <w:rsid w:val="24332D1E"/>
    <w:rsid w:val="24A93E4E"/>
    <w:rsid w:val="24DC54B3"/>
    <w:rsid w:val="257B3083"/>
    <w:rsid w:val="25B22DAE"/>
    <w:rsid w:val="279F5937"/>
    <w:rsid w:val="27BA17EA"/>
    <w:rsid w:val="27BD29B1"/>
    <w:rsid w:val="28180D36"/>
    <w:rsid w:val="288B6A68"/>
    <w:rsid w:val="28B22A56"/>
    <w:rsid w:val="28B94C71"/>
    <w:rsid w:val="28ED036A"/>
    <w:rsid w:val="29227E80"/>
    <w:rsid w:val="296D600F"/>
    <w:rsid w:val="29FF0355"/>
    <w:rsid w:val="2AA809EC"/>
    <w:rsid w:val="2AF32F8C"/>
    <w:rsid w:val="2B5257FF"/>
    <w:rsid w:val="2C446724"/>
    <w:rsid w:val="2CE11F94"/>
    <w:rsid w:val="2CE666C4"/>
    <w:rsid w:val="2D194A73"/>
    <w:rsid w:val="2D1C444F"/>
    <w:rsid w:val="2D28362B"/>
    <w:rsid w:val="2D8C1A45"/>
    <w:rsid w:val="2D911AC4"/>
    <w:rsid w:val="2D9E167E"/>
    <w:rsid w:val="2DD65AFA"/>
    <w:rsid w:val="2DFD1CC9"/>
    <w:rsid w:val="2EAA38C2"/>
    <w:rsid w:val="2EEB3504"/>
    <w:rsid w:val="2EED7377"/>
    <w:rsid w:val="2F785103"/>
    <w:rsid w:val="31347A94"/>
    <w:rsid w:val="31A32590"/>
    <w:rsid w:val="31B47C77"/>
    <w:rsid w:val="31BE7FF5"/>
    <w:rsid w:val="32200918"/>
    <w:rsid w:val="325A3A14"/>
    <w:rsid w:val="325C2FDC"/>
    <w:rsid w:val="3284129C"/>
    <w:rsid w:val="32BD343E"/>
    <w:rsid w:val="32EE71B8"/>
    <w:rsid w:val="346E158D"/>
    <w:rsid w:val="347B01AD"/>
    <w:rsid w:val="348E4A90"/>
    <w:rsid w:val="35087B02"/>
    <w:rsid w:val="35656AB0"/>
    <w:rsid w:val="36820344"/>
    <w:rsid w:val="36900730"/>
    <w:rsid w:val="36DE12F2"/>
    <w:rsid w:val="36F220DC"/>
    <w:rsid w:val="38095242"/>
    <w:rsid w:val="38327B47"/>
    <w:rsid w:val="38860C34"/>
    <w:rsid w:val="3886558F"/>
    <w:rsid w:val="38E839A5"/>
    <w:rsid w:val="39520002"/>
    <w:rsid w:val="39E569E8"/>
    <w:rsid w:val="3A844ABB"/>
    <w:rsid w:val="3AAA7DB1"/>
    <w:rsid w:val="3C8A61F2"/>
    <w:rsid w:val="3D1E41A9"/>
    <w:rsid w:val="3D6F0EF6"/>
    <w:rsid w:val="3D893C63"/>
    <w:rsid w:val="3DEA30C5"/>
    <w:rsid w:val="3E5B414C"/>
    <w:rsid w:val="3F0432D7"/>
    <w:rsid w:val="3F1D5B21"/>
    <w:rsid w:val="3F2C0B45"/>
    <w:rsid w:val="3F690562"/>
    <w:rsid w:val="3F89538C"/>
    <w:rsid w:val="3FD4B18D"/>
    <w:rsid w:val="3FDF3CAD"/>
    <w:rsid w:val="402653D4"/>
    <w:rsid w:val="4041090E"/>
    <w:rsid w:val="407D1F67"/>
    <w:rsid w:val="410F393B"/>
    <w:rsid w:val="411F217A"/>
    <w:rsid w:val="4160654F"/>
    <w:rsid w:val="42B44618"/>
    <w:rsid w:val="42D55C9F"/>
    <w:rsid w:val="430B16C1"/>
    <w:rsid w:val="4372414A"/>
    <w:rsid w:val="439249A4"/>
    <w:rsid w:val="43A115C2"/>
    <w:rsid w:val="440A1978"/>
    <w:rsid w:val="44404182"/>
    <w:rsid w:val="44C95E4D"/>
    <w:rsid w:val="45335C15"/>
    <w:rsid w:val="458E49BA"/>
    <w:rsid w:val="45915284"/>
    <w:rsid w:val="46717E34"/>
    <w:rsid w:val="46726930"/>
    <w:rsid w:val="46BC1807"/>
    <w:rsid w:val="46C24A73"/>
    <w:rsid w:val="47213261"/>
    <w:rsid w:val="474D22A8"/>
    <w:rsid w:val="47815855"/>
    <w:rsid w:val="479954ED"/>
    <w:rsid w:val="47A22569"/>
    <w:rsid w:val="47EC1AC1"/>
    <w:rsid w:val="487F2A35"/>
    <w:rsid w:val="489A7685"/>
    <w:rsid w:val="495D6541"/>
    <w:rsid w:val="499441BE"/>
    <w:rsid w:val="4A3E7AAC"/>
    <w:rsid w:val="4A422225"/>
    <w:rsid w:val="4A690235"/>
    <w:rsid w:val="4B6B53F2"/>
    <w:rsid w:val="4C3677AE"/>
    <w:rsid w:val="4C916798"/>
    <w:rsid w:val="4CC0735A"/>
    <w:rsid w:val="4D1F0574"/>
    <w:rsid w:val="4D273696"/>
    <w:rsid w:val="4D8975A7"/>
    <w:rsid w:val="4E95688E"/>
    <w:rsid w:val="4F2C382D"/>
    <w:rsid w:val="4F947BD2"/>
    <w:rsid w:val="4FA93294"/>
    <w:rsid w:val="50683BF9"/>
    <w:rsid w:val="50E55444"/>
    <w:rsid w:val="51295B34"/>
    <w:rsid w:val="519C31EF"/>
    <w:rsid w:val="51A95397"/>
    <w:rsid w:val="520A1317"/>
    <w:rsid w:val="520E5239"/>
    <w:rsid w:val="52250D86"/>
    <w:rsid w:val="523D231B"/>
    <w:rsid w:val="526725FD"/>
    <w:rsid w:val="531373EA"/>
    <w:rsid w:val="53634631"/>
    <w:rsid w:val="53675695"/>
    <w:rsid w:val="53CF11CD"/>
    <w:rsid w:val="54372316"/>
    <w:rsid w:val="54A07F43"/>
    <w:rsid w:val="55034069"/>
    <w:rsid w:val="5539570C"/>
    <w:rsid w:val="55C65745"/>
    <w:rsid w:val="55C7520F"/>
    <w:rsid w:val="574F208F"/>
    <w:rsid w:val="57CB2D78"/>
    <w:rsid w:val="57CE2535"/>
    <w:rsid w:val="57DD63F9"/>
    <w:rsid w:val="58CC1B7A"/>
    <w:rsid w:val="58E6777D"/>
    <w:rsid w:val="58EF734E"/>
    <w:rsid w:val="59D02D69"/>
    <w:rsid w:val="59F471C6"/>
    <w:rsid w:val="5A106B3E"/>
    <w:rsid w:val="5A8E5284"/>
    <w:rsid w:val="5AAA335C"/>
    <w:rsid w:val="5AB71FF9"/>
    <w:rsid w:val="5ADA4713"/>
    <w:rsid w:val="5B3D0ABE"/>
    <w:rsid w:val="5B48767A"/>
    <w:rsid w:val="5B7E4B0D"/>
    <w:rsid w:val="5B857A67"/>
    <w:rsid w:val="5B894E42"/>
    <w:rsid w:val="5BA31905"/>
    <w:rsid w:val="5BA6437E"/>
    <w:rsid w:val="5BD668B8"/>
    <w:rsid w:val="5CAC7BC0"/>
    <w:rsid w:val="5CCA6CF3"/>
    <w:rsid w:val="5CF94CC8"/>
    <w:rsid w:val="5DFC4D91"/>
    <w:rsid w:val="5E745F14"/>
    <w:rsid w:val="5E9E02F6"/>
    <w:rsid w:val="5EA91152"/>
    <w:rsid w:val="5EFD5F0A"/>
    <w:rsid w:val="5F50308C"/>
    <w:rsid w:val="5FCF5AF8"/>
    <w:rsid w:val="600318B5"/>
    <w:rsid w:val="6014427A"/>
    <w:rsid w:val="60427BE4"/>
    <w:rsid w:val="61300818"/>
    <w:rsid w:val="61486BF7"/>
    <w:rsid w:val="61785D1C"/>
    <w:rsid w:val="61A92371"/>
    <w:rsid w:val="61B612ED"/>
    <w:rsid w:val="62D82485"/>
    <w:rsid w:val="63166276"/>
    <w:rsid w:val="63401DB2"/>
    <w:rsid w:val="63CB69AE"/>
    <w:rsid w:val="649D4D38"/>
    <w:rsid w:val="64B815C3"/>
    <w:rsid w:val="65A71CD3"/>
    <w:rsid w:val="65E47E23"/>
    <w:rsid w:val="66463CD1"/>
    <w:rsid w:val="66907536"/>
    <w:rsid w:val="66DE6923"/>
    <w:rsid w:val="67372C34"/>
    <w:rsid w:val="67A24189"/>
    <w:rsid w:val="682F49FC"/>
    <w:rsid w:val="68D85E05"/>
    <w:rsid w:val="69325DE5"/>
    <w:rsid w:val="6A3274DB"/>
    <w:rsid w:val="6A636C9A"/>
    <w:rsid w:val="6AC268CB"/>
    <w:rsid w:val="6ADA181C"/>
    <w:rsid w:val="6B57D487"/>
    <w:rsid w:val="6BA71178"/>
    <w:rsid w:val="6BEE789A"/>
    <w:rsid w:val="6C4B4C61"/>
    <w:rsid w:val="6C9331E3"/>
    <w:rsid w:val="6CE20525"/>
    <w:rsid w:val="6DD32682"/>
    <w:rsid w:val="6DD7078C"/>
    <w:rsid w:val="6E024D7E"/>
    <w:rsid w:val="6E771456"/>
    <w:rsid w:val="6E8359FA"/>
    <w:rsid w:val="6EB234C5"/>
    <w:rsid w:val="6F26173F"/>
    <w:rsid w:val="6FC41366"/>
    <w:rsid w:val="700B19B6"/>
    <w:rsid w:val="70DD729C"/>
    <w:rsid w:val="7107775A"/>
    <w:rsid w:val="71101551"/>
    <w:rsid w:val="713D7BBE"/>
    <w:rsid w:val="716B1BD6"/>
    <w:rsid w:val="717C53B4"/>
    <w:rsid w:val="71D92BDF"/>
    <w:rsid w:val="72050762"/>
    <w:rsid w:val="72122E05"/>
    <w:rsid w:val="72455CBC"/>
    <w:rsid w:val="736A5E0C"/>
    <w:rsid w:val="73770529"/>
    <w:rsid w:val="737A3E8E"/>
    <w:rsid w:val="73AD0CE6"/>
    <w:rsid w:val="73BC418E"/>
    <w:rsid w:val="73E91CC6"/>
    <w:rsid w:val="74574371"/>
    <w:rsid w:val="746F3DF1"/>
    <w:rsid w:val="749B1FF5"/>
    <w:rsid w:val="74F636CF"/>
    <w:rsid w:val="75C37045"/>
    <w:rsid w:val="76D506A4"/>
    <w:rsid w:val="780D2EC9"/>
    <w:rsid w:val="7877120C"/>
    <w:rsid w:val="79236EA2"/>
    <w:rsid w:val="79997193"/>
    <w:rsid w:val="7A406952"/>
    <w:rsid w:val="7B142B87"/>
    <w:rsid w:val="7B913B8F"/>
    <w:rsid w:val="7B9815CB"/>
    <w:rsid w:val="7C387A49"/>
    <w:rsid w:val="7C591904"/>
    <w:rsid w:val="7C92478F"/>
    <w:rsid w:val="7CBF510C"/>
    <w:rsid w:val="7CF72FF0"/>
    <w:rsid w:val="7D947031"/>
    <w:rsid w:val="7D951973"/>
    <w:rsid w:val="7DCC3CFD"/>
    <w:rsid w:val="7DD34B4F"/>
    <w:rsid w:val="7DE35C30"/>
    <w:rsid w:val="7DFE679C"/>
    <w:rsid w:val="7E1068A1"/>
    <w:rsid w:val="7E710884"/>
    <w:rsid w:val="7EE7264B"/>
    <w:rsid w:val="7F8222CF"/>
    <w:rsid w:val="7F923CBA"/>
    <w:rsid w:val="7FBF0982"/>
    <w:rsid w:val="BE7DB5BF"/>
    <w:rsid w:val="BFBB385E"/>
    <w:rsid w:val="CEF76D69"/>
    <w:rsid w:val="E7FF5DBD"/>
    <w:rsid w:val="EEF76BC8"/>
    <w:rsid w:val="FDFFC797"/>
    <w:rsid w:val="FFFF19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autoRedefine/>
    <w:qFormat/>
    <w:uiPriority w:val="0"/>
    <w:pPr>
      <w:keepNext/>
      <w:widowControl/>
      <w:jc w:val="left"/>
      <w:outlineLvl w:val="0"/>
    </w:pPr>
    <w:rPr>
      <w:b/>
      <w:bCs/>
      <w:kern w:val="0"/>
      <w:sz w:val="24"/>
    </w:rPr>
  </w:style>
  <w:style w:type="paragraph" w:styleId="4">
    <w:name w:val="heading 2"/>
    <w:basedOn w:val="1"/>
    <w:next w:val="1"/>
    <w:link w:val="50"/>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1"/>
    <w:autoRedefine/>
    <w:qFormat/>
    <w:uiPriority w:val="0"/>
    <w:pPr>
      <w:keepNext/>
      <w:outlineLvl w:val="2"/>
    </w:pPr>
    <w:rPr>
      <w:rFonts w:ascii="楷体_GB2312" w:hAnsi="宋体" w:eastAsia="楷体_GB2312"/>
      <w:b/>
      <w:bCs/>
      <w:sz w:val="32"/>
    </w:rPr>
  </w:style>
  <w:style w:type="paragraph" w:styleId="6">
    <w:name w:val="heading 4"/>
    <w:basedOn w:val="1"/>
    <w:next w:val="1"/>
    <w:link w:val="52"/>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7">
    <w:name w:val="heading 5"/>
    <w:basedOn w:val="1"/>
    <w:next w:val="1"/>
    <w:link w:val="53"/>
    <w:autoRedefine/>
    <w:qFormat/>
    <w:uiPriority w:val="0"/>
    <w:pPr>
      <w:keepNext/>
      <w:keepLines/>
      <w:widowControl/>
      <w:spacing w:before="280" w:after="290" w:line="376" w:lineRule="auto"/>
      <w:jc w:val="left"/>
      <w:outlineLvl w:val="4"/>
    </w:pPr>
    <w:rPr>
      <w:b/>
      <w:bCs/>
      <w:kern w:val="0"/>
      <w:sz w:val="28"/>
      <w:szCs w:val="28"/>
    </w:rPr>
  </w:style>
  <w:style w:type="paragraph" w:styleId="8">
    <w:name w:val="heading 6"/>
    <w:basedOn w:val="1"/>
    <w:next w:val="1"/>
    <w:link w:val="54"/>
    <w:autoRedefine/>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9">
    <w:name w:val="heading 7"/>
    <w:basedOn w:val="1"/>
    <w:next w:val="1"/>
    <w:link w:val="55"/>
    <w:qFormat/>
    <w:uiPriority w:val="0"/>
    <w:pPr>
      <w:keepNext/>
      <w:keepLines/>
      <w:widowControl/>
      <w:spacing w:before="240" w:after="64" w:line="320" w:lineRule="auto"/>
      <w:jc w:val="left"/>
      <w:outlineLvl w:val="6"/>
    </w:pPr>
    <w:rPr>
      <w:b/>
      <w:bCs/>
      <w:kern w:val="0"/>
      <w:sz w:val="24"/>
    </w:rPr>
  </w:style>
  <w:style w:type="paragraph" w:styleId="10">
    <w:name w:val="heading 8"/>
    <w:basedOn w:val="1"/>
    <w:next w:val="1"/>
    <w:link w:val="56"/>
    <w:autoRedefine/>
    <w:qFormat/>
    <w:uiPriority w:val="0"/>
    <w:pPr>
      <w:keepNext/>
      <w:keepLines/>
      <w:widowControl/>
      <w:spacing w:before="240" w:after="64" w:line="320" w:lineRule="auto"/>
      <w:jc w:val="left"/>
      <w:outlineLvl w:val="7"/>
    </w:pPr>
    <w:rPr>
      <w:rFonts w:ascii="Arial" w:hAnsi="Arial" w:eastAsia="黑体"/>
      <w:kern w:val="0"/>
      <w:sz w:val="24"/>
    </w:rPr>
  </w:style>
  <w:style w:type="paragraph" w:styleId="11">
    <w:name w:val="heading 9"/>
    <w:basedOn w:val="1"/>
    <w:next w:val="1"/>
    <w:link w:val="57"/>
    <w:autoRedefine/>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63"/>
    <w:autoRedefine/>
    <w:qFormat/>
    <w:uiPriority w:val="0"/>
    <w:rPr>
      <w:rFonts w:ascii="宋体" w:hAnsi="Courier New" w:cs="Courier New" w:eastAsiaTheme="minorEastAsia"/>
      <w:szCs w:val="21"/>
    </w:rPr>
  </w:style>
  <w:style w:type="paragraph" w:styleId="12">
    <w:name w:val="toc 7"/>
    <w:basedOn w:val="1"/>
    <w:next w:val="1"/>
    <w:autoRedefine/>
    <w:qFormat/>
    <w:uiPriority w:val="0"/>
    <w:pPr>
      <w:ind w:left="1260"/>
      <w:jc w:val="left"/>
    </w:pPr>
    <w:rPr>
      <w:rFonts w:ascii="Calibri" w:hAnsi="Calibri" w:cs="Calibri"/>
      <w:sz w:val="18"/>
      <w:szCs w:val="18"/>
    </w:rPr>
  </w:style>
  <w:style w:type="paragraph" w:styleId="13">
    <w:name w:val="Normal Indent"/>
    <w:basedOn w:val="1"/>
    <w:next w:val="14"/>
    <w:link w:val="107"/>
    <w:autoRedefine/>
    <w:qFormat/>
    <w:uiPriority w:val="0"/>
    <w:pPr>
      <w:ind w:firstLine="420" w:firstLineChars="200"/>
    </w:pPr>
    <w:rPr>
      <w:szCs w:val="21"/>
    </w:rPr>
  </w:style>
  <w:style w:type="paragraph" w:styleId="14">
    <w:name w:val="Body Text"/>
    <w:basedOn w:val="1"/>
    <w:next w:val="1"/>
    <w:link w:val="92"/>
    <w:autoRedefine/>
    <w:qFormat/>
    <w:uiPriority w:val="0"/>
    <w:pPr>
      <w:spacing w:after="120"/>
    </w:pPr>
  </w:style>
  <w:style w:type="paragraph" w:styleId="15">
    <w:name w:val="Document Map"/>
    <w:basedOn w:val="1"/>
    <w:link w:val="89"/>
    <w:autoRedefine/>
    <w:qFormat/>
    <w:uiPriority w:val="0"/>
    <w:pPr>
      <w:shd w:val="clear" w:color="auto" w:fill="000080"/>
    </w:pPr>
    <w:rPr>
      <w:szCs w:val="20"/>
    </w:rPr>
  </w:style>
  <w:style w:type="paragraph" w:styleId="16">
    <w:name w:val="annotation text"/>
    <w:basedOn w:val="1"/>
    <w:link w:val="64"/>
    <w:autoRedefine/>
    <w:qFormat/>
    <w:uiPriority w:val="99"/>
    <w:pPr>
      <w:jc w:val="left"/>
    </w:pPr>
    <w:rPr>
      <w:rFonts w:asciiTheme="minorHAnsi" w:hAnsiTheme="minorHAnsi" w:eastAsiaTheme="minorEastAsia" w:cstheme="minorBidi"/>
    </w:rPr>
  </w:style>
  <w:style w:type="paragraph" w:styleId="17">
    <w:name w:val="Body Text 3"/>
    <w:basedOn w:val="1"/>
    <w:link w:val="82"/>
    <w:autoRedefine/>
    <w:qFormat/>
    <w:uiPriority w:val="0"/>
    <w:pPr>
      <w:spacing w:after="120"/>
    </w:pPr>
    <w:rPr>
      <w:sz w:val="16"/>
      <w:szCs w:val="16"/>
    </w:rPr>
  </w:style>
  <w:style w:type="paragraph" w:styleId="18">
    <w:name w:val="Body Text Indent"/>
    <w:basedOn w:val="1"/>
    <w:link w:val="77"/>
    <w:autoRedefine/>
    <w:qFormat/>
    <w:uiPriority w:val="0"/>
    <w:pPr>
      <w:spacing w:line="560" w:lineRule="exact"/>
      <w:ind w:left="300"/>
    </w:pPr>
    <w:rPr>
      <w:sz w:val="24"/>
    </w:rPr>
  </w:style>
  <w:style w:type="paragraph" w:styleId="19">
    <w:name w:val="toc 5"/>
    <w:basedOn w:val="1"/>
    <w:next w:val="1"/>
    <w:autoRedefine/>
    <w:qFormat/>
    <w:uiPriority w:val="0"/>
    <w:pPr>
      <w:ind w:left="840"/>
      <w:jc w:val="left"/>
    </w:pPr>
    <w:rPr>
      <w:rFonts w:ascii="Calibri" w:hAnsi="Calibri" w:cs="Calibri"/>
      <w:sz w:val="18"/>
      <w:szCs w:val="18"/>
    </w:rPr>
  </w:style>
  <w:style w:type="paragraph" w:styleId="20">
    <w:name w:val="toc 3"/>
    <w:basedOn w:val="1"/>
    <w:next w:val="1"/>
    <w:autoRedefine/>
    <w:qFormat/>
    <w:uiPriority w:val="39"/>
    <w:pPr>
      <w:ind w:left="420"/>
      <w:jc w:val="left"/>
    </w:pPr>
    <w:rPr>
      <w:rFonts w:ascii="Calibri" w:hAnsi="Calibri" w:cs="Calibri"/>
      <w:i/>
      <w:iCs/>
      <w:sz w:val="20"/>
      <w:szCs w:val="20"/>
    </w:rPr>
  </w:style>
  <w:style w:type="paragraph" w:styleId="21">
    <w:name w:val="toc 8"/>
    <w:basedOn w:val="1"/>
    <w:next w:val="1"/>
    <w:autoRedefine/>
    <w:qFormat/>
    <w:uiPriority w:val="0"/>
    <w:pPr>
      <w:ind w:left="1470"/>
      <w:jc w:val="left"/>
    </w:pPr>
    <w:rPr>
      <w:rFonts w:ascii="Calibri" w:hAnsi="Calibri" w:cs="Calibri"/>
      <w:sz w:val="18"/>
      <w:szCs w:val="18"/>
    </w:rPr>
  </w:style>
  <w:style w:type="paragraph" w:styleId="22">
    <w:name w:val="Date"/>
    <w:basedOn w:val="1"/>
    <w:next w:val="1"/>
    <w:link w:val="95"/>
    <w:autoRedefine/>
    <w:qFormat/>
    <w:uiPriority w:val="0"/>
    <w:pPr>
      <w:widowControl/>
    </w:pPr>
    <w:rPr>
      <w:rFonts w:ascii="宋体"/>
      <w:kern w:val="0"/>
      <w:szCs w:val="20"/>
    </w:rPr>
  </w:style>
  <w:style w:type="paragraph" w:styleId="23">
    <w:name w:val="Body Text Indent 2"/>
    <w:basedOn w:val="1"/>
    <w:link w:val="93"/>
    <w:autoRedefine/>
    <w:qFormat/>
    <w:uiPriority w:val="0"/>
    <w:pPr>
      <w:spacing w:line="540" w:lineRule="exact"/>
      <w:ind w:left="462" w:leftChars="220"/>
    </w:pPr>
    <w:rPr>
      <w:sz w:val="24"/>
    </w:rPr>
  </w:style>
  <w:style w:type="paragraph" w:styleId="24">
    <w:name w:val="Balloon Text"/>
    <w:basedOn w:val="1"/>
    <w:link w:val="60"/>
    <w:autoRedefine/>
    <w:qFormat/>
    <w:uiPriority w:val="0"/>
    <w:rPr>
      <w:rFonts w:asciiTheme="minorHAnsi" w:hAnsiTheme="minorHAnsi" w:cstheme="minorBidi"/>
      <w:sz w:val="18"/>
      <w:szCs w:val="22"/>
    </w:rPr>
  </w:style>
  <w:style w:type="paragraph" w:styleId="25">
    <w:name w:val="footer"/>
    <w:basedOn w:val="1"/>
    <w:link w:val="48"/>
    <w:autoRedefine/>
    <w:unhideWhenUsed/>
    <w:qFormat/>
    <w:uiPriority w:val="0"/>
    <w:pPr>
      <w:tabs>
        <w:tab w:val="center" w:pos="4153"/>
        <w:tab w:val="right" w:pos="8306"/>
      </w:tabs>
      <w:snapToGrid w:val="0"/>
      <w:jc w:val="left"/>
    </w:pPr>
    <w:rPr>
      <w:sz w:val="18"/>
      <w:szCs w:val="18"/>
    </w:rPr>
  </w:style>
  <w:style w:type="paragraph" w:styleId="26">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spacing w:before="120" w:after="120"/>
      <w:jc w:val="left"/>
    </w:pPr>
    <w:rPr>
      <w:rFonts w:ascii="Calibri" w:hAnsi="Calibri" w:cs="Calibri"/>
      <w:b/>
      <w:bCs/>
      <w:caps/>
      <w:szCs w:val="20"/>
    </w:rPr>
  </w:style>
  <w:style w:type="paragraph" w:styleId="28">
    <w:name w:val="toc 4"/>
    <w:basedOn w:val="1"/>
    <w:next w:val="1"/>
    <w:autoRedefine/>
    <w:qFormat/>
    <w:uiPriority w:val="0"/>
    <w:pPr>
      <w:ind w:left="630"/>
      <w:jc w:val="left"/>
    </w:pPr>
    <w:rPr>
      <w:rFonts w:ascii="Calibri" w:hAnsi="Calibri" w:cs="Calibri"/>
      <w:sz w:val="18"/>
      <w:szCs w:val="18"/>
    </w:rPr>
  </w:style>
  <w:style w:type="paragraph" w:styleId="29">
    <w:name w:val="toc 6"/>
    <w:basedOn w:val="1"/>
    <w:next w:val="1"/>
    <w:autoRedefine/>
    <w:qFormat/>
    <w:uiPriority w:val="0"/>
    <w:pPr>
      <w:ind w:left="1050"/>
      <w:jc w:val="left"/>
    </w:pPr>
    <w:rPr>
      <w:rFonts w:ascii="Calibri" w:hAnsi="Calibri" w:cs="Calibri"/>
      <w:sz w:val="18"/>
      <w:szCs w:val="18"/>
    </w:rPr>
  </w:style>
  <w:style w:type="paragraph" w:styleId="30">
    <w:name w:val="Body Text Indent 3"/>
    <w:basedOn w:val="1"/>
    <w:link w:val="98"/>
    <w:autoRedefine/>
    <w:qFormat/>
    <w:uiPriority w:val="0"/>
    <w:pPr>
      <w:spacing w:after="120"/>
      <w:ind w:left="420" w:leftChars="200"/>
    </w:pPr>
    <w:rPr>
      <w:sz w:val="16"/>
      <w:szCs w:val="16"/>
    </w:rPr>
  </w:style>
  <w:style w:type="paragraph" w:styleId="31">
    <w:name w:val="toc 2"/>
    <w:basedOn w:val="1"/>
    <w:next w:val="1"/>
    <w:autoRedefine/>
    <w:qFormat/>
    <w:uiPriority w:val="39"/>
    <w:pPr>
      <w:ind w:left="210"/>
      <w:jc w:val="left"/>
    </w:pPr>
    <w:rPr>
      <w:rFonts w:ascii="Calibri" w:hAnsi="Calibri" w:cs="Calibri"/>
      <w:smallCaps/>
      <w:szCs w:val="20"/>
    </w:rPr>
  </w:style>
  <w:style w:type="paragraph" w:styleId="32">
    <w:name w:val="toc 9"/>
    <w:basedOn w:val="1"/>
    <w:next w:val="1"/>
    <w:autoRedefine/>
    <w:qFormat/>
    <w:uiPriority w:val="0"/>
    <w:pPr>
      <w:ind w:left="1680"/>
      <w:jc w:val="left"/>
    </w:pPr>
    <w:rPr>
      <w:rFonts w:ascii="Calibri" w:hAnsi="Calibri" w:cs="Calibri"/>
      <w:sz w:val="18"/>
      <w:szCs w:val="18"/>
    </w:rPr>
  </w:style>
  <w:style w:type="paragraph" w:styleId="33">
    <w:name w:val="HTML Preformatted"/>
    <w:basedOn w:val="1"/>
    <w:link w:val="9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35">
    <w:name w:val="Title"/>
    <w:basedOn w:val="1"/>
    <w:next w:val="1"/>
    <w:autoRedefine/>
    <w:qFormat/>
    <w:uiPriority w:val="0"/>
    <w:pPr>
      <w:spacing w:before="240" w:after="60" w:line="276" w:lineRule="auto"/>
      <w:jc w:val="center"/>
      <w:outlineLvl w:val="0"/>
    </w:pPr>
    <w:rPr>
      <w:rFonts w:ascii="Cambria" w:hAnsi="Cambria"/>
      <w:b/>
      <w:bCs/>
      <w:sz w:val="32"/>
      <w:szCs w:val="32"/>
    </w:rPr>
  </w:style>
  <w:style w:type="paragraph" w:styleId="36">
    <w:name w:val="annotation subject"/>
    <w:basedOn w:val="16"/>
    <w:next w:val="16"/>
    <w:link w:val="88"/>
    <w:autoRedefine/>
    <w:semiHidden/>
    <w:qFormat/>
    <w:uiPriority w:val="0"/>
    <w:rPr>
      <w:b/>
      <w:bCs/>
    </w:rPr>
  </w:style>
  <w:style w:type="paragraph" w:styleId="37">
    <w:name w:val="Body Text First Indent"/>
    <w:basedOn w:val="14"/>
    <w:next w:val="1"/>
    <w:autoRedefine/>
    <w:qFormat/>
    <w:uiPriority w:val="0"/>
    <w:pPr>
      <w:ind w:firstLine="420" w:firstLineChars="100"/>
    </w:p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autoRedefine/>
    <w:qFormat/>
    <w:uiPriority w:val="22"/>
    <w:rPr>
      <w:b/>
      <w:bCs/>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800080" w:themeColor="followedHyperlink"/>
      <w:u w:val="single"/>
      <w14:textFill>
        <w14:solidFill>
          <w14:schemeClr w14:val="folHlink"/>
        </w14:solidFill>
      </w14:textFill>
    </w:rPr>
  </w:style>
  <w:style w:type="character" w:styleId="44">
    <w:name w:val="Emphasis"/>
    <w:autoRedefine/>
    <w:qFormat/>
    <w:uiPriority w:val="20"/>
    <w:rPr>
      <w:color w:val="CC0000"/>
    </w:rPr>
  </w:style>
  <w:style w:type="character" w:styleId="45">
    <w:name w:val="Hyperlink"/>
    <w:autoRedefine/>
    <w:qFormat/>
    <w:uiPriority w:val="99"/>
    <w:rPr>
      <w:rFonts w:eastAsia="宋体"/>
      <w:color w:val="0000FF"/>
      <w:sz w:val="28"/>
      <w:u w:val="single"/>
    </w:rPr>
  </w:style>
  <w:style w:type="character" w:styleId="46">
    <w:name w:val="annotation reference"/>
    <w:autoRedefine/>
    <w:qFormat/>
    <w:uiPriority w:val="0"/>
    <w:rPr>
      <w:sz w:val="21"/>
      <w:szCs w:val="21"/>
    </w:rPr>
  </w:style>
  <w:style w:type="character" w:customStyle="1" w:styleId="47">
    <w:name w:val="页眉 Char"/>
    <w:basedOn w:val="40"/>
    <w:link w:val="26"/>
    <w:autoRedefine/>
    <w:qFormat/>
    <w:uiPriority w:val="0"/>
    <w:rPr>
      <w:sz w:val="18"/>
      <w:szCs w:val="18"/>
    </w:rPr>
  </w:style>
  <w:style w:type="character" w:customStyle="1" w:styleId="48">
    <w:name w:val="页脚 Char"/>
    <w:basedOn w:val="40"/>
    <w:link w:val="25"/>
    <w:autoRedefine/>
    <w:qFormat/>
    <w:uiPriority w:val="0"/>
    <w:rPr>
      <w:sz w:val="18"/>
      <w:szCs w:val="18"/>
    </w:rPr>
  </w:style>
  <w:style w:type="character" w:customStyle="1" w:styleId="49">
    <w:name w:val="标题 1 Char"/>
    <w:basedOn w:val="40"/>
    <w:link w:val="3"/>
    <w:autoRedefine/>
    <w:qFormat/>
    <w:uiPriority w:val="0"/>
    <w:rPr>
      <w:rFonts w:ascii="Times New Roman" w:hAnsi="Times New Roman" w:eastAsia="宋体" w:cs="Times New Roman"/>
      <w:b/>
      <w:bCs/>
      <w:kern w:val="0"/>
      <w:sz w:val="24"/>
      <w:szCs w:val="24"/>
    </w:rPr>
  </w:style>
  <w:style w:type="character" w:customStyle="1" w:styleId="50">
    <w:name w:val="标题 2 Char"/>
    <w:basedOn w:val="40"/>
    <w:link w:val="4"/>
    <w:autoRedefine/>
    <w:qFormat/>
    <w:uiPriority w:val="0"/>
    <w:rPr>
      <w:rFonts w:ascii="Arial" w:hAnsi="Arial" w:eastAsia="黑体" w:cs="Times New Roman"/>
      <w:b/>
      <w:bCs/>
      <w:sz w:val="32"/>
      <w:szCs w:val="32"/>
    </w:rPr>
  </w:style>
  <w:style w:type="character" w:customStyle="1" w:styleId="51">
    <w:name w:val="标题 3 Char"/>
    <w:basedOn w:val="40"/>
    <w:link w:val="5"/>
    <w:autoRedefine/>
    <w:qFormat/>
    <w:uiPriority w:val="0"/>
    <w:rPr>
      <w:rFonts w:ascii="楷体_GB2312" w:hAnsi="宋体" w:eastAsia="楷体_GB2312" w:cs="Times New Roman"/>
      <w:b/>
      <w:bCs/>
      <w:sz w:val="32"/>
      <w:szCs w:val="24"/>
    </w:rPr>
  </w:style>
  <w:style w:type="character" w:customStyle="1" w:styleId="52">
    <w:name w:val="标题 4 Char"/>
    <w:basedOn w:val="40"/>
    <w:link w:val="6"/>
    <w:autoRedefine/>
    <w:qFormat/>
    <w:uiPriority w:val="0"/>
    <w:rPr>
      <w:rFonts w:ascii="Arial" w:hAnsi="Arial" w:eastAsia="黑体" w:cs="Times New Roman"/>
      <w:b/>
      <w:bCs/>
      <w:kern w:val="0"/>
      <w:sz w:val="28"/>
      <w:szCs w:val="28"/>
    </w:rPr>
  </w:style>
  <w:style w:type="character" w:customStyle="1" w:styleId="53">
    <w:name w:val="标题 5 Char"/>
    <w:basedOn w:val="40"/>
    <w:link w:val="7"/>
    <w:autoRedefine/>
    <w:qFormat/>
    <w:uiPriority w:val="0"/>
    <w:rPr>
      <w:rFonts w:ascii="Times New Roman" w:hAnsi="Times New Roman" w:eastAsia="宋体" w:cs="Times New Roman"/>
      <w:b/>
      <w:bCs/>
      <w:kern w:val="0"/>
      <w:sz w:val="28"/>
      <w:szCs w:val="28"/>
    </w:rPr>
  </w:style>
  <w:style w:type="character" w:customStyle="1" w:styleId="54">
    <w:name w:val="标题 6 Char"/>
    <w:basedOn w:val="40"/>
    <w:link w:val="8"/>
    <w:autoRedefine/>
    <w:qFormat/>
    <w:uiPriority w:val="0"/>
    <w:rPr>
      <w:rFonts w:ascii="Arial" w:hAnsi="Arial" w:eastAsia="黑体" w:cs="Times New Roman"/>
      <w:b/>
      <w:bCs/>
      <w:kern w:val="0"/>
      <w:sz w:val="24"/>
      <w:szCs w:val="24"/>
    </w:rPr>
  </w:style>
  <w:style w:type="character" w:customStyle="1" w:styleId="55">
    <w:name w:val="标题 7 Char"/>
    <w:basedOn w:val="40"/>
    <w:link w:val="9"/>
    <w:autoRedefine/>
    <w:qFormat/>
    <w:uiPriority w:val="0"/>
    <w:rPr>
      <w:rFonts w:ascii="Times New Roman" w:hAnsi="Times New Roman" w:eastAsia="宋体" w:cs="Times New Roman"/>
      <w:b/>
      <w:bCs/>
      <w:kern w:val="0"/>
      <w:sz w:val="24"/>
      <w:szCs w:val="24"/>
    </w:rPr>
  </w:style>
  <w:style w:type="character" w:customStyle="1" w:styleId="56">
    <w:name w:val="标题 8 Char"/>
    <w:basedOn w:val="40"/>
    <w:link w:val="10"/>
    <w:autoRedefine/>
    <w:qFormat/>
    <w:uiPriority w:val="0"/>
    <w:rPr>
      <w:rFonts w:ascii="Arial" w:hAnsi="Arial" w:eastAsia="黑体" w:cs="Times New Roman"/>
      <w:kern w:val="0"/>
      <w:sz w:val="24"/>
      <w:szCs w:val="24"/>
    </w:rPr>
  </w:style>
  <w:style w:type="character" w:customStyle="1" w:styleId="57">
    <w:name w:val="标题 9 Char"/>
    <w:basedOn w:val="40"/>
    <w:link w:val="11"/>
    <w:autoRedefine/>
    <w:qFormat/>
    <w:uiPriority w:val="0"/>
    <w:rPr>
      <w:rFonts w:ascii="Arial" w:hAnsi="Arial" w:eastAsia="黑体" w:cs="Times New Roman"/>
      <w:kern w:val="0"/>
      <w:szCs w:val="21"/>
    </w:rPr>
  </w:style>
  <w:style w:type="character" w:customStyle="1" w:styleId="58">
    <w:name w:val="f141"/>
    <w:autoRedefine/>
    <w:qFormat/>
    <w:uiPriority w:val="0"/>
    <w:rPr>
      <w:sz w:val="21"/>
      <w:szCs w:val="21"/>
    </w:rPr>
  </w:style>
  <w:style w:type="character" w:customStyle="1" w:styleId="59">
    <w:name w:val="p141"/>
    <w:autoRedefine/>
    <w:qFormat/>
    <w:uiPriority w:val="0"/>
    <w:rPr>
      <w:sz w:val="21"/>
      <w:szCs w:val="21"/>
    </w:rPr>
  </w:style>
  <w:style w:type="character" w:customStyle="1" w:styleId="60">
    <w:name w:val="批注框文本 Char"/>
    <w:link w:val="24"/>
    <w:autoRedefine/>
    <w:qFormat/>
    <w:locked/>
    <w:uiPriority w:val="0"/>
    <w:rPr>
      <w:rFonts w:eastAsia="宋体"/>
      <w:sz w:val="18"/>
    </w:rPr>
  </w:style>
  <w:style w:type="paragraph" w:customStyle="1" w:styleId="61">
    <w:name w:val="_Style 3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
    <w:name w:val="s10pv000000"/>
    <w:basedOn w:val="40"/>
    <w:autoRedefine/>
    <w:qFormat/>
    <w:uiPriority w:val="0"/>
  </w:style>
  <w:style w:type="character" w:customStyle="1" w:styleId="63">
    <w:name w:val="纯文本 Char"/>
    <w:link w:val="2"/>
    <w:autoRedefine/>
    <w:qFormat/>
    <w:uiPriority w:val="0"/>
    <w:rPr>
      <w:rFonts w:ascii="宋体" w:hAnsi="Courier New" w:cs="Courier New"/>
      <w:szCs w:val="21"/>
    </w:rPr>
  </w:style>
  <w:style w:type="character" w:customStyle="1" w:styleId="64">
    <w:name w:val="批注文字 Char"/>
    <w:link w:val="16"/>
    <w:autoRedefine/>
    <w:qFormat/>
    <w:uiPriority w:val="0"/>
    <w:rPr>
      <w:szCs w:val="24"/>
    </w:rPr>
  </w:style>
  <w:style w:type="paragraph" w:customStyle="1" w:styleId="65">
    <w:name w:val="样式 标题 4 + 段前: 5 磅 段后: 5 磅 行距: 单倍行距"/>
    <w:basedOn w:val="6"/>
    <w:autoRedefine/>
    <w:qFormat/>
    <w:uiPriority w:val="0"/>
    <w:pPr>
      <w:widowControl w:val="0"/>
      <w:tabs>
        <w:tab w:val="left" w:pos="1680"/>
      </w:tabs>
      <w:adjustRightInd w:val="0"/>
      <w:spacing w:before="100" w:after="100" w:line="240" w:lineRule="auto"/>
      <w:ind w:left="1680" w:hanging="420"/>
      <w:textAlignment w:val="baseline"/>
    </w:pPr>
    <w:rPr>
      <w:bCs w:val="0"/>
      <w:szCs w:val="20"/>
    </w:rPr>
  </w:style>
  <w:style w:type="paragraph" w:customStyle="1" w:styleId="66">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
    <w:name w:val="基准标题"/>
    <w:basedOn w:val="14"/>
    <w:next w:val="14"/>
    <w:autoRedefine/>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68">
    <w:name w:val="表格"/>
    <w:basedOn w:val="1"/>
    <w:autoRedefine/>
    <w:qFormat/>
    <w:uiPriority w:val="0"/>
    <w:pPr>
      <w:spacing w:line="420" w:lineRule="exact"/>
      <w:ind w:left="84" w:leftChars="40"/>
      <w:jc w:val="center"/>
    </w:pPr>
    <w:rPr>
      <w:rFonts w:ascii="宋体" w:hAnsi="宋体"/>
      <w:bCs/>
      <w:spacing w:val="-12"/>
    </w:rPr>
  </w:style>
  <w:style w:type="paragraph" w:customStyle="1" w:styleId="69">
    <w:name w:val="font6"/>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70">
    <w:name w:val="样式4"/>
    <w:basedOn w:val="1"/>
    <w:autoRedefine/>
    <w:qFormat/>
    <w:uiPriority w:val="0"/>
    <w:pPr>
      <w:tabs>
        <w:tab w:val="left" w:pos="2328"/>
      </w:tabs>
      <w:ind w:left="2328" w:hanging="708"/>
    </w:pPr>
  </w:style>
  <w:style w:type="paragraph" w:customStyle="1" w:styleId="7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2">
    <w:name w:val="3 Char"/>
    <w:basedOn w:val="1"/>
    <w:autoRedefine/>
    <w:qFormat/>
    <w:uiPriority w:val="0"/>
    <w:pPr>
      <w:widowControl/>
      <w:spacing w:line="400" w:lineRule="exact"/>
      <w:jc w:val="center"/>
    </w:pPr>
    <w:rPr>
      <w:rFonts w:ascii="Verdana" w:hAnsi="Verdana"/>
      <w:kern w:val="0"/>
      <w:szCs w:val="20"/>
      <w:lang w:eastAsia="en-US"/>
    </w:rPr>
  </w:style>
  <w:style w:type="character" w:customStyle="1" w:styleId="73">
    <w:name w:val="批注文字 Char1"/>
    <w:basedOn w:val="40"/>
    <w:autoRedefine/>
    <w:semiHidden/>
    <w:qFormat/>
    <w:uiPriority w:val="99"/>
    <w:rPr>
      <w:rFonts w:ascii="Times New Roman" w:hAnsi="Times New Roman" w:eastAsia="宋体" w:cs="Times New Roman"/>
      <w:szCs w:val="24"/>
    </w:rPr>
  </w:style>
  <w:style w:type="paragraph" w:customStyle="1" w:styleId="74">
    <w:name w:val="样式 标题 2 + 宋体 五号 非加粗 黑色"/>
    <w:basedOn w:val="4"/>
    <w:autoRedefine/>
    <w:qFormat/>
    <w:uiPriority w:val="0"/>
    <w:pPr>
      <w:tabs>
        <w:tab w:val="left" w:pos="840"/>
      </w:tabs>
      <w:adjustRightInd w:val="0"/>
      <w:spacing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75">
    <w:name w:val="xl29"/>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7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77">
    <w:name w:val="正文文本缩进 Char"/>
    <w:basedOn w:val="40"/>
    <w:link w:val="18"/>
    <w:autoRedefine/>
    <w:qFormat/>
    <w:uiPriority w:val="0"/>
    <w:rPr>
      <w:rFonts w:ascii="Times New Roman" w:hAnsi="Times New Roman" w:eastAsia="宋体" w:cs="Times New Roman"/>
      <w:sz w:val="24"/>
      <w:szCs w:val="24"/>
    </w:rPr>
  </w:style>
  <w:style w:type="paragraph" w:customStyle="1" w:styleId="78">
    <w:name w:val="设计方案"/>
    <w:basedOn w:val="1"/>
    <w:autoRedefine/>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79">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81">
    <w:name w:val="样式1"/>
    <w:basedOn w:val="1"/>
    <w:autoRedefine/>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82">
    <w:name w:val="正文文本 3 Char"/>
    <w:basedOn w:val="40"/>
    <w:link w:val="17"/>
    <w:autoRedefine/>
    <w:qFormat/>
    <w:uiPriority w:val="0"/>
    <w:rPr>
      <w:rFonts w:ascii="Times New Roman" w:hAnsi="Times New Roman" w:eastAsia="宋体" w:cs="Times New Roman"/>
      <w:sz w:val="16"/>
      <w:szCs w:val="16"/>
    </w:rPr>
  </w:style>
  <w:style w:type="paragraph" w:customStyle="1" w:styleId="83">
    <w:name w:val="head"/>
    <w:basedOn w:val="1"/>
    <w:autoRedefine/>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84">
    <w:name w:val="列出段落1"/>
    <w:basedOn w:val="1"/>
    <w:autoRedefine/>
    <w:qFormat/>
    <w:uiPriority w:val="34"/>
    <w:pPr>
      <w:ind w:firstLine="420" w:firstLineChars="200"/>
    </w:pPr>
  </w:style>
  <w:style w:type="paragraph" w:customStyle="1" w:styleId="85">
    <w:name w:val="默认段落字体 Para Char Char Char Char"/>
    <w:basedOn w:val="1"/>
    <w:autoRedefine/>
    <w:qFormat/>
    <w:uiPriority w:val="0"/>
    <w:rPr>
      <w:szCs w:val="20"/>
    </w:rPr>
  </w:style>
  <w:style w:type="paragraph" w:customStyle="1" w:styleId="86">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font0"/>
    <w:basedOn w:val="1"/>
    <w:autoRedefine/>
    <w:qFormat/>
    <w:uiPriority w:val="0"/>
    <w:pPr>
      <w:widowControl/>
      <w:spacing w:before="100" w:beforeAutospacing="1" w:after="100" w:afterAutospacing="1"/>
      <w:jc w:val="left"/>
    </w:pPr>
    <w:rPr>
      <w:rFonts w:hint="eastAsia" w:ascii="宋体" w:hAnsi="宋体"/>
      <w:kern w:val="0"/>
      <w:sz w:val="24"/>
    </w:rPr>
  </w:style>
  <w:style w:type="character" w:customStyle="1" w:styleId="88">
    <w:name w:val="批注主题 Char"/>
    <w:basedOn w:val="73"/>
    <w:link w:val="36"/>
    <w:autoRedefine/>
    <w:semiHidden/>
    <w:qFormat/>
    <w:uiPriority w:val="0"/>
    <w:rPr>
      <w:rFonts w:ascii="Times New Roman" w:hAnsi="Times New Roman" w:eastAsia="宋体" w:cs="Times New Roman"/>
      <w:b/>
      <w:bCs/>
      <w:szCs w:val="24"/>
    </w:rPr>
  </w:style>
  <w:style w:type="character" w:customStyle="1" w:styleId="89">
    <w:name w:val="文档结构图 Char"/>
    <w:basedOn w:val="40"/>
    <w:link w:val="15"/>
    <w:autoRedefine/>
    <w:qFormat/>
    <w:uiPriority w:val="0"/>
    <w:rPr>
      <w:rFonts w:ascii="Times New Roman" w:hAnsi="Times New Roman" w:eastAsia="宋体" w:cs="Times New Roman"/>
      <w:szCs w:val="20"/>
      <w:shd w:val="clear" w:color="auto" w:fill="000080"/>
    </w:rPr>
  </w:style>
  <w:style w:type="paragraph" w:customStyle="1" w:styleId="90">
    <w:name w:val="Char Char Char Char Char Char Char"/>
    <w:basedOn w:val="1"/>
    <w:autoRedefine/>
    <w:qFormat/>
    <w:uiPriority w:val="0"/>
    <w:rPr>
      <w:rFonts w:ascii="Tahoma" w:hAnsi="Tahoma" w:cs="Tahoma"/>
      <w:sz w:val="30"/>
      <w:szCs w:val="30"/>
    </w:rPr>
  </w:style>
  <w:style w:type="paragraph" w:customStyle="1" w:styleId="91">
    <w:name w:val="样式 标题 3h3H3sect1.2.3 + 五号 段前: 6 磅 段后: 6 磅 行距: 单倍行距"/>
    <w:basedOn w:val="5"/>
    <w:autoRedefine/>
    <w:qFormat/>
    <w:uiPriority w:val="0"/>
    <w:pPr>
      <w:keepLines/>
      <w:tabs>
        <w:tab w:val="left" w:pos="1260"/>
      </w:tabs>
      <w:adjustRightInd w:val="0"/>
      <w:spacing w:before="120" w:after="120"/>
      <w:ind w:left="1260" w:hanging="420"/>
      <w:jc w:val="left"/>
      <w:textAlignment w:val="baseline"/>
    </w:pPr>
    <w:rPr>
      <w:rFonts w:ascii="Times New Roman" w:hAnsi="Times New Roman" w:eastAsia="宋体"/>
      <w:bCs w:val="0"/>
      <w:kern w:val="0"/>
      <w:sz w:val="21"/>
      <w:szCs w:val="20"/>
    </w:rPr>
  </w:style>
  <w:style w:type="character" w:customStyle="1" w:styleId="92">
    <w:name w:val="正文文本 Char"/>
    <w:basedOn w:val="40"/>
    <w:link w:val="14"/>
    <w:autoRedefine/>
    <w:qFormat/>
    <w:uiPriority w:val="0"/>
    <w:rPr>
      <w:rFonts w:ascii="Times New Roman" w:hAnsi="Times New Roman" w:eastAsia="宋体" w:cs="Times New Roman"/>
      <w:szCs w:val="24"/>
    </w:rPr>
  </w:style>
  <w:style w:type="character" w:customStyle="1" w:styleId="93">
    <w:name w:val="正文文本缩进 2 Char"/>
    <w:basedOn w:val="40"/>
    <w:link w:val="23"/>
    <w:autoRedefine/>
    <w:qFormat/>
    <w:uiPriority w:val="0"/>
    <w:rPr>
      <w:rFonts w:ascii="Times New Roman" w:hAnsi="Times New Roman" w:eastAsia="宋体" w:cs="Times New Roman"/>
      <w:sz w:val="24"/>
      <w:szCs w:val="24"/>
    </w:rPr>
  </w:style>
  <w:style w:type="character" w:customStyle="1" w:styleId="94">
    <w:name w:val="纯文本 Char1"/>
    <w:basedOn w:val="40"/>
    <w:autoRedefine/>
    <w:qFormat/>
    <w:uiPriority w:val="0"/>
    <w:rPr>
      <w:rFonts w:ascii="宋体" w:hAnsi="Courier New" w:eastAsia="宋体" w:cs="Courier New"/>
      <w:szCs w:val="21"/>
    </w:rPr>
  </w:style>
  <w:style w:type="character" w:customStyle="1" w:styleId="95">
    <w:name w:val="日期 Char"/>
    <w:basedOn w:val="40"/>
    <w:link w:val="22"/>
    <w:autoRedefine/>
    <w:qFormat/>
    <w:uiPriority w:val="0"/>
    <w:rPr>
      <w:rFonts w:ascii="宋体" w:hAnsi="Times New Roman" w:eastAsia="宋体" w:cs="Times New Roman"/>
      <w:kern w:val="0"/>
      <w:szCs w:val="20"/>
    </w:rPr>
  </w:style>
  <w:style w:type="character" w:customStyle="1" w:styleId="96">
    <w:name w:val="批注框文本 Char1"/>
    <w:basedOn w:val="40"/>
    <w:autoRedefine/>
    <w:semiHidden/>
    <w:qFormat/>
    <w:uiPriority w:val="99"/>
    <w:rPr>
      <w:rFonts w:ascii="Times New Roman" w:hAnsi="Times New Roman" w:eastAsia="宋体" w:cs="Times New Roman"/>
      <w:sz w:val="18"/>
      <w:szCs w:val="18"/>
    </w:rPr>
  </w:style>
  <w:style w:type="character" w:customStyle="1" w:styleId="97">
    <w:name w:val="HTML 预设格式 Char"/>
    <w:basedOn w:val="40"/>
    <w:link w:val="33"/>
    <w:autoRedefine/>
    <w:qFormat/>
    <w:uiPriority w:val="0"/>
    <w:rPr>
      <w:rFonts w:ascii="黑体" w:hAnsi="Courier New" w:eastAsia="黑体" w:cs="Courier New"/>
      <w:kern w:val="0"/>
      <w:sz w:val="20"/>
      <w:szCs w:val="20"/>
    </w:rPr>
  </w:style>
  <w:style w:type="character" w:customStyle="1" w:styleId="98">
    <w:name w:val="正文文本缩进 3 Char"/>
    <w:basedOn w:val="40"/>
    <w:link w:val="30"/>
    <w:autoRedefine/>
    <w:qFormat/>
    <w:uiPriority w:val="0"/>
    <w:rPr>
      <w:rFonts w:ascii="Times New Roman" w:hAnsi="Times New Roman" w:eastAsia="宋体" w:cs="Times New Roman"/>
      <w:sz w:val="16"/>
      <w:szCs w:val="16"/>
    </w:rPr>
  </w:style>
  <w:style w:type="paragraph" w:customStyle="1" w:styleId="99">
    <w:name w:val="Char1 Char Char Char"/>
    <w:basedOn w:val="1"/>
    <w:autoRedefine/>
    <w:qFormat/>
    <w:uiPriority w:val="0"/>
    <w:rPr>
      <w:szCs w:val="20"/>
    </w:rPr>
  </w:style>
  <w:style w:type="paragraph" w:customStyle="1" w:styleId="100">
    <w:name w:val="Char1"/>
    <w:basedOn w:val="1"/>
    <w:autoRedefine/>
    <w:qFormat/>
    <w:uiPriority w:val="0"/>
    <w:pPr>
      <w:widowControl/>
      <w:spacing w:after="160" w:line="240" w:lineRule="exact"/>
      <w:jc w:val="left"/>
    </w:pPr>
    <w:rPr>
      <w:sz w:val="24"/>
    </w:rPr>
  </w:style>
  <w:style w:type="paragraph" w:customStyle="1" w:styleId="101">
    <w:name w:val="默认段落字体 Para Char"/>
    <w:basedOn w:val="1"/>
    <w:autoRedefine/>
    <w:qFormat/>
    <w:uiPriority w:val="0"/>
  </w:style>
  <w:style w:type="paragraph" w:customStyle="1" w:styleId="102">
    <w:name w:val="Char1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03">
    <w:name w:val="TOC 标题1"/>
    <w:basedOn w:val="3"/>
    <w:next w:val="1"/>
    <w:autoRedefine/>
    <w:qFormat/>
    <w:uiPriority w:val="39"/>
    <w:pPr>
      <w:keepLines/>
      <w:spacing w:before="480" w:line="276" w:lineRule="auto"/>
      <w:outlineLvl w:val="9"/>
    </w:pPr>
    <w:rPr>
      <w:rFonts w:ascii="Cambria" w:hAnsi="Cambria"/>
      <w:color w:val="365F91"/>
      <w:sz w:val="28"/>
      <w:szCs w:val="28"/>
    </w:rPr>
  </w:style>
  <w:style w:type="paragraph" w:customStyle="1" w:styleId="10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5">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06">
    <w:name w:val="Char Char2 Char"/>
    <w:basedOn w:val="1"/>
    <w:autoRedefine/>
    <w:qFormat/>
    <w:uiPriority w:val="0"/>
    <w:rPr>
      <w:rFonts w:ascii="宋体" w:hAnsi="宋体"/>
      <w:b/>
      <w:sz w:val="28"/>
      <w:szCs w:val="28"/>
    </w:rPr>
  </w:style>
  <w:style w:type="character" w:customStyle="1" w:styleId="107">
    <w:name w:val="正文缩进 Char"/>
    <w:link w:val="13"/>
    <w:autoRedefine/>
    <w:qFormat/>
    <w:uiPriority w:val="0"/>
    <w:rPr>
      <w:rFonts w:ascii="Times New Roman" w:hAnsi="Times New Roman" w:eastAsia="宋体" w:cs="Times New Roman"/>
      <w:szCs w:val="21"/>
    </w:rPr>
  </w:style>
  <w:style w:type="paragraph" w:customStyle="1" w:styleId="108">
    <w:name w:val="Char Char Char"/>
    <w:basedOn w:val="1"/>
    <w:autoRedefine/>
    <w:qFormat/>
    <w:uiPriority w:val="0"/>
    <w:rPr>
      <w:rFonts w:ascii="宋体" w:hAnsi="宋体"/>
      <w:b/>
      <w:sz w:val="28"/>
      <w:szCs w:val="28"/>
    </w:rPr>
  </w:style>
  <w:style w:type="paragraph" w:customStyle="1" w:styleId="109">
    <w:name w:val="Char2"/>
    <w:basedOn w:val="1"/>
    <w:autoRedefine/>
    <w:qFormat/>
    <w:uiPriority w:val="0"/>
    <w:pPr>
      <w:widowControl/>
      <w:spacing w:after="160" w:line="240" w:lineRule="exact"/>
      <w:jc w:val="left"/>
    </w:pPr>
    <w:rPr>
      <w:szCs w:val="20"/>
    </w:rPr>
  </w:style>
  <w:style w:type="paragraph" w:customStyle="1" w:styleId="110">
    <w:name w:val="a"/>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11">
    <w:name w:val="明显参考1"/>
    <w:autoRedefine/>
    <w:qFormat/>
    <w:uiPriority w:val="32"/>
    <w:rPr>
      <w:b/>
      <w:bCs/>
      <w:smallCaps/>
      <w:color w:val="C0504D"/>
      <w:spacing w:val="5"/>
      <w:u w:val="single"/>
    </w:rPr>
  </w:style>
  <w:style w:type="paragraph" w:customStyle="1" w:styleId="112">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3">
    <w:name w:val="列出段落11"/>
    <w:basedOn w:val="1"/>
    <w:autoRedefine/>
    <w:qFormat/>
    <w:uiPriority w:val="34"/>
    <w:pPr>
      <w:ind w:firstLine="420" w:firstLineChars="200"/>
    </w:pPr>
  </w:style>
  <w:style w:type="paragraph" w:styleId="114">
    <w:name w:val="List Paragraph"/>
    <w:basedOn w:val="1"/>
    <w:link w:val="121"/>
    <w:autoRedefine/>
    <w:qFormat/>
    <w:uiPriority w:val="34"/>
    <w:pPr>
      <w:ind w:firstLine="420" w:firstLineChars="200"/>
    </w:pPr>
  </w:style>
  <w:style w:type="character" w:customStyle="1" w:styleId="115">
    <w:name w:val="rec-status-desc"/>
    <w:basedOn w:val="40"/>
    <w:autoRedefine/>
    <w:qFormat/>
    <w:uiPriority w:val="0"/>
  </w:style>
  <w:style w:type="character" w:customStyle="1" w:styleId="116">
    <w:name w:val="rec-volume"/>
    <w:basedOn w:val="40"/>
    <w:autoRedefine/>
    <w:qFormat/>
    <w:uiPriority w:val="0"/>
  </w:style>
  <w:style w:type="character" w:customStyle="1" w:styleId="117">
    <w:name w:val="rec-time"/>
    <w:basedOn w:val="40"/>
    <w:autoRedefine/>
    <w:qFormat/>
    <w:uiPriority w:val="0"/>
  </w:style>
  <w:style w:type="paragraph" w:customStyle="1" w:styleId="118">
    <w:name w:val="WPSOffice手动目录 1"/>
    <w:autoRedefine/>
    <w:qFormat/>
    <w:uiPriority w:val="0"/>
    <w:rPr>
      <w:rFonts w:ascii="Times New Roman" w:hAnsi="Times New Roman" w:eastAsia="宋体" w:cs="Times New Roman"/>
      <w:lang w:val="en-US" w:eastAsia="zh-CN" w:bidi="ar-SA"/>
    </w:rPr>
  </w:style>
  <w:style w:type="paragraph" w:customStyle="1" w:styleId="11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20">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121">
    <w:name w:val="列出段落 Char"/>
    <w:link w:val="114"/>
    <w:autoRedefine/>
    <w:qFormat/>
    <w:uiPriority w:val="34"/>
    <w:rPr>
      <w:kern w:val="2"/>
      <w:sz w:val="21"/>
      <w:szCs w:val="24"/>
    </w:rPr>
  </w:style>
  <w:style w:type="character" w:customStyle="1" w:styleId="122">
    <w:name w:val="cf01"/>
    <w:basedOn w:val="40"/>
    <w:autoRedefine/>
    <w:qFormat/>
    <w:uiPriority w:val="0"/>
    <w:rPr>
      <w:rFonts w:hint="eastAsia" w:ascii="Microsoft YaHei UI" w:hAnsi="Microsoft YaHei UI" w:eastAsia="Microsoft YaHei UI"/>
      <w:sz w:val="18"/>
      <w:szCs w:val="18"/>
    </w:rPr>
  </w:style>
  <w:style w:type="paragraph" w:customStyle="1" w:styleId="123">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24">
    <w:name w:val="文档正文"/>
    <w:basedOn w:val="1"/>
    <w:autoRedefine/>
    <w:qFormat/>
    <w:uiPriority w:val="0"/>
    <w:pPr>
      <w:adjustRightInd w:val="0"/>
      <w:spacing w:line="500" w:lineRule="exact"/>
      <w:ind w:firstLine="567"/>
      <w:textAlignment w:val="baseline"/>
    </w:pPr>
    <w:rPr>
      <w:rFonts w:ascii="仿宋_GB2312" w:eastAsia="仿宋_GB2312"/>
      <w:sz w:val="28"/>
    </w:rPr>
  </w:style>
  <w:style w:type="paragraph" w:customStyle="1" w:styleId="125">
    <w:name w:val="表格文字"/>
    <w:basedOn w:val="1"/>
    <w:next w:val="14"/>
    <w:autoRedefine/>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74</Pages>
  <Words>40034</Words>
  <Characters>41299</Characters>
  <Lines>341</Lines>
  <Paragraphs>96</Paragraphs>
  <TotalTime>3</TotalTime>
  <ScaleCrop>false</ScaleCrop>
  <LinksUpToDate>false</LinksUpToDate>
  <CharactersWithSpaces>43395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2023-07-14T18:06:00Z</dcterms:created>
  <dc:creator>HXM</dc:creator>
  <cp:lastModifiedBy>采联-李工</cp:lastModifiedBy>
  <cp:lastPrinted>2022-07-20T02:19:00Z</cp:lastPrinted>
  <dcterms:modified xsi:type="dcterms:W3CDTF">2024-04-08T07:51:33Z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1FC0AFA59D904D97A7CB3730A6D199DA_13</vt:lpwstr>
  </property>
</Properties>
</file>