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sz w:val="84"/>
          <w:szCs w:val="84"/>
        </w:rPr>
      </w:pPr>
    </w:p>
    <w:p>
      <w:pPr>
        <w:snapToGrid w:val="0"/>
        <w:spacing w:before="156" w:beforeLines="50"/>
        <w:jc w:val="center"/>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pPr>
        <w:spacing w:line="360" w:lineRule="auto"/>
        <w:jc w:val="center"/>
        <w:rPr>
          <w:rFonts w:ascii="宋体" w:hAnsi="宋体"/>
          <w:b/>
          <w:bCs/>
          <w:sz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线上竞价</w:t>
      </w:r>
    </w:p>
    <w:p>
      <w:pPr>
        <w:spacing w:line="360" w:lineRule="auto"/>
        <w:jc w:val="left"/>
        <w:rPr>
          <w:rFonts w:hint="default" w:ascii="宋体" w:hAnsi="宋体" w:eastAsia="宋体" w:cs="宋体"/>
          <w:kern w:val="0"/>
          <w:sz w:val="28"/>
          <w:szCs w:val="28"/>
          <w:lang w:val="en-US"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cs="宋体"/>
          <w:b/>
          <w:bCs/>
          <w:sz w:val="28"/>
          <w:szCs w:val="28"/>
          <w:lang w:eastAsia="zh-CN"/>
        </w:rPr>
        <w:t>消耗品采购项目105</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pStyle w:val="3"/>
        <w:ind w:firstLine="460"/>
      </w:pPr>
    </w:p>
    <w:p>
      <w:pPr>
        <w:pStyle w:val="3"/>
        <w:ind w:firstLine="460"/>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广东省佛山生态环境监测站</w:t>
      </w:r>
    </w:p>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云采链（广州）信息科技有限公司</w:t>
      </w:r>
    </w:p>
    <w:p>
      <w:pPr>
        <w:autoSpaceDE w:val="0"/>
        <w:autoSpaceDN w:val="0"/>
        <w:adjustRightInd w:val="0"/>
        <w:snapToGrid w:val="0"/>
        <w:spacing w:line="360" w:lineRule="auto"/>
        <w:ind w:left="420" w:firstLine="420"/>
        <w:jc w:val="center"/>
        <w:rPr>
          <w:rFonts w:ascii="仿宋_GB2312" w:hAnsi="仿宋_GB2312"/>
          <w:b/>
          <w:sz w:val="28"/>
          <w:szCs w:val="22"/>
        </w:rPr>
      </w:pPr>
      <w:r>
        <w:rPr>
          <w:rFonts w:hint="eastAsia" w:ascii="仿宋_GB2312" w:hAnsi="仿宋_GB2312"/>
          <w:b/>
          <w:sz w:val="28"/>
          <w:szCs w:val="22"/>
        </w:rPr>
        <w:t>二零二四年</w:t>
      </w:r>
      <w:r>
        <w:rPr>
          <w:rFonts w:hint="eastAsia" w:ascii="仿宋_GB2312" w:hAnsi="仿宋_GB2312"/>
          <w:b/>
          <w:sz w:val="28"/>
          <w:szCs w:val="22"/>
          <w:lang w:val="en-US" w:eastAsia="zh-CN"/>
        </w:rPr>
        <w:t>六</w:t>
      </w:r>
      <w:r>
        <w:rPr>
          <w:rFonts w:ascii="仿宋_GB2312" w:hAnsi="仿宋_GB2312"/>
          <w:b/>
          <w:sz w:val="28"/>
          <w:szCs w:val="22"/>
        </w:rPr>
        <w:t>月</w:t>
      </w:r>
    </w:p>
    <w:p>
      <w:pPr>
        <w:autoSpaceDE w:val="0"/>
        <w:autoSpaceDN w:val="0"/>
        <w:adjustRightInd w:val="0"/>
        <w:snapToGrid w:val="0"/>
        <w:spacing w:line="360" w:lineRule="auto"/>
        <w:ind w:left="420" w:firstLine="420"/>
        <w:jc w:val="center"/>
        <w:rPr>
          <w:rFonts w:ascii="仿宋_GB2312" w:hAnsi="仿宋_GB2312"/>
          <w:sz w:val="28"/>
          <w:szCs w:val="22"/>
        </w:rPr>
      </w:pPr>
    </w:p>
    <w:p>
      <w:pPr>
        <w:widowControl/>
        <w:jc w:val="left"/>
        <w:rPr>
          <w:rFonts w:ascii="Cambria" w:hAnsi="Cambria" w:cs="宋体"/>
          <w:b/>
          <w:bCs/>
          <w:kern w:val="0"/>
          <w:sz w:val="32"/>
          <w:szCs w:val="32"/>
        </w:rPr>
      </w:pPr>
      <w:r>
        <w:rPr>
          <w:rFonts w:ascii="Calibri" w:hAnsi="Calibri" w:cs="宋体"/>
          <w:szCs w:val="21"/>
        </w:rPr>
        <w:br w:type="page"/>
      </w:r>
    </w:p>
    <w:p>
      <w:pPr>
        <w:jc w:val="center"/>
        <w:outlineLvl w:val="0"/>
        <w:rPr>
          <w:rFonts w:ascii="Cambria" w:hAnsi="Cambria"/>
          <w:b/>
          <w:bCs/>
          <w:kern w:val="0"/>
          <w:sz w:val="32"/>
          <w:szCs w:val="32"/>
        </w:rPr>
      </w:pPr>
      <w:r>
        <w:rPr>
          <w:rFonts w:hint="eastAsia" w:ascii="Cambria" w:hAnsi="Cambria" w:cs="宋体"/>
          <w:b/>
          <w:bCs/>
          <w:kern w:val="0"/>
          <w:sz w:val="32"/>
          <w:szCs w:val="32"/>
        </w:rPr>
        <w:t>第一章竞价须知</w:t>
      </w:r>
    </w:p>
    <w:p>
      <w:pPr>
        <w:widowControl/>
        <w:spacing w:line="360" w:lineRule="auto"/>
        <w:jc w:val="left"/>
        <w:rPr>
          <w:rFonts w:ascii="宋体" w:hAnsi="宋体"/>
          <w:szCs w:val="21"/>
        </w:rPr>
      </w:pPr>
      <w:r>
        <w:rPr>
          <w:rFonts w:hint="eastAsia" w:ascii="宋体" w:hAnsi="宋体"/>
          <w:szCs w:val="21"/>
        </w:rPr>
        <w:t>一、</w:t>
      </w:r>
      <w:r>
        <w:rPr>
          <w:rFonts w:hint="eastAsia" w:ascii="宋体" w:hAnsi="宋体" w:cs="宋体"/>
          <w:szCs w:val="21"/>
        </w:rPr>
        <w:t>本项目通过云采链线上采购一体化平台进行竞价，参与竞价的供应商必须登录平台进行注册，注册成功后方可参与项目竞价。</w:t>
      </w:r>
    </w:p>
    <w:p>
      <w:pPr>
        <w:widowControl/>
        <w:spacing w:line="360" w:lineRule="auto"/>
        <w:jc w:val="left"/>
        <w:rPr>
          <w:rFonts w:ascii="宋体" w:hAnsi="宋体"/>
          <w:szCs w:val="21"/>
        </w:rPr>
      </w:pPr>
      <w:r>
        <w:rPr>
          <w:rFonts w:hint="eastAsia" w:ascii="宋体" w:hAnsi="宋体"/>
          <w:szCs w:val="21"/>
        </w:rPr>
        <w:t>二、语言要求</w:t>
      </w:r>
    </w:p>
    <w:p>
      <w:pPr>
        <w:widowControl/>
        <w:spacing w:line="360" w:lineRule="auto"/>
        <w:ind w:left="420"/>
        <w:jc w:val="left"/>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spacing w:line="360" w:lineRule="auto"/>
        <w:jc w:val="left"/>
        <w:rPr>
          <w:rFonts w:ascii="宋体" w:hAnsi="宋体"/>
          <w:szCs w:val="21"/>
        </w:rPr>
      </w:pPr>
      <w:r>
        <w:rPr>
          <w:rFonts w:hint="eastAsia" w:ascii="宋体" w:hAnsi="宋体" w:cs="宋体"/>
          <w:szCs w:val="21"/>
        </w:rPr>
        <w:t xml:space="preserve">三、在云采链平台参与项目竞价后放弃成交资格超过三次（含三次）的供应商连同该供应商同一法人名下所有公司将被列入平台黑名单，永久不得参与平台的项目竞价。     </w:t>
      </w:r>
    </w:p>
    <w:p>
      <w:pPr>
        <w:widowControl/>
        <w:spacing w:line="360" w:lineRule="auto"/>
        <w:jc w:val="left"/>
        <w:rPr>
          <w:rFonts w:ascii="宋体" w:hAnsi="宋体"/>
          <w:szCs w:val="21"/>
        </w:rPr>
      </w:pPr>
      <w:r>
        <w:rPr>
          <w:rFonts w:hint="eastAsia" w:ascii="宋体" w:hAnsi="宋体" w:cs="宋体"/>
          <w:szCs w:val="21"/>
        </w:rPr>
        <w:t>四、竞价须知</w:t>
      </w:r>
    </w:p>
    <w:p>
      <w:pPr>
        <w:widowControl/>
        <w:numPr>
          <w:ilvl w:val="0"/>
          <w:numId w:val="1"/>
        </w:numPr>
        <w:spacing w:line="360" w:lineRule="auto"/>
        <w:jc w:val="left"/>
        <w:rPr>
          <w:rFonts w:ascii="宋体" w:hAnsi="宋体"/>
          <w:b/>
          <w:bCs/>
          <w:szCs w:val="21"/>
        </w:rPr>
      </w:pPr>
      <w:r>
        <w:rPr>
          <w:rFonts w:hint="eastAsia" w:ascii="宋体" w:hAnsi="宋体" w:cs="宋体"/>
          <w:b/>
          <w:bCs/>
          <w:szCs w:val="21"/>
        </w:rPr>
        <w:t>竞价说明</w:t>
      </w:r>
    </w:p>
    <w:p>
      <w:pPr>
        <w:widowControl/>
        <w:numPr>
          <w:ilvl w:val="0"/>
          <w:numId w:val="2"/>
        </w:numPr>
        <w:spacing w:line="360" w:lineRule="auto"/>
        <w:jc w:val="left"/>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widowControl/>
        <w:numPr>
          <w:ilvl w:val="0"/>
          <w:numId w:val="2"/>
        </w:numPr>
        <w:spacing w:line="360" w:lineRule="auto"/>
        <w:jc w:val="left"/>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2"/>
        </w:numPr>
        <w:spacing w:line="360" w:lineRule="auto"/>
        <w:jc w:val="left"/>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pPr>
        <w:widowControl/>
        <w:numPr>
          <w:ilvl w:val="0"/>
          <w:numId w:val="2"/>
        </w:numPr>
        <w:spacing w:line="360" w:lineRule="auto"/>
        <w:jc w:val="left"/>
        <w:rPr>
          <w:rFonts w:ascii="宋体" w:hAnsi="宋体"/>
          <w:szCs w:val="21"/>
        </w:rPr>
      </w:pPr>
      <w:r>
        <w:rPr>
          <w:rFonts w:hint="eastAsia" w:ascii="宋体" w:hAnsi="宋体" w:cs="宋体"/>
          <w:szCs w:val="21"/>
        </w:rPr>
        <w:t>若成交供应商自身原因无法完成本项目，则采购人有权利保留追究责任。</w:t>
      </w:r>
    </w:p>
    <w:p>
      <w:pPr>
        <w:widowControl/>
        <w:numPr>
          <w:ilvl w:val="0"/>
          <w:numId w:val="2"/>
        </w:numPr>
        <w:spacing w:line="360" w:lineRule="auto"/>
        <w:jc w:val="left"/>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成交供应商因自身原因被取消成交资格，采购人可重新启动采购或按竞价公告规定顺延推选符合要求的供应商作为成交人。</w:t>
      </w:r>
    </w:p>
    <w:p>
      <w:pPr>
        <w:widowControl/>
        <w:numPr>
          <w:ilvl w:val="0"/>
          <w:numId w:val="2"/>
        </w:numPr>
        <w:spacing w:line="360" w:lineRule="auto"/>
        <w:jc w:val="left"/>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pPr>
        <w:widowControl/>
        <w:numPr>
          <w:ilvl w:val="0"/>
          <w:numId w:val="2"/>
        </w:numPr>
        <w:spacing w:line="360" w:lineRule="auto"/>
        <w:jc w:val="left"/>
        <w:rPr>
          <w:rFonts w:ascii="宋体" w:hAnsi="宋体"/>
          <w:szCs w:val="21"/>
        </w:rPr>
      </w:pPr>
      <w:r>
        <w:rPr>
          <w:rFonts w:hint="eastAsia" w:ascii="宋体" w:hAnsi="宋体" w:cs="宋体"/>
          <w:szCs w:val="21"/>
        </w:rPr>
        <w:t>成交供应商若无正当理由恶意放弃成交资格，采购人有权将拒绝其参加本项目重新组织的竞价采购活动。</w:t>
      </w:r>
    </w:p>
    <w:p>
      <w:pPr>
        <w:widowControl/>
        <w:numPr>
          <w:ilvl w:val="0"/>
          <w:numId w:val="2"/>
        </w:numPr>
        <w:spacing w:line="360" w:lineRule="auto"/>
        <w:jc w:val="left"/>
        <w:rPr>
          <w:rFonts w:ascii="宋体" w:hAnsi="宋体" w:cs="Calibri"/>
          <w:szCs w:val="21"/>
        </w:rPr>
      </w:pPr>
      <w:r>
        <w:rPr>
          <w:rFonts w:hint="eastAsia" w:ascii="宋体" w:hAnsi="宋体" w:cs="Calibri"/>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2"/>
        </w:numPr>
        <w:spacing w:line="360" w:lineRule="auto"/>
        <w:jc w:val="left"/>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widowControl/>
        <w:numPr>
          <w:ilvl w:val="0"/>
          <w:numId w:val="2"/>
        </w:numPr>
        <w:spacing w:line="360" w:lineRule="auto"/>
        <w:jc w:val="left"/>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pPr>
        <w:widowControl/>
        <w:numPr>
          <w:ilvl w:val="0"/>
          <w:numId w:val="2"/>
        </w:numPr>
        <w:spacing w:line="360" w:lineRule="auto"/>
        <w:jc w:val="left"/>
        <w:rPr>
          <w:rFonts w:ascii="宋体" w:hAnsi="宋体"/>
          <w:szCs w:val="21"/>
        </w:rPr>
      </w:pPr>
      <w:r>
        <w:rPr>
          <w:rFonts w:hint="eastAsia" w:ascii="宋体" w:hAnsi="宋体" w:cs="宋体"/>
          <w:kern w:val="0"/>
          <w:szCs w:val="21"/>
        </w:rPr>
        <w:t>采购人有权拒绝接受任何不合格的货物或服务，由此产生的费用及相关后果均由成交供应商自行承担；</w:t>
      </w:r>
    </w:p>
    <w:p>
      <w:pPr>
        <w:widowControl/>
        <w:numPr>
          <w:ilvl w:val="0"/>
          <w:numId w:val="2"/>
        </w:numPr>
        <w:spacing w:line="360" w:lineRule="auto"/>
        <w:jc w:val="left"/>
        <w:rPr>
          <w:rFonts w:ascii="宋体" w:hAnsi="宋体"/>
          <w:szCs w:val="21"/>
        </w:rPr>
      </w:pPr>
      <w:r>
        <w:rPr>
          <w:rFonts w:hint="eastAsia" w:ascii="宋体" w:hAnsi="宋体" w:cs="宋体"/>
          <w:szCs w:val="21"/>
        </w:rPr>
        <w:t>供应商认为竞价结果损害其权益的，应按照云采链平台相关指引在规定的时间内向采购人或代理机构提交书面质疑，不提交的视为无异议，逾期提交将不予受理；</w:t>
      </w:r>
    </w:p>
    <w:p>
      <w:pPr>
        <w:widowControl/>
        <w:numPr>
          <w:ilvl w:val="0"/>
          <w:numId w:val="2"/>
        </w:numPr>
        <w:spacing w:line="360" w:lineRule="auto"/>
        <w:jc w:val="left"/>
        <w:rPr>
          <w:rFonts w:ascii="宋体" w:hAnsi="宋体"/>
          <w:szCs w:val="21"/>
        </w:rPr>
      </w:pPr>
      <w:r>
        <w:rPr>
          <w:rFonts w:hint="eastAsia" w:ascii="宋体" w:hAnsi="宋体" w:cs="宋体"/>
          <w:szCs w:val="21"/>
        </w:rPr>
        <w:t>本竞价公告和竞价文件的解释权归“云采链线上采购一体化平台”所有。</w:t>
      </w:r>
    </w:p>
    <w:p>
      <w:pPr>
        <w:widowControl/>
        <w:numPr>
          <w:ilvl w:val="0"/>
          <w:numId w:val="1"/>
        </w:numPr>
        <w:spacing w:line="360" w:lineRule="auto"/>
        <w:jc w:val="left"/>
        <w:rPr>
          <w:rFonts w:ascii="宋体" w:hAnsi="宋体"/>
          <w:szCs w:val="21"/>
        </w:rPr>
      </w:pPr>
      <w:r>
        <w:rPr>
          <w:rFonts w:hint="eastAsia" w:ascii="宋体" w:hAnsi="宋体"/>
          <w:b/>
          <w:szCs w:val="21"/>
        </w:rPr>
        <w:t>竞价文件的澄清或修改</w:t>
      </w:r>
    </w:p>
    <w:p>
      <w:pPr>
        <w:widowControl/>
        <w:numPr>
          <w:ilvl w:val="1"/>
          <w:numId w:val="3"/>
        </w:numPr>
        <w:spacing w:line="360" w:lineRule="auto"/>
        <w:jc w:val="left"/>
        <w:rPr>
          <w:rFonts w:ascii="宋体" w:hAnsi="宋体"/>
          <w:szCs w:val="21"/>
        </w:rPr>
      </w:pPr>
      <w:r>
        <w:rPr>
          <w:rFonts w:hint="eastAsia" w:ascii="宋体" w:hAnsi="宋体"/>
          <w:szCs w:val="21"/>
        </w:rPr>
        <w:t>采购人或者采购代理机构可以对已发出的竞价文件进行必要的澄清或者修改。澄清或者修改的内容将在云采链平台上发布澄清（更正/变更）公告。</w:t>
      </w:r>
    </w:p>
    <w:p>
      <w:pPr>
        <w:widowControl/>
        <w:numPr>
          <w:ilvl w:val="1"/>
          <w:numId w:val="3"/>
        </w:numPr>
        <w:spacing w:line="360" w:lineRule="auto"/>
        <w:jc w:val="left"/>
        <w:rPr>
          <w:rFonts w:ascii="宋体" w:hAnsi="宋体"/>
          <w:szCs w:val="21"/>
        </w:rPr>
      </w:pPr>
      <w:r>
        <w:rPr>
          <w:rFonts w:hint="eastAsia" w:ascii="宋体" w:hAnsi="宋体"/>
          <w:szCs w:val="21"/>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szCs w:val="21"/>
        </w:rPr>
        <w:t>采购人或者采购代理机构应当相应顺延报名的截止时间。</w:t>
      </w:r>
    </w:p>
    <w:p>
      <w:pPr>
        <w:widowControl/>
        <w:numPr>
          <w:ilvl w:val="1"/>
          <w:numId w:val="3"/>
        </w:numPr>
        <w:spacing w:line="360" w:lineRule="auto"/>
        <w:jc w:val="left"/>
        <w:rPr>
          <w:rFonts w:ascii="宋体" w:hAnsi="宋体"/>
          <w:szCs w:val="21"/>
        </w:rPr>
      </w:pPr>
      <w:r>
        <w:rPr>
          <w:rFonts w:hint="eastAsia" w:ascii="宋体" w:hAnsi="宋体"/>
          <w:szCs w:val="21"/>
        </w:rPr>
        <w:t>采购人或者采购代理机构发出的澄清或修改（更正/变更）的内容为竞价文件的组成部分，并对供应商具有约束力。</w:t>
      </w:r>
    </w:p>
    <w:p>
      <w:pPr>
        <w:widowControl/>
        <w:numPr>
          <w:ilvl w:val="0"/>
          <w:numId w:val="1"/>
        </w:numPr>
        <w:spacing w:line="360" w:lineRule="auto"/>
        <w:jc w:val="left"/>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pPr>
        <w:widowControl/>
        <w:numPr>
          <w:ilvl w:val="0"/>
          <w:numId w:val="4"/>
        </w:numPr>
        <w:spacing w:line="360" w:lineRule="auto"/>
        <w:jc w:val="left"/>
        <w:rPr>
          <w:rFonts w:ascii="宋体" w:hAnsi="宋体" w:cs="宋体"/>
          <w:kern w:val="0"/>
          <w:szCs w:val="21"/>
        </w:rPr>
      </w:pPr>
      <w:r>
        <w:rPr>
          <w:rFonts w:hint="eastAsia" w:ascii="宋体" w:hAnsi="宋体" w:cs="宋体"/>
          <w:kern w:val="0"/>
          <w:szCs w:val="21"/>
        </w:rPr>
        <w:t>供应商须是在中华人民共和国境内注册的能独立承担民事责任的法人公司或其他组织（提供营业执照证明文件）；</w:t>
      </w:r>
    </w:p>
    <w:p>
      <w:pPr>
        <w:widowControl/>
        <w:numPr>
          <w:ilvl w:val="0"/>
          <w:numId w:val="4"/>
        </w:numPr>
        <w:spacing w:line="360" w:lineRule="auto"/>
        <w:jc w:val="left"/>
        <w:rPr>
          <w:rFonts w:ascii="宋体" w:hAnsi="宋体"/>
          <w:szCs w:val="21"/>
        </w:rPr>
      </w:pPr>
      <w:r>
        <w:rPr>
          <w:rFonts w:hint="eastAsia" w:ascii="宋体" w:hAnsi="宋体" w:cs="宋体"/>
          <w:szCs w:val="21"/>
        </w:rPr>
        <w:t>报名供应商须符合《中华人民共和国政府采购法》第二十二条所规定的条件；本项目不接受联合体报价，提供供应商资格声明函，</w:t>
      </w:r>
      <w:r>
        <w:rPr>
          <w:rFonts w:hint="eastAsia" w:ascii="宋体" w:hAnsi="宋体" w:cs="宋体"/>
          <w:b/>
          <w:bCs/>
          <w:szCs w:val="21"/>
        </w:rPr>
        <w:t>格式详见附件</w:t>
      </w:r>
      <w:r>
        <w:rPr>
          <w:rFonts w:hint="eastAsia" w:ascii="宋体" w:hAnsi="宋体" w:cs="宋体"/>
          <w:szCs w:val="21"/>
        </w:rPr>
        <w:t>；</w:t>
      </w:r>
    </w:p>
    <w:p>
      <w:pPr>
        <w:widowControl/>
        <w:numPr>
          <w:ilvl w:val="0"/>
          <w:numId w:val="4"/>
        </w:numPr>
        <w:spacing w:line="360" w:lineRule="auto"/>
        <w:jc w:val="left"/>
        <w:rPr>
          <w:rFonts w:ascii="宋体" w:hAnsi="宋体"/>
          <w:szCs w:val="21"/>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bCs/>
          <w:kern w:val="0"/>
          <w:szCs w:val="21"/>
        </w:rPr>
        <w:t>，格式详见附件</w:t>
      </w:r>
      <w:r>
        <w:rPr>
          <w:rFonts w:hint="eastAsia" w:ascii="宋体" w:hAnsi="宋体" w:cs="宋体"/>
          <w:kern w:val="0"/>
          <w:szCs w:val="21"/>
        </w:rPr>
        <w:t>；</w:t>
      </w:r>
    </w:p>
    <w:p>
      <w:pPr>
        <w:widowControl/>
        <w:numPr>
          <w:ilvl w:val="0"/>
          <w:numId w:val="1"/>
        </w:numPr>
        <w:spacing w:line="360" w:lineRule="auto"/>
        <w:jc w:val="left"/>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pPr>
        <w:widowControl/>
        <w:numPr>
          <w:ilvl w:val="0"/>
          <w:numId w:val="5"/>
        </w:numPr>
        <w:spacing w:line="360" w:lineRule="auto"/>
        <w:jc w:val="left"/>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w:t>
      </w:r>
      <w:r>
        <w:rPr>
          <w:rFonts w:hint="eastAsia" w:ascii="宋体" w:hAnsi="宋体" w:cs="宋体"/>
          <w:b/>
          <w:bCs/>
          <w:szCs w:val="21"/>
        </w:rPr>
        <w:t>报价附件（报价表）。</w:t>
      </w:r>
    </w:p>
    <w:p>
      <w:pPr>
        <w:pStyle w:val="27"/>
        <w:numPr>
          <w:ilvl w:val="0"/>
          <w:numId w:val="5"/>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numPr>
          <w:ilvl w:val="0"/>
          <w:numId w:val="1"/>
        </w:numPr>
        <w:spacing w:line="360" w:lineRule="auto"/>
        <w:jc w:val="left"/>
        <w:rPr>
          <w:rFonts w:ascii="宋体" w:hAnsi="宋体"/>
          <w:b/>
          <w:bCs/>
          <w:szCs w:val="21"/>
        </w:rPr>
      </w:pPr>
      <w:r>
        <w:rPr>
          <w:rFonts w:hint="eastAsia" w:ascii="宋体" w:hAnsi="宋体" w:cs="宋体"/>
          <w:b/>
          <w:bCs/>
          <w:szCs w:val="21"/>
        </w:rPr>
        <w:t>确定成交候选人</w:t>
      </w:r>
    </w:p>
    <w:p>
      <w:pPr>
        <w:widowControl/>
        <w:numPr>
          <w:ilvl w:val="0"/>
          <w:numId w:val="6"/>
        </w:numPr>
        <w:spacing w:line="360" w:lineRule="auto"/>
        <w:jc w:val="left"/>
        <w:rPr>
          <w:rFonts w:ascii="宋体" w:hAnsi="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1"/>
        </w:numPr>
        <w:spacing w:line="360" w:lineRule="auto"/>
        <w:jc w:val="left"/>
        <w:rPr>
          <w:rFonts w:ascii="宋体" w:hAnsi="宋体"/>
          <w:b/>
          <w:bCs/>
          <w:szCs w:val="21"/>
        </w:rPr>
      </w:pPr>
      <w:r>
        <w:rPr>
          <w:rFonts w:hint="eastAsia" w:ascii="宋体" w:hAnsi="宋体" w:cs="宋体"/>
          <w:b/>
          <w:bCs/>
          <w:szCs w:val="21"/>
        </w:rPr>
        <w:t>无效报价</w:t>
      </w:r>
    </w:p>
    <w:p>
      <w:pPr>
        <w:widowControl/>
        <w:numPr>
          <w:ilvl w:val="0"/>
          <w:numId w:val="7"/>
        </w:numPr>
        <w:spacing w:line="360" w:lineRule="auto"/>
        <w:jc w:val="left"/>
        <w:rPr>
          <w:rFonts w:ascii="宋体" w:hAnsi="宋体"/>
          <w:szCs w:val="21"/>
        </w:rPr>
      </w:pPr>
      <w:r>
        <w:rPr>
          <w:rFonts w:hint="eastAsia" w:ascii="宋体" w:hAnsi="宋体" w:cs="宋体"/>
          <w:szCs w:val="21"/>
        </w:rPr>
        <w:t>参与竞价的供应商报价超过最高或最低预算金额的视为无效报价。</w:t>
      </w:r>
    </w:p>
    <w:p>
      <w:pPr>
        <w:widowControl/>
        <w:numPr>
          <w:ilvl w:val="0"/>
          <w:numId w:val="7"/>
        </w:numPr>
        <w:spacing w:line="360" w:lineRule="auto"/>
        <w:jc w:val="left"/>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pPr>
        <w:widowControl/>
        <w:numPr>
          <w:ilvl w:val="0"/>
          <w:numId w:val="7"/>
        </w:numPr>
        <w:spacing w:line="360" w:lineRule="auto"/>
        <w:jc w:val="left"/>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pPr>
        <w:pStyle w:val="32"/>
        <w:numPr>
          <w:ilvl w:val="0"/>
          <w:numId w:val="7"/>
        </w:numPr>
        <w:spacing w:line="360" w:lineRule="auto"/>
        <w:ind w:firstLineChars="0"/>
        <w:rPr>
          <w:rFonts w:ascii="宋体" w:hAnsi="宋体" w:cs="宋体"/>
          <w:kern w:val="0"/>
          <w:szCs w:val="21"/>
        </w:rPr>
      </w:pPr>
      <w:r>
        <w:rPr>
          <w:rFonts w:hint="eastAsia" w:ascii="宋体" w:hAnsi="宋体" w:cs="宋体"/>
          <w:kern w:val="0"/>
          <w:szCs w:val="21"/>
        </w:rPr>
        <w:t>报价表以及有报价供应商落款的报价文件必须加盖报价供应商公章，否则视为无效报价；</w:t>
      </w:r>
    </w:p>
    <w:p>
      <w:pPr>
        <w:pStyle w:val="33"/>
        <w:numPr>
          <w:ilvl w:val="0"/>
          <w:numId w:val="7"/>
        </w:numPr>
        <w:spacing w:line="360" w:lineRule="auto"/>
        <w:ind w:firstLineChars="0"/>
        <w:rPr>
          <w:rFonts w:ascii="宋体" w:hAnsi="宋体" w:cs="宋体"/>
          <w:kern w:val="0"/>
          <w:szCs w:val="21"/>
        </w:rPr>
      </w:pPr>
      <w:r>
        <w:rPr>
          <w:rFonts w:hint="eastAsia" w:ascii="宋体" w:hAnsi="宋体" w:cs="宋体"/>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32"/>
        <w:numPr>
          <w:ilvl w:val="0"/>
          <w:numId w:val="7"/>
        </w:numPr>
        <w:ind w:left="704" w:firstLineChars="0"/>
        <w:rPr>
          <w:rFonts w:ascii="宋体" w:hAnsi="宋体" w:cs="宋体"/>
          <w:b/>
          <w:bCs/>
          <w:kern w:val="0"/>
          <w:szCs w:val="21"/>
        </w:rPr>
      </w:pPr>
      <w:r>
        <w:rPr>
          <w:rFonts w:hint="eastAsia" w:ascii="宋体" w:hAnsi="宋体" w:cs="宋体"/>
          <w:b/>
          <w:bCs/>
          <w:kern w:val="0"/>
          <w:szCs w:val="21"/>
        </w:rPr>
        <w:t>按有关法律、法规、规章属于报价无效的。</w:t>
      </w:r>
    </w:p>
    <w:p>
      <w:pPr>
        <w:widowControl/>
        <w:numPr>
          <w:ilvl w:val="0"/>
          <w:numId w:val="7"/>
        </w:numPr>
        <w:shd w:val="clear" w:color="auto" w:fill="FFFFFF"/>
        <w:spacing w:line="360" w:lineRule="auto"/>
        <w:jc w:val="left"/>
        <w:rPr>
          <w:rFonts w:ascii="宋体" w:hAnsi="宋体"/>
          <w:kern w:val="0"/>
          <w:szCs w:val="21"/>
        </w:rPr>
      </w:pPr>
      <w:r>
        <w:rPr>
          <w:rFonts w:hint="eastAsia" w:ascii="宋体" w:hAnsi="宋体" w:cs="宋体"/>
          <w:b/>
          <w:bCs/>
          <w:kern w:val="0"/>
          <w:szCs w:val="21"/>
        </w:rPr>
        <w:t>有下列情形之一的，视为串通竞价，其报价无效：</w:t>
      </w:r>
    </w:p>
    <w:p>
      <w:pPr>
        <w:widowControl/>
        <w:numPr>
          <w:ilvl w:val="2"/>
          <w:numId w:val="8"/>
        </w:numPr>
        <w:spacing w:line="360" w:lineRule="auto"/>
        <w:jc w:val="left"/>
        <w:rPr>
          <w:rFonts w:ascii="宋体" w:hAnsi="宋体"/>
          <w:szCs w:val="21"/>
        </w:rPr>
      </w:pPr>
      <w:r>
        <w:rPr>
          <w:rFonts w:hint="eastAsia" w:ascii="宋体" w:hAnsi="宋体"/>
          <w:szCs w:val="21"/>
        </w:rPr>
        <w:t>存在单位负责人为同一人或存在控股、管理关系的不同单位参与同一竞价项目；</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不同供应商的响应文件由同一单位或者个人编制；</w:t>
      </w:r>
    </w:p>
    <w:p>
      <w:pPr>
        <w:widowControl/>
        <w:numPr>
          <w:ilvl w:val="2"/>
          <w:numId w:val="8"/>
        </w:numPr>
        <w:spacing w:line="360" w:lineRule="auto"/>
        <w:jc w:val="left"/>
        <w:rPr>
          <w:rFonts w:ascii="宋体" w:hAnsi="宋体"/>
          <w:szCs w:val="21"/>
        </w:rPr>
      </w:pPr>
      <w:r>
        <w:rPr>
          <w:rFonts w:hint="eastAsia" w:ascii="宋体" w:hAnsi="宋体" w:cs="宋体"/>
          <w:szCs w:val="21"/>
        </w:rPr>
        <w:t>不同供应商委托同一单位或者个人办理竞价事宜；</w:t>
      </w:r>
    </w:p>
    <w:p>
      <w:pPr>
        <w:widowControl/>
        <w:numPr>
          <w:ilvl w:val="2"/>
          <w:numId w:val="8"/>
        </w:numPr>
        <w:spacing w:line="360" w:lineRule="auto"/>
        <w:jc w:val="left"/>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不同供应商的响应文件载明的项目管理成员或者联系人员为同一人；</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不同供应商的响应文件异常一致或者报价呈规律性差异；</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不同供应商的响应文件相互混淆；</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不同供应商的平台使用费从同一单位或者个人的账户转出；</w:t>
      </w:r>
    </w:p>
    <w:p>
      <w:pPr>
        <w:widowControl/>
        <w:numPr>
          <w:ilvl w:val="0"/>
          <w:numId w:val="1"/>
        </w:numPr>
        <w:spacing w:line="360" w:lineRule="auto"/>
        <w:jc w:val="left"/>
        <w:rPr>
          <w:rFonts w:ascii="宋体" w:hAnsi="宋体"/>
          <w:szCs w:val="21"/>
        </w:rPr>
      </w:pPr>
      <w:r>
        <w:rPr>
          <w:rFonts w:hint="eastAsia" w:ascii="宋体" w:hAnsi="宋体" w:cs="宋体"/>
          <w:b/>
          <w:bCs/>
          <w:szCs w:val="21"/>
        </w:rPr>
        <w:t>竞价活动失败</w:t>
      </w:r>
    </w:p>
    <w:p>
      <w:pPr>
        <w:widowControl/>
        <w:numPr>
          <w:ilvl w:val="0"/>
          <w:numId w:val="9"/>
        </w:numPr>
        <w:spacing w:line="360" w:lineRule="auto"/>
        <w:jc w:val="left"/>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pPr>
        <w:widowControl/>
        <w:numPr>
          <w:ilvl w:val="0"/>
          <w:numId w:val="9"/>
        </w:numPr>
        <w:spacing w:line="360" w:lineRule="auto"/>
        <w:jc w:val="left"/>
        <w:rPr>
          <w:rFonts w:ascii="宋体" w:hAnsi="宋体"/>
          <w:szCs w:val="21"/>
        </w:rPr>
      </w:pPr>
      <w:r>
        <w:rPr>
          <w:rFonts w:hint="eastAsia" w:ascii="宋体" w:hAnsi="宋体" w:cs="宋体"/>
          <w:szCs w:val="21"/>
        </w:rPr>
        <w:t>出现影响采购公正的违法、违规行为的；</w:t>
      </w:r>
    </w:p>
    <w:p>
      <w:pPr>
        <w:widowControl/>
        <w:numPr>
          <w:ilvl w:val="0"/>
          <w:numId w:val="9"/>
        </w:numPr>
        <w:spacing w:line="360" w:lineRule="auto"/>
        <w:jc w:val="left"/>
        <w:rPr>
          <w:rFonts w:ascii="宋体" w:hAnsi="宋体"/>
          <w:szCs w:val="21"/>
        </w:rPr>
      </w:pPr>
      <w:r>
        <w:rPr>
          <w:rFonts w:hint="eastAsia" w:ascii="宋体" w:hAnsi="宋体" w:cs="宋体"/>
          <w:szCs w:val="21"/>
        </w:rPr>
        <w:t>因重大变故，采购任务取消的；</w:t>
      </w:r>
    </w:p>
    <w:p>
      <w:pPr>
        <w:widowControl/>
        <w:spacing w:line="360" w:lineRule="auto"/>
        <w:jc w:val="left"/>
        <w:rPr>
          <w:rFonts w:ascii="宋体" w:hAnsi="宋体"/>
          <w:b/>
          <w:bCs/>
          <w:szCs w:val="21"/>
        </w:rPr>
      </w:pPr>
      <w:r>
        <w:rPr>
          <w:rFonts w:hint="eastAsia" w:ascii="宋体" w:hAnsi="宋体" w:cs="宋体"/>
          <w:b/>
          <w:bCs/>
          <w:szCs w:val="21"/>
        </w:rPr>
        <w:t>8.使用费</w:t>
      </w:r>
    </w:p>
    <w:p>
      <w:pPr>
        <w:widowControl/>
        <w:numPr>
          <w:ilvl w:val="0"/>
          <w:numId w:val="10"/>
        </w:numPr>
        <w:spacing w:line="360" w:lineRule="auto"/>
        <w:jc w:val="left"/>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pPr>
        <w:widowControl/>
        <w:numPr>
          <w:ilvl w:val="0"/>
          <w:numId w:val="10"/>
        </w:numPr>
        <w:autoSpaceDE w:val="0"/>
        <w:autoSpaceDN w:val="0"/>
        <w:adjustRightInd w:val="0"/>
        <w:spacing w:line="360" w:lineRule="auto"/>
        <w:jc w:val="left"/>
        <w:rPr>
          <w:rFonts w:ascii="宋体" w:hAnsi="宋体"/>
          <w:kern w:val="0"/>
          <w:szCs w:val="21"/>
        </w:rPr>
      </w:pPr>
      <w:r>
        <w:rPr>
          <w:rFonts w:hint="eastAsia" w:ascii="宋体" w:hAnsi="宋体"/>
          <w:kern w:val="0"/>
          <w:szCs w:val="21"/>
        </w:rPr>
        <w:t>成交供应商无正当理由放弃成交资格的必须按竞价公告等相关规定缴纳相应的平台使用费。</w:t>
      </w:r>
    </w:p>
    <w:p>
      <w:pPr>
        <w:widowControl/>
        <w:numPr>
          <w:ilvl w:val="0"/>
          <w:numId w:val="10"/>
        </w:numPr>
        <w:autoSpaceDE w:val="0"/>
        <w:autoSpaceDN w:val="0"/>
        <w:adjustRightInd w:val="0"/>
        <w:spacing w:line="360" w:lineRule="auto"/>
        <w:jc w:val="left"/>
        <w:rPr>
          <w:rFonts w:ascii="宋体" w:hAnsi="宋体"/>
          <w:kern w:val="0"/>
          <w:szCs w:val="21"/>
        </w:rPr>
      </w:pPr>
      <w:r>
        <w:rPr>
          <w:rFonts w:hint="eastAsia" w:ascii="宋体" w:hAnsi="宋体"/>
          <w:kern w:val="0"/>
          <w:szCs w:val="21"/>
        </w:rPr>
        <w:t>如确实因不可抗力放弃成交资格的，应在不可抗力发生后三个工作日内予以通知采购代理机构并提供相关的证明；如逾期，采购代理机构不予退还平台使用费。</w:t>
      </w:r>
    </w:p>
    <w:p>
      <w:pPr>
        <w:widowControl/>
        <w:spacing w:line="360" w:lineRule="auto"/>
        <w:jc w:val="left"/>
        <w:rPr>
          <w:rFonts w:ascii="宋体" w:hAnsi="宋体"/>
          <w:b/>
          <w:bCs/>
          <w:szCs w:val="21"/>
        </w:rPr>
      </w:pPr>
      <w:r>
        <w:rPr>
          <w:rFonts w:hint="eastAsia" w:ascii="宋体" w:hAnsi="宋体"/>
          <w:b/>
          <w:bCs/>
          <w:szCs w:val="21"/>
        </w:rPr>
        <w:t>9.</w:t>
      </w:r>
      <w:r>
        <w:rPr>
          <w:rFonts w:hint="eastAsia" w:ascii="宋体" w:hAnsi="宋体" w:cs="宋体"/>
          <w:b/>
          <w:bCs/>
          <w:szCs w:val="21"/>
        </w:rPr>
        <w:t>联系方式</w:t>
      </w:r>
    </w:p>
    <w:p>
      <w:pPr>
        <w:widowControl/>
        <w:spacing w:line="360" w:lineRule="auto"/>
        <w:ind w:left="420"/>
        <w:jc w:val="left"/>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pPr>
        <w:widowControl/>
        <w:spacing w:line="360" w:lineRule="auto"/>
        <w:ind w:left="420"/>
        <w:jc w:val="center"/>
        <w:rPr>
          <w:rFonts w:ascii="Calibri" w:hAnsi="Calibri"/>
          <w:b/>
          <w:bCs/>
          <w:sz w:val="28"/>
          <w:szCs w:val="28"/>
        </w:rPr>
      </w:pPr>
      <w:r>
        <w:rPr>
          <w:rFonts w:ascii="宋体" w:hAnsi="Calibri"/>
          <w:szCs w:val="21"/>
        </w:rPr>
        <w:drawing>
          <wp:inline distT="0" distB="0" distL="0" distR="0">
            <wp:extent cx="1647825" cy="1647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widowControl/>
        <w:snapToGrid w:val="0"/>
        <w:spacing w:line="360" w:lineRule="auto"/>
        <w:jc w:val="center"/>
        <w:outlineLvl w:val="0"/>
        <w:rPr>
          <w:rFonts w:ascii="宋体" w:hAnsi="宋体"/>
          <w:b/>
          <w:sz w:val="36"/>
          <w:szCs w:val="36"/>
        </w:rPr>
        <w:sectPr>
          <w:pgSz w:w="11906" w:h="16838"/>
          <w:pgMar w:top="1440" w:right="1633" w:bottom="1440" w:left="1633" w:header="851" w:footer="992" w:gutter="0"/>
          <w:cols w:space="0" w:num="1"/>
          <w:docGrid w:type="lines" w:linePitch="312" w:charSpace="0"/>
        </w:sectPr>
      </w:pPr>
    </w:p>
    <w:p>
      <w:pPr>
        <w:widowControl/>
        <w:snapToGrid w:val="0"/>
        <w:spacing w:line="360" w:lineRule="auto"/>
        <w:jc w:val="center"/>
        <w:outlineLvl w:val="0"/>
        <w:rPr>
          <w:rFonts w:ascii="宋体" w:hAnsi="宋体"/>
          <w:b/>
          <w:sz w:val="36"/>
          <w:szCs w:val="36"/>
        </w:rPr>
      </w:pPr>
      <w:r>
        <w:rPr>
          <w:rFonts w:hint="eastAsia" w:ascii="宋体" w:hAnsi="宋体"/>
          <w:b/>
          <w:sz w:val="36"/>
          <w:szCs w:val="36"/>
        </w:rPr>
        <w:t>第二章 用户需求书</w:t>
      </w:r>
    </w:p>
    <w:p>
      <w:pPr>
        <w:snapToGrid w:val="0"/>
        <w:spacing w:line="360" w:lineRule="auto"/>
        <w:rPr>
          <w:rFonts w:asciiTheme="minorEastAsia" w:hAnsiTheme="minorEastAsia"/>
          <w:b/>
          <w:bCs/>
          <w:szCs w:val="21"/>
          <w:shd w:val="clear" w:color="auto" w:fill="FFFFFF"/>
        </w:rPr>
      </w:pPr>
      <w:r>
        <w:rPr>
          <w:rFonts w:hint="eastAsia" w:asciiTheme="minorEastAsia" w:hAnsiTheme="minorEastAsia"/>
          <w:b/>
          <w:bCs/>
          <w:szCs w:val="21"/>
          <w:shd w:val="clear" w:color="auto" w:fill="FFFFFF"/>
        </w:rPr>
        <w:t>一、项目一览表</w:t>
      </w:r>
    </w:p>
    <w:tbl>
      <w:tblPr>
        <w:tblStyle w:val="12"/>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1322"/>
        <w:gridCol w:w="317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28" w:type="dxa"/>
            <w:shd w:val="clear" w:color="auto" w:fill="EEECE1"/>
            <w:vAlign w:val="center"/>
          </w:tcPr>
          <w:p>
            <w:pPr>
              <w:jc w:val="center"/>
              <w:rPr>
                <w:rFonts w:asciiTheme="minorEastAsia" w:hAnsiTheme="minorEastAsia"/>
                <w:b/>
                <w:bCs/>
              </w:rPr>
            </w:pPr>
            <w:r>
              <w:rPr>
                <w:rFonts w:hint="eastAsia" w:cs="宋体" w:asciiTheme="minorEastAsia" w:hAnsiTheme="minorEastAsia"/>
                <w:b/>
                <w:bCs/>
              </w:rPr>
              <w:t>采购内容</w:t>
            </w:r>
          </w:p>
        </w:tc>
        <w:tc>
          <w:tcPr>
            <w:tcW w:w="1322" w:type="dxa"/>
            <w:shd w:val="clear" w:color="auto" w:fill="EEECE1"/>
            <w:vAlign w:val="center"/>
          </w:tcPr>
          <w:p>
            <w:pPr>
              <w:jc w:val="center"/>
              <w:rPr>
                <w:rFonts w:asciiTheme="minorEastAsia" w:hAnsiTheme="minorEastAsia"/>
                <w:b/>
                <w:bCs/>
              </w:rPr>
            </w:pPr>
            <w:r>
              <w:rPr>
                <w:rFonts w:hint="eastAsia" w:cs="宋体" w:asciiTheme="minorEastAsia" w:hAnsiTheme="minorEastAsia"/>
                <w:b/>
                <w:bCs/>
              </w:rPr>
              <w:t>数量</w:t>
            </w:r>
          </w:p>
        </w:tc>
        <w:tc>
          <w:tcPr>
            <w:tcW w:w="3178" w:type="dxa"/>
            <w:shd w:val="clear" w:color="auto" w:fill="EEECE1"/>
            <w:vAlign w:val="center"/>
          </w:tcPr>
          <w:p>
            <w:pPr>
              <w:jc w:val="center"/>
              <w:rPr>
                <w:rFonts w:asciiTheme="minorEastAsia" w:hAnsiTheme="minorEastAsia"/>
                <w:b/>
                <w:bCs/>
              </w:rPr>
            </w:pPr>
            <w:r>
              <w:rPr>
                <w:rFonts w:hint="eastAsia" w:cs="宋体" w:asciiTheme="minorEastAsia" w:hAnsiTheme="minorEastAsia"/>
                <w:b/>
                <w:bCs/>
              </w:rPr>
              <w:t>供货期</w:t>
            </w:r>
          </w:p>
        </w:tc>
        <w:tc>
          <w:tcPr>
            <w:tcW w:w="1737" w:type="dxa"/>
            <w:shd w:val="clear" w:color="auto" w:fill="EEECE1"/>
            <w:vAlign w:val="center"/>
          </w:tcPr>
          <w:p>
            <w:pPr>
              <w:jc w:val="center"/>
              <w:rPr>
                <w:rFonts w:asciiTheme="minorEastAsia" w:hAnsiTheme="minorEastAsia"/>
              </w:rPr>
            </w:pPr>
            <w:r>
              <w:rPr>
                <w:rFonts w:hint="eastAsia" w:cs="宋体" w:asciiTheme="minorEastAsia" w:hAnsiTheme="minorEastAsia"/>
                <w:b/>
                <w:bCs/>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828" w:type="dxa"/>
            <w:vAlign w:val="center"/>
          </w:tcPr>
          <w:p>
            <w:pPr>
              <w:spacing w:line="360" w:lineRule="auto"/>
              <w:jc w:val="center"/>
              <w:rPr>
                <w:rFonts w:hint="default" w:ascii="宋体" w:hAnsi="宋体" w:eastAsia="宋体" w:cs="宋体"/>
                <w:sz w:val="21"/>
                <w:szCs w:val="21"/>
                <w:lang w:val="en-US"/>
              </w:rPr>
            </w:pPr>
            <w:r>
              <w:rPr>
                <w:rFonts w:hint="eastAsia" w:ascii="宋体" w:hAnsi="宋体" w:cs="宋体"/>
                <w:b w:val="0"/>
                <w:bCs w:val="0"/>
                <w:sz w:val="21"/>
                <w:szCs w:val="21"/>
                <w:lang w:eastAsia="zh-CN"/>
              </w:rPr>
              <w:t>消耗品采购项目105</w:t>
            </w:r>
          </w:p>
        </w:tc>
        <w:tc>
          <w:tcPr>
            <w:tcW w:w="1322" w:type="dxa"/>
            <w:vAlign w:val="center"/>
          </w:tcPr>
          <w:p>
            <w:pPr>
              <w:pStyle w:val="25"/>
              <w:spacing w:line="440" w:lineRule="exact"/>
              <w:ind w:right="-90" w:rightChars="-39" w:hanging="54"/>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1批</w:t>
            </w:r>
          </w:p>
        </w:tc>
        <w:tc>
          <w:tcPr>
            <w:tcW w:w="3178" w:type="dxa"/>
            <w:vAlign w:val="center"/>
          </w:tcPr>
          <w:p>
            <w:pPr>
              <w:pStyle w:val="25"/>
              <w:spacing w:line="440" w:lineRule="exact"/>
              <w:ind w:right="-90" w:rightChars="-39" w:hanging="54"/>
              <w:jc w:val="center"/>
              <w:rPr>
                <w:rFonts w:hint="eastAsia" w:ascii="宋体" w:hAnsi="宋体" w:eastAsia="宋体" w:cs="宋体"/>
                <w:spacing w:val="0"/>
                <w:kern w:val="2"/>
                <w:sz w:val="21"/>
                <w:szCs w:val="21"/>
                <w:lang w:val="en-US"/>
              </w:rPr>
            </w:pPr>
            <w:r>
              <w:rPr>
                <w:rFonts w:hint="eastAsia" w:ascii="宋体" w:hAnsi="宋体"/>
                <w:b/>
                <w:bCs/>
                <w:spacing w:val="-11"/>
                <w:sz w:val="21"/>
                <w:szCs w:val="21"/>
              </w:rPr>
              <w:t>详见</w:t>
            </w:r>
            <w:r>
              <w:rPr>
                <w:rFonts w:hint="eastAsia" w:ascii="宋体" w:hAnsi="宋体" w:cs="宋体"/>
                <w:b/>
                <w:bCs/>
                <w:sz w:val="21"/>
                <w:szCs w:val="21"/>
              </w:rPr>
              <w:t>采购产品要求</w:t>
            </w:r>
          </w:p>
        </w:tc>
        <w:tc>
          <w:tcPr>
            <w:tcW w:w="1737"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49999元</w:t>
            </w:r>
          </w:p>
        </w:tc>
      </w:tr>
    </w:tbl>
    <w:p>
      <w:pPr>
        <w:snapToGrid w:val="0"/>
        <w:spacing w:line="360" w:lineRule="auto"/>
        <w:rPr>
          <w:rFonts w:cs="宋体" w:asciiTheme="minorEastAsia" w:hAnsiTheme="minorEastAsia"/>
          <w:b/>
          <w:bCs/>
          <w:szCs w:val="21"/>
        </w:rPr>
      </w:pPr>
      <w:r>
        <w:rPr>
          <w:rFonts w:hint="eastAsia" w:asciiTheme="minorEastAsia" w:hAnsiTheme="minorEastAsia"/>
          <w:b/>
          <w:szCs w:val="21"/>
        </w:rPr>
        <w:t>二、</w:t>
      </w:r>
      <w:r>
        <w:rPr>
          <w:rFonts w:hint="eastAsia" w:cs="宋体" w:asciiTheme="minorEastAsia" w:hAnsiTheme="minorEastAsia"/>
          <w:b/>
          <w:bCs/>
          <w:szCs w:val="21"/>
        </w:rPr>
        <w:t>采购产品要求</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2011"/>
        <w:gridCol w:w="4554"/>
        <w:gridCol w:w="83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54" w:type="pct"/>
            <w:noWrap w:val="0"/>
            <w:vAlign w:val="center"/>
          </w:tcPr>
          <w:p>
            <w:pPr>
              <w:adjustRightInd w:val="0"/>
              <w:snapToGrid w:val="0"/>
              <w:jc w:val="center"/>
              <w:rPr>
                <w:rFonts w:hint="eastAsia" w:ascii="宋体" w:hAnsi="宋体"/>
                <w:sz w:val="24"/>
              </w:rPr>
            </w:pPr>
            <w:r>
              <w:rPr>
                <w:rFonts w:hint="eastAsia" w:ascii="宋体" w:hAnsi="宋体"/>
                <w:sz w:val="24"/>
              </w:rPr>
              <w:t>序号</w:t>
            </w:r>
          </w:p>
        </w:tc>
        <w:tc>
          <w:tcPr>
            <w:tcW w:w="1077" w:type="pct"/>
            <w:noWrap w:val="0"/>
            <w:vAlign w:val="center"/>
          </w:tcPr>
          <w:p>
            <w:pPr>
              <w:adjustRightInd w:val="0"/>
              <w:snapToGrid w:val="0"/>
              <w:jc w:val="center"/>
              <w:rPr>
                <w:rFonts w:hint="eastAsia" w:ascii="宋体" w:hAnsi="宋体"/>
                <w:sz w:val="24"/>
              </w:rPr>
            </w:pPr>
            <w:r>
              <w:rPr>
                <w:rFonts w:hint="eastAsia" w:ascii="宋体" w:hAnsi="宋体"/>
                <w:sz w:val="24"/>
              </w:rPr>
              <w:t>物品名称</w:t>
            </w:r>
          </w:p>
        </w:tc>
        <w:tc>
          <w:tcPr>
            <w:tcW w:w="2437" w:type="pct"/>
            <w:noWrap w:val="0"/>
            <w:vAlign w:val="center"/>
          </w:tcPr>
          <w:p>
            <w:pPr>
              <w:adjustRightInd w:val="0"/>
              <w:snapToGrid w:val="0"/>
              <w:spacing w:line="240" w:lineRule="auto"/>
              <w:jc w:val="center"/>
              <w:rPr>
                <w:rFonts w:hint="eastAsia" w:ascii="宋体" w:hAnsi="宋体"/>
                <w:sz w:val="24"/>
              </w:rPr>
            </w:pPr>
            <w:r>
              <w:rPr>
                <w:rFonts w:hint="eastAsia" w:ascii="宋体" w:hAnsi="宋体"/>
                <w:sz w:val="24"/>
              </w:rPr>
              <w:t>规格</w:t>
            </w:r>
          </w:p>
        </w:tc>
        <w:tc>
          <w:tcPr>
            <w:tcW w:w="446" w:type="pct"/>
            <w:noWrap w:val="0"/>
            <w:vAlign w:val="center"/>
          </w:tcPr>
          <w:p>
            <w:pPr>
              <w:adjustRightInd w:val="0"/>
              <w:snapToGrid w:val="0"/>
              <w:jc w:val="center"/>
              <w:rPr>
                <w:rFonts w:hint="eastAsia" w:ascii="宋体" w:hAnsi="宋体"/>
                <w:sz w:val="24"/>
              </w:rPr>
            </w:pPr>
            <w:r>
              <w:rPr>
                <w:rFonts w:hint="eastAsia" w:ascii="宋体" w:hAnsi="宋体"/>
                <w:sz w:val="24"/>
              </w:rPr>
              <w:t>数量</w:t>
            </w:r>
          </w:p>
        </w:tc>
        <w:tc>
          <w:tcPr>
            <w:tcW w:w="783" w:type="pct"/>
            <w:noWrap w:val="0"/>
            <w:vAlign w:val="center"/>
          </w:tcPr>
          <w:p>
            <w:pPr>
              <w:adjustRightInd w:val="0"/>
              <w:snapToGrid w:val="0"/>
              <w:jc w:val="center"/>
              <w:rPr>
                <w:rFonts w:hint="eastAsia" w:ascii="宋体" w:hAnsi="宋体"/>
                <w:sz w:val="18"/>
                <w:szCs w:val="18"/>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077" w:type="pct"/>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水质快速检测包</w:t>
            </w: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auto"/>
                <w:kern w:val="0"/>
                <w:sz w:val="21"/>
                <w:szCs w:val="21"/>
                <w:u w:val="none"/>
                <w:lang w:val="en-US" w:eastAsia="zh-CN" w:bidi="ar"/>
              </w:rPr>
              <w:t>COD超低量程</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试剂生产日期为近2个月内（到货日期2024年7月30日前）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auto"/>
                <w:kern w:val="0"/>
                <w:sz w:val="21"/>
                <w:szCs w:val="21"/>
                <w:u w:val="none"/>
                <w:lang w:val="en-US" w:eastAsia="zh-CN" w:bidi="ar"/>
              </w:rPr>
              <w:t>氨氮（纳氏）</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auto"/>
                <w:kern w:val="0"/>
                <w:sz w:val="21"/>
                <w:szCs w:val="21"/>
                <w:u w:val="none"/>
                <w:lang w:val="en-US" w:eastAsia="zh-CN" w:bidi="ar"/>
              </w:rPr>
              <w:t>总磷</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auto"/>
                <w:kern w:val="0"/>
                <w:sz w:val="21"/>
                <w:szCs w:val="21"/>
                <w:u w:val="none"/>
                <w:lang w:val="en-US" w:eastAsia="zh-CN" w:bidi="ar"/>
              </w:rPr>
              <w:t>总氮</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挥发酚0.1-10mg/L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铜（0.05-2.0）</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1077" w:type="pct"/>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镍（0.05-0.8）</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1077" w:type="pct"/>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总铬（0.05-1.0）</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1077" w:type="pct"/>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六价铬（0.05-1.0）</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总镉（0.1-1.0）</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品牌：芬克，项目：总锌（0.02-0.5）</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077" w:type="pct"/>
            <w:vMerge w:val="restar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p>
            <w:pPr>
              <w:bidi w:val="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气体检测管</w:t>
            </w: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品牌：北京北科绿洲，硫化氢，2-50ppm</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restart"/>
            <w:noWrap w:val="0"/>
            <w:vAlign w:val="center"/>
          </w:tcPr>
          <w:p>
            <w:pPr>
              <w:adjustRightInd w:val="0"/>
              <w:snapToGrid w:val="0"/>
              <w:spacing w:line="240" w:lineRule="auto"/>
              <w:jc w:val="center"/>
              <w:rPr>
                <w:rFonts w:hint="eastAsia" w:ascii="宋体" w:hAnsi="宋体" w:eastAsia="宋体" w:cs="宋体"/>
                <w:b/>
                <w:sz w:val="21"/>
                <w:szCs w:val="21"/>
                <w:lang w:val="en-US" w:eastAsia="zh-CN"/>
              </w:rPr>
            </w:pPr>
            <w:r>
              <w:rPr>
                <w:rFonts w:hint="eastAsia" w:ascii="宋体" w:hAnsi="宋体" w:eastAsia="宋体" w:cs="宋体"/>
                <w:i w:val="0"/>
                <w:iCs w:val="0"/>
                <w:color w:val="000000"/>
                <w:kern w:val="0"/>
                <w:sz w:val="21"/>
                <w:szCs w:val="21"/>
                <w:u w:val="none"/>
                <w:lang w:val="en-US" w:eastAsia="zh-CN" w:bidi="ar"/>
              </w:rPr>
              <w:t>试剂生产日期为近2个月内（到货日期2024年7月30日前）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1077" w:type="pct"/>
            <w:vMerge w:val="continue"/>
            <w:noWrap w:val="0"/>
            <w:vAlign w:val="center"/>
          </w:tcPr>
          <w:p>
            <w:pP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品牌：北京北科绿洲，氨气，1-30mg/m3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1077" w:type="pct"/>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品牌：北京北科绿洲，苯，20-400mg/m3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品牌：北京北科绿洲，甲苯，</w:t>
            </w:r>
            <w:r>
              <w:rPr>
                <w:rFonts w:hint="eastAsia" w:ascii="宋体" w:hAnsi="宋体" w:cs="宋体"/>
                <w:color w:val="auto"/>
                <w:kern w:val="0"/>
                <w:sz w:val="21"/>
                <w:szCs w:val="21"/>
                <w:lang w:val="en-US" w:eastAsia="zh-CN" w:bidi="ar"/>
              </w:rPr>
              <w:t>5</w:t>
            </w:r>
            <w:r>
              <w:rPr>
                <w:rFonts w:hint="eastAsia" w:ascii="宋体" w:hAnsi="宋体" w:eastAsia="宋体" w:cs="宋体"/>
                <w:color w:val="000000"/>
                <w:kern w:val="0"/>
                <w:sz w:val="21"/>
                <w:szCs w:val="21"/>
                <w:lang w:val="en-US" w:eastAsia="zh-CN" w:bidi="ar"/>
              </w:rPr>
              <w:t>0-1000mg/m3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品牌：北京北科绿洲，二甲苯，</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0-1000mg/m3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品牌：北京北科绿洲，氯气，1-30mg/m3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品牌：北京北科绿洲，氟化氢，1-30mg/m3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品牌：北京北科绿洲，磷化氢，2-50ppm</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品牌：北京北科绿洲，氯化氢，1-30mg/m3</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品牌：北京北科绿洲，一氧化碳，5-100ppm</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w:t>
            </w:r>
          </w:p>
        </w:tc>
        <w:tc>
          <w:tcPr>
            <w:tcW w:w="1077" w:type="pct"/>
            <w:vMerge w:val="restar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PDV6000PLUS便携式重金属分析仪配套试剂</w:t>
            </w: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，CLAC浓缩电解液粉 货号：8100000，可制500mL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783" w:type="pct"/>
            <w:vMerge w:val="restar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为保证质量，</w:t>
            </w:r>
            <w:r>
              <w:rPr>
                <w:rFonts w:hint="eastAsia" w:ascii="宋体" w:hAnsi="宋体" w:cs="宋体"/>
                <w:i w:val="0"/>
                <w:iCs w:val="0"/>
                <w:color w:val="auto"/>
                <w:kern w:val="0"/>
                <w:sz w:val="21"/>
                <w:szCs w:val="21"/>
                <w:u w:val="none"/>
                <w:lang w:val="en-US" w:eastAsia="zh-CN" w:bidi="ar"/>
              </w:rPr>
              <w:t>需</w:t>
            </w:r>
            <w:r>
              <w:rPr>
                <w:rFonts w:hint="eastAsia" w:ascii="宋体" w:hAnsi="宋体" w:eastAsia="宋体" w:cs="宋体"/>
                <w:i w:val="0"/>
                <w:iCs w:val="0"/>
                <w:color w:val="auto"/>
                <w:kern w:val="0"/>
                <w:sz w:val="21"/>
                <w:szCs w:val="21"/>
                <w:u w:val="none"/>
                <w:lang w:val="en-US" w:eastAsia="zh-CN" w:bidi="ar"/>
              </w:rPr>
              <w:t>工程师上门安装调试并定期维护。试剂生产日期为近2个月内（到货日期2024年7月30日前）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23</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，电解液稀释液A 货号：8100170，500mL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，汞膜镀膜液 货号：8100240，25mL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25</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，镉、铅、铜标准溶液 货号：8100270，20mL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 xml:space="preserve">，电极调节液A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货号：8100530，25mL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 xml:space="preserve">，参比电解液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货号：8100060，25mL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1077"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 xml:space="preserve">，工作电极抛光套装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货号：190-023，20mL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2瓶</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w:t>
            </w:r>
          </w:p>
        </w:tc>
        <w:tc>
          <w:tcPr>
            <w:tcW w:w="10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小口黑色聚乙烯瓶</w:t>
            </w: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品牌：Loikaw</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250ml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500个</w:t>
            </w:r>
          </w:p>
        </w:tc>
        <w:tc>
          <w:tcPr>
            <w:tcW w:w="783" w:type="pct"/>
            <w:vMerge w:val="restar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现场采样设备耗材（到货日期7月31日前)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w:t>
            </w:r>
          </w:p>
        </w:tc>
        <w:tc>
          <w:tcPr>
            <w:tcW w:w="10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小口白色聚乙烯瓶</w:t>
            </w: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品牌：Loikaw</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250ml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500个</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w:t>
            </w:r>
          </w:p>
        </w:tc>
        <w:tc>
          <w:tcPr>
            <w:tcW w:w="10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PP样品瓶</w:t>
            </w: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品牌：比克曼生物，250mL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400个</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c>
          <w:tcPr>
            <w:tcW w:w="10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广口聚乙烯瓶</w:t>
            </w: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品牌：比克曼生物，1000mL</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200个</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w:t>
            </w:r>
          </w:p>
        </w:tc>
        <w:tc>
          <w:tcPr>
            <w:tcW w:w="10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钢瓶气体减压阀</w:t>
            </w:r>
          </w:p>
        </w:tc>
        <w:tc>
          <w:tcPr>
            <w:tcW w:w="24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品牌：繁瑞，带1.5L流量计</w:t>
            </w:r>
            <w:r>
              <w:rPr>
                <w:rFonts w:hint="eastAsia" w:ascii="宋体" w:hAnsi="宋体" w:cs="宋体"/>
                <w:color w:val="000000"/>
                <w:kern w:val="0"/>
                <w:sz w:val="21"/>
                <w:szCs w:val="21"/>
                <w:lang w:val="en-US" w:eastAsia="zh-CN" w:bidi="ar"/>
              </w:rPr>
              <w:t>，</w:t>
            </w:r>
            <w:r>
              <w:rPr>
                <w:rFonts w:hint="eastAsia" w:ascii="宋体" w:hAnsi="宋体" w:cs="宋体"/>
                <w:color w:val="auto"/>
                <w:kern w:val="0"/>
                <w:sz w:val="21"/>
                <w:szCs w:val="21"/>
                <w:lang w:val="en-US" w:eastAsia="zh-CN" w:bidi="ar"/>
              </w:rPr>
              <w:t>适配4L钢瓶 NO2 、SO2 常见气体</w:t>
            </w:r>
          </w:p>
        </w:tc>
        <w:tc>
          <w:tcPr>
            <w:tcW w:w="446"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10个</w:t>
            </w:r>
          </w:p>
        </w:tc>
        <w:tc>
          <w:tcPr>
            <w:tcW w:w="783" w:type="pct"/>
            <w:vMerge w:val="continue"/>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bl>
    <w:p>
      <w:pPr>
        <w:pStyle w:val="7"/>
        <w:numPr>
          <w:ilvl w:val="0"/>
          <w:numId w:val="11"/>
        </w:numPr>
        <w:tabs>
          <w:tab w:val="left" w:pos="420"/>
          <w:tab w:val="left" w:pos="540"/>
        </w:tabs>
        <w:adjustRightInd w:val="0"/>
        <w:snapToGrid w:val="0"/>
        <w:spacing w:line="360" w:lineRule="auto"/>
        <w:rPr>
          <w:rFonts w:hAnsi="宋体"/>
          <w:b/>
          <w:bCs/>
        </w:rPr>
      </w:pPr>
      <w:r>
        <w:rPr>
          <w:rFonts w:hint="eastAsia" w:hAnsi="宋体"/>
          <w:b/>
          <w:bCs/>
        </w:rPr>
        <w:t>供货要求</w:t>
      </w:r>
    </w:p>
    <w:p>
      <w:pPr>
        <w:numPr>
          <w:ilvl w:val="0"/>
          <w:numId w:val="12"/>
        </w:numPr>
        <w:spacing w:line="360" w:lineRule="auto"/>
        <w:ind w:left="-460" w:firstLine="460"/>
        <w:jc w:val="left"/>
        <w:rPr>
          <w:rFonts w:ascii="宋体" w:hAnsi="宋体" w:cs="宋体"/>
          <w:bCs/>
        </w:rPr>
      </w:pPr>
      <w:r>
        <w:rPr>
          <w:rFonts w:hint="eastAsia" w:ascii="宋体" w:hAnsi="宋体" w:cs="宋体"/>
          <w:bCs/>
        </w:rPr>
        <w:t>包装、发运、验收等必须符合国家及行业相关规定执行。</w:t>
      </w:r>
    </w:p>
    <w:p>
      <w:pPr>
        <w:numPr>
          <w:ilvl w:val="0"/>
          <w:numId w:val="12"/>
        </w:numPr>
        <w:spacing w:line="360" w:lineRule="auto"/>
        <w:ind w:left="-460" w:firstLine="460"/>
        <w:jc w:val="left"/>
        <w:rPr>
          <w:rFonts w:ascii="宋体" w:hAnsi="宋体"/>
          <w:b/>
          <w:bCs/>
          <w:szCs w:val="21"/>
        </w:rPr>
      </w:pPr>
      <w:r>
        <w:rPr>
          <w:rFonts w:hint="eastAsia" w:ascii="宋体" w:hAnsi="宋体" w:cs="宋体"/>
          <w:bCs/>
        </w:rPr>
        <w:t>标准物质需要提供标准证书的纸质版及电子版。</w:t>
      </w:r>
    </w:p>
    <w:p>
      <w:pPr>
        <w:numPr>
          <w:ilvl w:val="0"/>
          <w:numId w:val="12"/>
        </w:numPr>
        <w:spacing w:line="360" w:lineRule="auto"/>
        <w:ind w:left="-460" w:firstLine="460"/>
        <w:jc w:val="left"/>
        <w:rPr>
          <w:rFonts w:ascii="宋体" w:hAnsi="宋体"/>
          <w:b/>
          <w:bCs/>
          <w:szCs w:val="21"/>
        </w:rPr>
      </w:pPr>
      <w:r>
        <w:rPr>
          <w:rFonts w:hint="eastAsia" w:ascii="宋体" w:hAnsi="宋体" w:cs="宋体"/>
          <w:bCs/>
        </w:rPr>
        <w:t>标准物质生产日期需要最新的。</w:t>
      </w:r>
    </w:p>
    <w:p>
      <w:pPr>
        <w:pStyle w:val="7"/>
        <w:numPr>
          <w:ilvl w:val="0"/>
          <w:numId w:val="11"/>
        </w:numPr>
        <w:tabs>
          <w:tab w:val="left" w:pos="420"/>
          <w:tab w:val="left" w:pos="540"/>
        </w:tabs>
        <w:adjustRightInd w:val="0"/>
        <w:snapToGrid w:val="0"/>
        <w:spacing w:line="360" w:lineRule="auto"/>
        <w:rPr>
          <w:rFonts w:hAnsi="宋体"/>
          <w:b/>
        </w:rPr>
      </w:pPr>
      <w:r>
        <w:rPr>
          <w:rFonts w:hint="eastAsia" w:hAnsi="宋体"/>
          <w:b/>
        </w:rPr>
        <w:t>商务要求：</w:t>
      </w:r>
    </w:p>
    <w:p>
      <w:pPr>
        <w:pStyle w:val="7"/>
        <w:numPr>
          <w:ilvl w:val="0"/>
          <w:numId w:val="13"/>
        </w:numPr>
        <w:tabs>
          <w:tab w:val="left" w:pos="540"/>
        </w:tabs>
        <w:adjustRightInd w:val="0"/>
        <w:snapToGrid w:val="0"/>
        <w:spacing w:line="360" w:lineRule="auto"/>
        <w:ind w:left="650" w:leftChars="0" w:firstLineChars="0"/>
      </w:pPr>
      <w:r>
        <w:rPr>
          <w:rFonts w:hint="eastAsia"/>
          <w:b/>
        </w:rPr>
        <w:t>质保期及售后服务要求</w:t>
      </w:r>
    </w:p>
    <w:p>
      <w:pPr>
        <w:pStyle w:val="7"/>
        <w:numPr>
          <w:ilvl w:val="0"/>
          <w:numId w:val="14"/>
        </w:numPr>
        <w:tabs>
          <w:tab w:val="left" w:pos="2340"/>
        </w:tabs>
        <w:adjustRightInd w:val="0"/>
        <w:snapToGrid w:val="0"/>
        <w:spacing w:line="360" w:lineRule="auto"/>
      </w:pPr>
      <w:r>
        <w:rPr>
          <w:rFonts w:hint="eastAsia"/>
        </w:rPr>
        <w:t>质量保证期（简称“质保期”）为1年，质保期内成交人对所供货物实行包修、包换、包退、包维护保养。</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对采购人的服务通知，成交人在接报后1小时内响应，4小时内到达现场，48小时内处理完毕。若在48小时内仍未能有效解决，成交人须免费提供同档次的设备予采购人临时使用。</w:t>
      </w:r>
    </w:p>
    <w:p>
      <w:pPr>
        <w:pStyle w:val="7"/>
        <w:numPr>
          <w:ilvl w:val="0"/>
          <w:numId w:val="13"/>
        </w:numPr>
        <w:tabs>
          <w:tab w:val="left" w:pos="540"/>
        </w:tabs>
        <w:adjustRightInd w:val="0"/>
        <w:snapToGrid w:val="0"/>
        <w:spacing w:line="360" w:lineRule="auto"/>
        <w:ind w:left="650" w:leftChars="0" w:firstLineChars="0"/>
        <w:rPr>
          <w:rFonts w:hAnsi="宋体"/>
          <w:b/>
        </w:rPr>
      </w:pPr>
      <w:r>
        <w:rPr>
          <w:rFonts w:hint="eastAsia" w:hAnsi="宋体"/>
          <w:b/>
        </w:rPr>
        <w:t>包装、保险及发运、保管要求</w:t>
      </w:r>
    </w:p>
    <w:p>
      <w:pPr>
        <w:numPr>
          <w:ilvl w:val="0"/>
          <w:numId w:val="15"/>
        </w:numPr>
        <w:adjustRightInd w:val="0"/>
        <w:snapToGrid w:val="0"/>
        <w:spacing w:line="360" w:lineRule="auto"/>
        <w:rPr>
          <w:rFonts w:ascii="宋体" w:hAnsi="宋体"/>
          <w:szCs w:val="21"/>
        </w:rPr>
      </w:pPr>
      <w:r>
        <w:rPr>
          <w:rFonts w:hint="eastAsia" w:ascii="宋体" w:hAnsi="宋体"/>
          <w:szCs w:val="21"/>
        </w:rPr>
        <w:t>设备材料的包装必须是制造商原厂包装，其包装均应有良好的防湿、防锈、防潮、防雨、防腐及防碰撞的措施。凡由于包装不良造成的损失和由此产生的费用均由供应商承担。</w:t>
      </w:r>
    </w:p>
    <w:p>
      <w:pPr>
        <w:numPr>
          <w:ilvl w:val="0"/>
          <w:numId w:val="15"/>
        </w:numPr>
        <w:adjustRightInd w:val="0"/>
        <w:snapToGrid w:val="0"/>
        <w:spacing w:line="360" w:lineRule="auto"/>
        <w:rPr>
          <w:rFonts w:ascii="宋体" w:hAnsi="宋体"/>
          <w:szCs w:val="21"/>
        </w:rPr>
      </w:pPr>
      <w:r>
        <w:rPr>
          <w:rFonts w:hint="eastAsia" w:ascii="宋体" w:hAnsi="宋体"/>
          <w:szCs w:val="21"/>
        </w:rPr>
        <w:t>成交人负责将设备材料货到现场过程中的全部运输，包括装卸车、货物现场的搬运。</w:t>
      </w:r>
    </w:p>
    <w:p>
      <w:pPr>
        <w:numPr>
          <w:ilvl w:val="0"/>
          <w:numId w:val="15"/>
        </w:numPr>
        <w:adjustRightInd w:val="0"/>
        <w:snapToGrid w:val="0"/>
        <w:spacing w:line="360" w:lineRule="auto"/>
        <w:rPr>
          <w:rFonts w:ascii="宋体" w:hAnsi="宋体"/>
          <w:szCs w:val="21"/>
        </w:rPr>
      </w:pPr>
      <w:r>
        <w:rPr>
          <w:rFonts w:hint="eastAsia" w:ascii="宋体" w:hAnsi="宋体"/>
          <w:szCs w:val="21"/>
        </w:rPr>
        <w:t>各种设备必须提供装箱清单，按装箱清单验收货物。</w:t>
      </w:r>
    </w:p>
    <w:p>
      <w:pPr>
        <w:numPr>
          <w:ilvl w:val="0"/>
          <w:numId w:val="15"/>
        </w:numPr>
        <w:adjustRightInd w:val="0"/>
        <w:snapToGrid w:val="0"/>
        <w:spacing w:line="360" w:lineRule="auto"/>
        <w:rPr>
          <w:rFonts w:ascii="宋体" w:hAnsi="宋体"/>
          <w:szCs w:val="21"/>
        </w:rPr>
      </w:pPr>
      <w:r>
        <w:rPr>
          <w:rFonts w:hint="eastAsia" w:ascii="宋体" w:hAnsi="宋体"/>
          <w:szCs w:val="21"/>
        </w:rPr>
        <w:t>货物在现场的保管由成交人负责，直至项目安装、验收完毕。</w:t>
      </w:r>
    </w:p>
    <w:p>
      <w:pPr>
        <w:numPr>
          <w:ilvl w:val="0"/>
          <w:numId w:val="15"/>
        </w:numPr>
        <w:adjustRightInd w:val="0"/>
        <w:snapToGrid w:val="0"/>
        <w:spacing w:line="360" w:lineRule="auto"/>
        <w:rPr>
          <w:rFonts w:ascii="宋体" w:hAnsi="宋体"/>
          <w:szCs w:val="21"/>
        </w:rPr>
      </w:pPr>
      <w:r>
        <w:rPr>
          <w:rFonts w:hint="eastAsia" w:ascii="宋体" w:hAnsi="宋体"/>
          <w:szCs w:val="21"/>
        </w:rPr>
        <w:t>设备至采购人指定的使用现场的包装、保险及发运等环节和费用均由成交人负责。</w:t>
      </w:r>
    </w:p>
    <w:p>
      <w:pPr>
        <w:pStyle w:val="7"/>
        <w:numPr>
          <w:ilvl w:val="0"/>
          <w:numId w:val="13"/>
        </w:numPr>
        <w:tabs>
          <w:tab w:val="left" w:pos="540"/>
        </w:tabs>
        <w:adjustRightInd w:val="0"/>
        <w:snapToGrid w:val="0"/>
        <w:spacing w:line="360" w:lineRule="auto"/>
        <w:ind w:left="650" w:leftChars="0" w:firstLineChars="0"/>
        <w:rPr>
          <w:b/>
        </w:rPr>
      </w:pPr>
      <w:r>
        <w:rPr>
          <w:rFonts w:hint="eastAsia"/>
          <w:b/>
        </w:rPr>
        <w:t>验收</w:t>
      </w:r>
    </w:p>
    <w:p>
      <w:pPr>
        <w:pStyle w:val="7"/>
        <w:numPr>
          <w:ilvl w:val="0"/>
          <w:numId w:val="16"/>
        </w:numPr>
        <w:tabs>
          <w:tab w:val="left" w:pos="540"/>
        </w:tabs>
        <w:adjustRightInd w:val="0"/>
        <w:snapToGrid w:val="0"/>
        <w:spacing w:line="360" w:lineRule="auto"/>
      </w:pPr>
      <w:r>
        <w:rPr>
          <w:rFonts w:hint="eastAsia"/>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6"/>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pPr>
        <w:numPr>
          <w:ilvl w:val="0"/>
          <w:numId w:val="16"/>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numPr>
          <w:ilvl w:val="0"/>
          <w:numId w:val="16"/>
        </w:numPr>
        <w:tabs>
          <w:tab w:val="left" w:pos="900"/>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用户需求书、合同、采购文件和响应文件等有关规定和产品说明或产品提供的质量标准验收，交付货物的剩余有效期应达到80%以上（例如有效期是一年的，剩余有效期应在9.6个月以上）。特殊情况下，经采购人同意，可以适当调整。在收到产品后15个工作日内如未对产品的质量提出异议，则视为收讫。有潜在质量问题，应在发现之日起的15个工作日内对产品的质量提出异议。产品收讫后，仍适用国标、行标或者厂家标准规定的质量保证期规定。</w:t>
      </w:r>
    </w:p>
    <w:p>
      <w:pPr>
        <w:numPr>
          <w:ilvl w:val="0"/>
          <w:numId w:val="16"/>
        </w:numPr>
        <w:tabs>
          <w:tab w:val="left" w:pos="900"/>
        </w:tabs>
        <w:autoSpaceDE w:val="0"/>
        <w:autoSpaceDN w:val="0"/>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验收不合格的应换货或退货，对因供应货物质量问题造成的后果由成交供应商负责，采购人将追究其全部责任并拒付货款，将列入采购单位黑名单，不得再参与采购单位的所有项目。</w:t>
      </w:r>
    </w:p>
    <w:p>
      <w:pPr>
        <w:snapToGrid w:val="0"/>
        <w:spacing w:before="156" w:beforeLines="50" w:line="360" w:lineRule="auto"/>
        <w:rPr>
          <w:rFonts w:ascii="宋体" w:hAnsi="宋体"/>
          <w:szCs w:val="21"/>
        </w:rPr>
      </w:pPr>
      <w:r>
        <w:rPr>
          <w:rFonts w:hint="eastAsia" w:ascii="宋体" w:hAnsi="宋体"/>
          <w:b/>
          <w:szCs w:val="21"/>
        </w:rPr>
        <w:t>（四）付款方式</w:t>
      </w:r>
    </w:p>
    <w:p>
      <w:pPr>
        <w:adjustRightInd w:val="0"/>
        <w:snapToGrid w:val="0"/>
        <w:spacing w:line="36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由采购人按下列程序付款：</w:t>
      </w:r>
    </w:p>
    <w:p>
      <w:pPr>
        <w:numPr>
          <w:ilvl w:val="0"/>
          <w:numId w:val="17"/>
        </w:numPr>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货到验收合格后付款</w:t>
      </w:r>
      <w:r>
        <w:rPr>
          <w:rFonts w:hint="eastAsia" w:ascii="宋体" w:hAnsi="宋体" w:eastAsia="宋体" w:cs="宋体"/>
          <w:kern w:val="21"/>
          <w:sz w:val="21"/>
          <w:szCs w:val="21"/>
        </w:rPr>
        <w:t>。</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kern w:val="21"/>
          <w:szCs w:val="21"/>
        </w:rPr>
        <w:t>成交人凭以下有效文件与采购人结算：</w:t>
      </w:r>
    </w:p>
    <w:p>
      <w:pPr>
        <w:pStyle w:val="33"/>
        <w:numPr>
          <w:ilvl w:val="0"/>
          <w:numId w:val="18"/>
        </w:numPr>
        <w:adjustRightInd w:val="0"/>
        <w:snapToGrid w:val="0"/>
        <w:spacing w:line="360" w:lineRule="auto"/>
        <w:ind w:firstLineChars="0"/>
        <w:rPr>
          <w:rFonts w:ascii="宋体" w:hAnsi="宋体"/>
          <w:szCs w:val="21"/>
        </w:rPr>
      </w:pPr>
      <w:r>
        <w:rPr>
          <w:rFonts w:hint="eastAsia" w:ascii="宋体" w:hAnsi="宋体"/>
          <w:szCs w:val="21"/>
        </w:rPr>
        <w:t>合同；</w:t>
      </w:r>
    </w:p>
    <w:p>
      <w:pPr>
        <w:pStyle w:val="33"/>
        <w:numPr>
          <w:ilvl w:val="0"/>
          <w:numId w:val="18"/>
        </w:numPr>
        <w:adjustRightInd w:val="0"/>
        <w:snapToGrid w:val="0"/>
        <w:spacing w:line="360" w:lineRule="auto"/>
        <w:ind w:firstLineChars="0"/>
        <w:rPr>
          <w:rFonts w:ascii="宋体" w:hAnsi="宋体"/>
          <w:szCs w:val="21"/>
        </w:rPr>
      </w:pPr>
      <w:r>
        <w:rPr>
          <w:rFonts w:hint="eastAsia" w:ascii="宋体" w:hAnsi="宋体"/>
          <w:szCs w:val="21"/>
        </w:rPr>
        <w:t>成交人</w:t>
      </w:r>
      <w:r>
        <w:rPr>
          <w:rFonts w:ascii="宋体" w:hAnsi="宋体"/>
          <w:szCs w:val="21"/>
        </w:rPr>
        <w:t>开具的正式发票；</w:t>
      </w:r>
    </w:p>
    <w:p>
      <w:pPr>
        <w:pStyle w:val="33"/>
        <w:numPr>
          <w:ilvl w:val="0"/>
          <w:numId w:val="18"/>
        </w:numPr>
        <w:adjustRightInd w:val="0"/>
        <w:snapToGrid w:val="0"/>
        <w:spacing w:line="360" w:lineRule="auto"/>
        <w:ind w:firstLineChars="0"/>
        <w:rPr>
          <w:rFonts w:ascii="宋体" w:hAnsi="宋体"/>
          <w:szCs w:val="21"/>
        </w:rPr>
        <w:sectPr>
          <w:pgSz w:w="11906" w:h="16838"/>
          <w:pgMar w:top="1440" w:right="1304" w:bottom="1440" w:left="1474" w:header="851" w:footer="992" w:gutter="0"/>
          <w:cols w:space="0" w:num="1"/>
          <w:docGrid w:type="lines" w:linePitch="312" w:charSpace="0"/>
        </w:sectPr>
      </w:pPr>
      <w:r>
        <w:rPr>
          <w:rFonts w:hint="eastAsia" w:ascii="宋体" w:hAnsi="宋体"/>
          <w:szCs w:val="21"/>
        </w:rPr>
        <w:t>成交</w:t>
      </w:r>
      <w:r>
        <w:rPr>
          <w:rFonts w:ascii="宋体" w:hAnsi="宋体"/>
          <w:szCs w:val="21"/>
        </w:rPr>
        <w:t>通知书</w:t>
      </w:r>
      <w:r>
        <w:rPr>
          <w:rFonts w:hint="eastAsia" w:ascii="宋体" w:hAnsi="宋体"/>
          <w:szCs w:val="21"/>
        </w:rPr>
        <w:t>。</w:t>
      </w:r>
    </w:p>
    <w:p>
      <w:pPr>
        <w:snapToGrid w:val="0"/>
        <w:spacing w:line="360" w:lineRule="auto"/>
        <w:jc w:val="center"/>
        <w:outlineLvl w:val="0"/>
        <w:rPr>
          <w:rFonts w:ascii="Calibri" w:hAnsi="Calibri"/>
          <w:b/>
          <w:bCs/>
          <w:sz w:val="32"/>
          <w:szCs w:val="32"/>
        </w:rPr>
      </w:pPr>
      <w:r>
        <w:rPr>
          <w:rFonts w:hint="eastAsia" w:ascii="Calibri" w:hAnsi="Calibri"/>
          <w:b/>
          <w:bCs/>
          <w:sz w:val="32"/>
          <w:szCs w:val="32"/>
        </w:rPr>
        <w:t>第三章竞价附件</w:t>
      </w:r>
    </w:p>
    <w:p>
      <w:pPr>
        <w:keepNext/>
        <w:keepLines/>
        <w:spacing w:line="416" w:lineRule="auto"/>
        <w:ind w:firstLine="3754" w:firstLineChars="1100"/>
        <w:outlineLvl w:val="1"/>
        <w:rPr>
          <w:rFonts w:ascii="宋体" w:hAnsi="宋体"/>
          <w:b/>
          <w:bCs/>
          <w:kern w:val="0"/>
          <w:sz w:val="32"/>
          <w:szCs w:val="32"/>
          <w:lang w:val="zh-CN"/>
        </w:rPr>
      </w:pPr>
      <w:r>
        <w:rPr>
          <w:rFonts w:hint="eastAsia" w:ascii="宋体" w:hAnsi="宋体"/>
          <w:b/>
          <w:bCs/>
          <w:kern w:val="0"/>
          <w:sz w:val="32"/>
          <w:szCs w:val="32"/>
          <w:lang w:val="zh-CN"/>
        </w:rPr>
        <w:t>报价表</w:t>
      </w:r>
    </w:p>
    <w:tbl>
      <w:tblPr>
        <w:tblStyle w:val="12"/>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81"/>
        <w:gridCol w:w="4362"/>
        <w:gridCol w:w="838"/>
        <w:gridCol w:w="849"/>
        <w:gridCol w:w="8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jc w:val="center"/>
        </w:trPr>
        <w:tc>
          <w:tcPr>
            <w:tcW w:w="237" w:type="pct"/>
            <w:noWrap w:val="0"/>
            <w:vAlign w:val="center"/>
          </w:tcPr>
          <w:p>
            <w:pPr>
              <w:adjustRightInd w:val="0"/>
              <w:snapToGrid w:val="0"/>
              <w:jc w:val="center"/>
              <w:rPr>
                <w:rFonts w:hint="eastAsia" w:ascii="宋体" w:hAnsi="宋体"/>
                <w:sz w:val="24"/>
              </w:rPr>
            </w:pPr>
            <w:r>
              <w:rPr>
                <w:rFonts w:hint="eastAsia" w:ascii="宋体" w:hAnsi="宋体"/>
                <w:sz w:val="24"/>
              </w:rPr>
              <w:t>序号</w:t>
            </w:r>
          </w:p>
        </w:tc>
        <w:tc>
          <w:tcPr>
            <w:tcW w:w="739" w:type="pct"/>
            <w:noWrap w:val="0"/>
            <w:vAlign w:val="center"/>
          </w:tcPr>
          <w:p>
            <w:pPr>
              <w:adjustRightInd w:val="0"/>
              <w:snapToGrid w:val="0"/>
              <w:jc w:val="center"/>
              <w:rPr>
                <w:rFonts w:hint="eastAsia" w:ascii="宋体" w:hAnsi="宋体"/>
                <w:sz w:val="24"/>
              </w:rPr>
            </w:pPr>
            <w:r>
              <w:rPr>
                <w:rFonts w:hint="eastAsia" w:ascii="宋体" w:hAnsi="宋体"/>
                <w:sz w:val="24"/>
              </w:rPr>
              <w:t>物品名称</w:t>
            </w:r>
          </w:p>
        </w:tc>
        <w:tc>
          <w:tcPr>
            <w:tcW w:w="2177" w:type="pct"/>
            <w:noWrap w:val="0"/>
            <w:vAlign w:val="center"/>
          </w:tcPr>
          <w:p>
            <w:pPr>
              <w:adjustRightInd w:val="0"/>
              <w:snapToGrid w:val="0"/>
              <w:spacing w:line="240" w:lineRule="auto"/>
              <w:jc w:val="center"/>
              <w:rPr>
                <w:rFonts w:hint="eastAsia" w:ascii="宋体" w:hAnsi="宋体"/>
                <w:sz w:val="24"/>
              </w:rPr>
            </w:pPr>
            <w:r>
              <w:rPr>
                <w:rFonts w:hint="eastAsia" w:ascii="宋体" w:hAnsi="宋体"/>
                <w:sz w:val="24"/>
              </w:rPr>
              <w:t>规格</w:t>
            </w:r>
          </w:p>
        </w:tc>
        <w:tc>
          <w:tcPr>
            <w:tcW w:w="418" w:type="pct"/>
            <w:noWrap w:val="0"/>
            <w:vAlign w:val="center"/>
          </w:tcPr>
          <w:p>
            <w:pPr>
              <w:adjustRightInd w:val="0"/>
              <w:snapToGrid w:val="0"/>
              <w:jc w:val="center"/>
              <w:rPr>
                <w:rFonts w:hint="eastAsia" w:ascii="宋体" w:hAnsi="宋体"/>
                <w:sz w:val="24"/>
              </w:rPr>
            </w:pPr>
            <w:r>
              <w:rPr>
                <w:rFonts w:hint="eastAsia" w:ascii="宋体" w:hAnsi="宋体"/>
                <w:sz w:val="24"/>
              </w:rPr>
              <w:t>数量</w:t>
            </w:r>
          </w:p>
        </w:tc>
        <w:tc>
          <w:tcPr>
            <w:tcW w:w="423" w:type="pct"/>
            <w:tcBorders>
              <w:right w:val="nil"/>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b w:val="0"/>
                <w:bCs w:val="0"/>
                <w:i w:val="0"/>
                <w:iCs w:val="0"/>
                <w:color w:val="000000"/>
                <w:spacing w:val="10"/>
                <w:kern w:val="0"/>
                <w:sz w:val="21"/>
                <w:szCs w:val="21"/>
                <w:u w:val="none"/>
                <w:lang w:val="en-US" w:eastAsia="zh-CN" w:bidi="ar"/>
              </w:rPr>
              <w:t>单价（元）</w:t>
            </w:r>
          </w:p>
        </w:tc>
        <w:tc>
          <w:tcPr>
            <w:tcW w:w="426" w:type="pct"/>
            <w:tcBorders>
              <w:right w:val="nil"/>
            </w:tcBorders>
            <w:noWrap w:val="0"/>
            <w:vAlign w:val="center"/>
          </w:tcPr>
          <w:p>
            <w:pPr>
              <w:adjustRightInd w:val="0"/>
              <w:snapToGrid w:val="0"/>
              <w:jc w:val="center"/>
              <w:rPr>
                <w:rFonts w:hint="eastAsia" w:ascii="宋体" w:hAnsi="宋体"/>
                <w:sz w:val="24"/>
                <w:szCs w:val="24"/>
              </w:rPr>
            </w:pPr>
            <w:r>
              <w:rPr>
                <w:rFonts w:hint="eastAsia" w:ascii="宋体" w:hAnsi="宋体" w:eastAsia="宋体" w:cs="宋体"/>
                <w:b w:val="0"/>
                <w:bCs w:val="0"/>
                <w:i w:val="0"/>
                <w:iCs w:val="0"/>
                <w:color w:val="000000"/>
                <w:spacing w:val="10"/>
                <w:kern w:val="0"/>
                <w:sz w:val="21"/>
                <w:szCs w:val="21"/>
                <w:u w:val="none"/>
                <w:lang w:val="en-US" w:eastAsia="zh-CN" w:bidi="ar"/>
              </w:rPr>
              <w:t>小计（元）</w:t>
            </w:r>
          </w:p>
        </w:tc>
        <w:tc>
          <w:tcPr>
            <w:tcW w:w="576"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备注</w:t>
            </w:r>
          </w:p>
          <w:p>
            <w:pPr>
              <w:adjustRightInd w:val="0"/>
              <w:snapToGrid w:val="0"/>
              <w:jc w:val="center"/>
              <w:rPr>
                <w:rFonts w:hint="eastAsia" w:ascii="宋体" w:hAnsi="宋体"/>
                <w:sz w:val="24"/>
                <w:szCs w:val="24"/>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货期</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739" w:type="pct"/>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水质快速检测包</w:t>
            </w: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COD超低量程</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426" w:type="pct"/>
            <w:tcBorders>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氨氮（纳氏）</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总磷</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总氮</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项目：项目：</w:t>
            </w:r>
            <w:r>
              <w:rPr>
                <w:rFonts w:hint="eastAsia" w:ascii="宋体" w:hAnsi="宋体" w:eastAsia="宋体" w:cs="宋体"/>
                <w:i w:val="0"/>
                <w:iCs w:val="0"/>
                <w:color w:val="000000"/>
                <w:kern w:val="0"/>
                <w:sz w:val="21"/>
                <w:szCs w:val="21"/>
                <w:u w:val="none"/>
                <w:lang w:val="en-US" w:eastAsia="zh-CN" w:bidi="ar"/>
              </w:rPr>
              <w:t>挥发酚0.1-10mg/L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铜（0.05-2.0）</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739" w:type="pct"/>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镍（0.05-0.8）</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lang w:val="en-US" w:eastAsia="zh-CN"/>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lang w:val="en-US" w:eastAsia="zh-CN"/>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739" w:type="pct"/>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总铬（0.05-1.0）</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739" w:type="pct"/>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六价铬（0.05-1.0）</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总镉（0.1-1.0）</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b/>
                <w:sz w:val="21"/>
                <w:szCs w:val="21"/>
                <w:lang w:val="en-US" w:eastAsia="zh-CN"/>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b/>
                <w:sz w:val="21"/>
                <w:szCs w:val="21"/>
                <w:lang w:val="en-US" w:eastAsia="zh-CN"/>
              </w:rPr>
            </w:pPr>
          </w:p>
        </w:tc>
        <w:tc>
          <w:tcPr>
            <w:tcW w:w="576" w:type="pct"/>
            <w:noWrap w:val="0"/>
            <w:vAlign w:val="center"/>
          </w:tcPr>
          <w:p>
            <w:pPr>
              <w:adjustRightInd w:val="0"/>
              <w:snapToGrid w:val="0"/>
              <w:spacing w:line="240" w:lineRule="auto"/>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品牌：芬克，</w:t>
            </w:r>
            <w:r>
              <w:rPr>
                <w:rFonts w:hint="eastAsia" w:ascii="宋体" w:hAnsi="宋体" w:cs="宋体"/>
                <w:i w:val="0"/>
                <w:iCs w:val="0"/>
                <w:color w:val="auto"/>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总锌（0.02-0.5）</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739" w:type="pct"/>
            <w:vMerge w:val="restar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p>
            <w:pPr>
              <w:bidi w:val="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气体检测管</w:t>
            </w: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品牌：北京北科绿洲，硫化氢，2-50ppm</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739" w:type="pct"/>
            <w:vMerge w:val="continue"/>
            <w:noWrap w:val="0"/>
            <w:vAlign w:val="center"/>
          </w:tcPr>
          <w:p>
            <w:pP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品牌：北京北科绿洲，氨气，1-30mg/m3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b/>
                <w:sz w:val="21"/>
                <w:szCs w:val="21"/>
              </w:rPr>
            </w:pPr>
          </w:p>
        </w:tc>
        <w:tc>
          <w:tcPr>
            <w:tcW w:w="576" w:type="pct"/>
            <w:noWrap w:val="0"/>
            <w:vAlign w:val="center"/>
          </w:tcPr>
          <w:p>
            <w:pPr>
              <w:adjustRightInd w:val="0"/>
              <w:snapToGrid w:val="0"/>
              <w:spacing w:line="24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739" w:type="pct"/>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品牌：北京北科绿洲，苯，20-400mg/m3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500" w:lineRule="exact"/>
              <w:jc w:val="center"/>
              <w:rPr>
                <w:rFonts w:hint="eastAsia" w:ascii="宋体" w:hAnsi="宋体" w:eastAsia="宋体" w:cs="宋体"/>
                <w:b/>
                <w:sz w:val="21"/>
                <w:szCs w:val="21"/>
              </w:rPr>
            </w:pPr>
          </w:p>
        </w:tc>
        <w:tc>
          <w:tcPr>
            <w:tcW w:w="576" w:type="pct"/>
            <w:noWrap w:val="0"/>
            <w:vAlign w:val="center"/>
          </w:tcPr>
          <w:p>
            <w:pPr>
              <w:adjustRightInd w:val="0"/>
              <w:snapToGrid w:val="0"/>
              <w:spacing w:line="50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品牌：北京北科绿洲，甲苯</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5</w:t>
            </w:r>
            <w:r>
              <w:rPr>
                <w:rFonts w:hint="eastAsia" w:ascii="宋体" w:hAnsi="宋体" w:eastAsia="宋体" w:cs="宋体"/>
                <w:color w:val="000000"/>
                <w:kern w:val="0"/>
                <w:sz w:val="21"/>
                <w:szCs w:val="21"/>
                <w:lang w:val="en-US" w:eastAsia="zh-CN" w:bidi="ar"/>
              </w:rPr>
              <w:t>0-1000mg/m3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b/>
                <w:sz w:val="21"/>
                <w:szCs w:val="21"/>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b/>
                <w:sz w:val="21"/>
                <w:szCs w:val="21"/>
              </w:rPr>
            </w:pPr>
          </w:p>
        </w:tc>
        <w:tc>
          <w:tcPr>
            <w:tcW w:w="576" w:type="pct"/>
            <w:noWrap w:val="0"/>
            <w:vAlign w:val="center"/>
          </w:tcPr>
          <w:p>
            <w:pPr>
              <w:adjustRightInd w:val="0"/>
              <w:snapToGrid w:val="0"/>
              <w:spacing w:line="24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品牌：北京北科绿洲，二甲苯，50-1000mg/m3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品牌：北京北科绿洲，氯气，1-30mg/m3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品牌：北京北科绿洲，氟化氢，1-30mg/m3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品牌：北京北科绿洲，磷化氢，2-50ppm</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品牌：北京北科绿洲，氯化氢，1-30mg/m3</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品牌：北京北科绿洲，一氧化碳，5-100ppm</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2盒</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w:t>
            </w:r>
          </w:p>
        </w:tc>
        <w:tc>
          <w:tcPr>
            <w:tcW w:w="739" w:type="pct"/>
            <w:vMerge w:val="restar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PDV6000PLUS便携式重金属分析仪配套试剂</w:t>
            </w: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，CLAC浓缩电解液粉 货号：8100000，可制500mL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23</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，电解液稀释液A 货号：8100170，500mL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，汞膜镀膜液 货号：8100240，25mL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25</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，镉、铅、铜标准溶液 货号：8100270，20mL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，电极调节液A 货号：8100530，25mL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，参比电解液 货号：8100060，25mL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739" w:type="pct"/>
            <w:vMerge w:val="continue"/>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品牌：</w:t>
            </w:r>
            <w:r>
              <w:rPr>
                <w:rFonts w:hint="eastAsia" w:ascii="宋体" w:hAnsi="宋体" w:cs="宋体"/>
                <w:color w:val="000000"/>
                <w:kern w:val="0"/>
                <w:sz w:val="21"/>
                <w:szCs w:val="21"/>
                <w:lang w:val="en-US" w:eastAsia="zh-CN" w:bidi="ar"/>
              </w:rPr>
              <w:t>现代水务（英国）</w:t>
            </w:r>
            <w:r>
              <w:rPr>
                <w:rFonts w:hint="eastAsia" w:ascii="宋体" w:hAnsi="宋体" w:eastAsia="宋体" w:cs="宋体"/>
                <w:color w:val="000000"/>
                <w:kern w:val="0"/>
                <w:sz w:val="21"/>
                <w:szCs w:val="21"/>
                <w:lang w:val="en-US" w:eastAsia="zh-CN" w:bidi="ar"/>
              </w:rPr>
              <w:t>，工作电极抛光套装 货号：190-023，20mL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2瓶</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w:t>
            </w:r>
          </w:p>
        </w:tc>
        <w:tc>
          <w:tcPr>
            <w:tcW w:w="739"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小口黑色聚乙烯瓶</w:t>
            </w: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品牌：Loikaw</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250ml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500个</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w:t>
            </w:r>
          </w:p>
        </w:tc>
        <w:tc>
          <w:tcPr>
            <w:tcW w:w="739"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小口白色聚乙烯瓶</w:t>
            </w: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品牌：Loikaw</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250ml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500个</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w:t>
            </w:r>
          </w:p>
        </w:tc>
        <w:tc>
          <w:tcPr>
            <w:tcW w:w="739"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PP样品瓶</w:t>
            </w: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品牌：比克曼生物，250mL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400个</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c>
          <w:tcPr>
            <w:tcW w:w="739"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广口聚乙烯瓶</w:t>
            </w: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品牌：比克曼生物，1000mL</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200个</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w:t>
            </w:r>
          </w:p>
        </w:tc>
        <w:tc>
          <w:tcPr>
            <w:tcW w:w="739"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钢瓶气体减压阀</w:t>
            </w:r>
          </w:p>
        </w:tc>
        <w:tc>
          <w:tcPr>
            <w:tcW w:w="2177"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品牌：繁瑞，带1.5L流量计</w:t>
            </w:r>
            <w:r>
              <w:rPr>
                <w:rFonts w:hint="eastAsia" w:ascii="宋体" w:hAnsi="宋体" w:cs="宋体"/>
                <w:color w:val="auto"/>
                <w:kern w:val="0"/>
                <w:sz w:val="21"/>
                <w:szCs w:val="21"/>
                <w:lang w:val="en-US" w:eastAsia="zh-CN" w:bidi="ar"/>
              </w:rPr>
              <w:t>，适配4L钢瓶 NO2 、SO2 常见气体</w:t>
            </w:r>
          </w:p>
        </w:tc>
        <w:tc>
          <w:tcPr>
            <w:tcW w:w="418" w:type="pct"/>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10个</w:t>
            </w:r>
          </w:p>
        </w:tc>
        <w:tc>
          <w:tcPr>
            <w:tcW w:w="423"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426" w:type="pct"/>
            <w:tcBorders>
              <w:right w:val="nil"/>
            </w:tcBorders>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c>
          <w:tcPr>
            <w:tcW w:w="576" w:type="pct"/>
            <w:noWrap w:val="0"/>
            <w:vAlign w:val="center"/>
          </w:tcPr>
          <w:p>
            <w:pPr>
              <w:adjustRightInd w:val="0"/>
              <w:snapToGrid w:val="0"/>
              <w:spacing w:line="240" w:lineRule="auto"/>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00" w:type="pct"/>
            <w:gridSpan w:val="7"/>
            <w:noWrap w:val="0"/>
            <w:vAlign w:val="center"/>
          </w:tcPr>
          <w:p>
            <w:pPr>
              <w:adjustRightInd w:val="0"/>
              <w:snapToGrid w:val="0"/>
              <w:spacing w:line="240" w:lineRule="auto"/>
              <w:jc w:val="center"/>
              <w:rPr>
                <w:rFonts w:hint="default" w:ascii="宋体" w:hAnsi="宋体" w:eastAsia="宋体" w:cs="宋体"/>
                <w:color w:val="000000"/>
                <w:kern w:val="0"/>
                <w:sz w:val="21"/>
                <w:szCs w:val="21"/>
                <w:lang w:val="en-US" w:eastAsia="zh-CN" w:bidi="ar"/>
              </w:rPr>
            </w:pPr>
            <w:r>
              <w:rPr>
                <w:rFonts w:hint="eastAsia" w:ascii="宋体" w:hAnsi="宋体"/>
                <w:b/>
                <w:szCs w:val="21"/>
              </w:rPr>
              <w:t>合计（每项小计之和）：人民币</w:t>
            </w:r>
            <w:r>
              <w:rPr>
                <w:rFonts w:hint="eastAsia" w:ascii="宋体" w:hAnsi="宋体"/>
                <w:b/>
                <w:szCs w:val="21"/>
                <w:u w:val="single"/>
              </w:rPr>
              <w:t xml:space="preserve">          </w:t>
            </w:r>
            <w:r>
              <w:rPr>
                <w:rFonts w:hint="eastAsia" w:ascii="宋体" w:hAnsi="宋体"/>
                <w:b/>
                <w:szCs w:val="21"/>
              </w:rPr>
              <w:t>元</w:t>
            </w:r>
          </w:p>
        </w:tc>
      </w:tr>
    </w:tbl>
    <w:p>
      <w:pPr>
        <w:keepNext/>
        <w:keepLines/>
        <w:spacing w:line="415" w:lineRule="auto"/>
        <w:rPr>
          <w:rFonts w:ascii="宋体" w:hAnsi="宋体"/>
          <w:b/>
          <w:bCs/>
          <w:kern w:val="0"/>
          <w:szCs w:val="21"/>
        </w:rPr>
      </w:pPr>
      <w:r>
        <w:rPr>
          <w:rFonts w:hint="eastAsia" w:ascii="宋体" w:hAnsi="宋体"/>
          <w:b/>
          <w:bCs/>
          <w:kern w:val="0"/>
          <w:szCs w:val="21"/>
        </w:rPr>
        <w:t>注：</w:t>
      </w:r>
    </w:p>
    <w:p>
      <w:pPr>
        <w:widowControl/>
        <w:numPr>
          <w:ilvl w:val="0"/>
          <w:numId w:val="19"/>
        </w:numPr>
        <w:shd w:val="clear" w:color="auto" w:fill="FFFFFF"/>
        <w:spacing w:line="360" w:lineRule="auto"/>
        <w:jc w:val="left"/>
        <w:rPr>
          <w:rFonts w:ascii="宋体" w:hAnsi="宋体"/>
          <w:b/>
          <w:bCs/>
          <w:spacing w:val="4"/>
          <w:szCs w:val="21"/>
          <w:u w:val="single"/>
        </w:rPr>
      </w:pPr>
      <w:r>
        <w:rPr>
          <w:rFonts w:hint="eastAsia" w:ascii="宋体" w:hAnsi="宋体"/>
          <w:b/>
          <w:bCs/>
          <w:spacing w:val="4"/>
          <w:szCs w:val="21"/>
          <w:u w:val="single"/>
        </w:rPr>
        <w:t>供应商必须按报价表的格式填写，不得增加或删除表格内容。除单价、金额或项目要求填写的内容外，不得擅自改动报价表内容，</w:t>
      </w:r>
      <w:r>
        <w:rPr>
          <w:rFonts w:hint="eastAsia" w:ascii="宋体" w:hAnsi="宋体"/>
          <w:b/>
          <w:bCs/>
          <w:spacing w:val="4"/>
          <w:szCs w:val="21"/>
        </w:rPr>
        <w:t>否则将有可能影响成交结果，不推荐为成交候选人</w:t>
      </w:r>
      <w:r>
        <w:rPr>
          <w:rFonts w:hint="eastAsia" w:ascii="宋体" w:hAnsi="宋体"/>
          <w:b/>
          <w:bCs/>
          <w:spacing w:val="4"/>
          <w:szCs w:val="21"/>
          <w:u w:val="single"/>
        </w:rPr>
        <w:t>；</w:t>
      </w:r>
    </w:p>
    <w:p>
      <w:pPr>
        <w:widowControl/>
        <w:numPr>
          <w:ilvl w:val="0"/>
          <w:numId w:val="19"/>
        </w:numPr>
        <w:shd w:val="clear" w:color="auto" w:fill="FFFFFF"/>
        <w:spacing w:line="360" w:lineRule="auto"/>
        <w:jc w:val="left"/>
        <w:rPr>
          <w:rFonts w:ascii="宋体" w:hAnsi="宋体"/>
          <w:b/>
          <w:spacing w:val="4"/>
          <w:szCs w:val="21"/>
        </w:rPr>
      </w:pPr>
      <w:r>
        <w:rPr>
          <w:rFonts w:hint="eastAsia" w:ascii="宋体" w:hAnsi="宋体"/>
          <w:b/>
          <w:spacing w:val="4"/>
          <w:szCs w:val="21"/>
        </w:rPr>
        <w:t>所有价格均系用人民币表示，单位为元，</w:t>
      </w:r>
      <w:r>
        <w:rPr>
          <w:rFonts w:hint="eastAsia" w:ascii="宋体" w:hAnsi="宋体"/>
          <w:b/>
          <w:bCs/>
          <w:spacing w:val="4"/>
          <w:szCs w:val="21"/>
        </w:rPr>
        <w:t>均为含税价</w:t>
      </w:r>
      <w:r>
        <w:rPr>
          <w:rFonts w:hint="eastAsia" w:ascii="宋体" w:hAnsi="宋体"/>
          <w:b/>
          <w:spacing w:val="4"/>
          <w:szCs w:val="21"/>
        </w:rPr>
        <w:t>；</w:t>
      </w:r>
    </w:p>
    <w:p>
      <w:pPr>
        <w:widowControl/>
        <w:numPr>
          <w:ilvl w:val="0"/>
          <w:numId w:val="19"/>
        </w:numPr>
        <w:shd w:val="clear" w:color="auto" w:fill="FFFFFF"/>
        <w:spacing w:line="360" w:lineRule="auto"/>
        <w:jc w:val="left"/>
        <w:rPr>
          <w:rFonts w:ascii="宋体" w:hAnsi="宋体"/>
          <w:b/>
          <w:spacing w:val="4"/>
          <w:szCs w:val="21"/>
        </w:rPr>
      </w:pPr>
      <w:r>
        <w:rPr>
          <w:rFonts w:hint="eastAsia" w:ascii="宋体" w:hAnsi="宋体"/>
          <w:b/>
          <w:spacing w:val="4"/>
          <w:szCs w:val="21"/>
        </w:rPr>
        <w:t>平台上报价与上表合计不一致的，以报价表合计（经价格核准后的价格）为准。</w:t>
      </w:r>
    </w:p>
    <w:p>
      <w:pPr>
        <w:spacing w:line="360" w:lineRule="auto"/>
        <w:ind w:firstLine="4905" w:firstLineChars="2250"/>
        <w:rPr>
          <w:rFonts w:ascii="宋体" w:hAnsi="宋体"/>
          <w:spacing w:val="4"/>
          <w:szCs w:val="21"/>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ind w:firstLine="4905" w:firstLineChars="2250"/>
        <w:rPr>
          <w:rFonts w:ascii="宋体" w:hAnsi="宋体" w:cs="宋体"/>
          <w:szCs w:val="21"/>
          <w:u w:val="single"/>
        </w:rPr>
      </w:pPr>
      <w:r>
        <w:rPr>
          <w:rFonts w:hint="eastAsia" w:ascii="宋体" w:hAnsi="宋体"/>
          <w:spacing w:val="4"/>
          <w:szCs w:val="21"/>
        </w:rPr>
        <w:t>日期：</w:t>
      </w:r>
      <w:r>
        <w:rPr>
          <w:rFonts w:ascii="宋体" w:hAnsi="宋体"/>
          <w:spacing w:val="4"/>
          <w:szCs w:val="21"/>
        </w:rPr>
        <w:br w:type="page"/>
      </w:r>
    </w:p>
    <w:p>
      <w:pPr>
        <w:keepNext/>
        <w:keepLines/>
        <w:spacing w:line="416" w:lineRule="auto"/>
        <w:jc w:val="center"/>
        <w:outlineLvl w:val="1"/>
        <w:rPr>
          <w:rFonts w:ascii="宋体" w:hAnsi="宋体" w:cs="宋体"/>
          <w:b/>
          <w:bCs/>
          <w:sz w:val="32"/>
          <w:szCs w:val="32"/>
        </w:rPr>
      </w:pPr>
      <w:r>
        <w:rPr>
          <w:rFonts w:hint="eastAsia" w:ascii="宋体" w:hAnsi="宋体" w:cs="宋体"/>
          <w:b/>
          <w:bCs/>
          <w:sz w:val="32"/>
          <w:szCs w:val="32"/>
        </w:rPr>
        <w:t>供应商资格声明函</w:t>
      </w:r>
    </w:p>
    <w:p>
      <w:pPr>
        <w:rPr>
          <w:rFonts w:ascii="宋体" w:hAnsi="宋体" w:cs="宋体"/>
          <w:b/>
          <w:sz w:val="24"/>
        </w:rPr>
      </w:pPr>
    </w:p>
    <w:p>
      <w:pPr>
        <w:spacing w:line="360" w:lineRule="auto"/>
        <w:rPr>
          <w:rFonts w:ascii="宋体" w:hAnsi="宋体" w:cs="宋体"/>
          <w:b/>
          <w:szCs w:val="21"/>
        </w:rPr>
      </w:pPr>
      <w:r>
        <w:rPr>
          <w:rFonts w:hint="eastAsia" w:ascii="宋体" w:hAnsi="宋体" w:cs="宋体"/>
          <w:b/>
          <w:szCs w:val="21"/>
        </w:rPr>
        <w:t>致：广东省佛山生态环境监测站、</w:t>
      </w:r>
      <w:r>
        <w:rPr>
          <w:rFonts w:hint="eastAsia" w:ascii="宋体" w:hAnsi="宋体"/>
          <w:b/>
          <w:szCs w:val="21"/>
        </w:rPr>
        <w:t>云采链（广州）信息科技有限公司</w:t>
      </w:r>
      <w:r>
        <w:rPr>
          <w:rFonts w:hint="eastAsia" w:ascii="宋体" w:hAnsi="宋体" w:cs="宋体"/>
          <w:b/>
          <w:szCs w:val="21"/>
        </w:rPr>
        <w:t>：</w:t>
      </w:r>
    </w:p>
    <w:p>
      <w:pPr>
        <w:spacing w:line="360" w:lineRule="auto"/>
        <w:jc w:val="left"/>
        <w:rPr>
          <w:rFonts w:ascii="宋体" w:hAnsi="宋体"/>
          <w:b/>
          <w:bCs/>
          <w:kern w:val="0"/>
          <w:szCs w:val="21"/>
          <w:u w:val="single"/>
        </w:rPr>
      </w:pPr>
      <w:r>
        <w:rPr>
          <w:rFonts w:hint="eastAsia" w:ascii="宋体" w:hAnsi="宋体" w:cs="宋体"/>
          <w:szCs w:val="21"/>
        </w:rPr>
        <w:t>关于贵公司发布</w:t>
      </w:r>
      <w:bookmarkStart w:id="0" w:name="_GoBack"/>
      <w:r>
        <w:rPr>
          <w:rFonts w:hint="eastAsia" w:ascii="宋体" w:hAnsi="宋体" w:eastAsia="宋体" w:cs="宋体"/>
          <w:b/>
          <w:bCs/>
          <w:sz w:val="21"/>
          <w:szCs w:val="21"/>
          <w:u w:val="single"/>
          <w:lang w:eastAsia="zh-CN"/>
        </w:rPr>
        <w:t>消耗品采购项目</w:t>
      </w:r>
      <w:r>
        <w:rPr>
          <w:rFonts w:hint="eastAsia" w:ascii="宋体" w:hAnsi="宋体" w:cs="宋体"/>
          <w:b/>
          <w:bCs/>
          <w:sz w:val="21"/>
          <w:szCs w:val="21"/>
          <w:u w:val="single"/>
          <w:lang w:val="en-US" w:eastAsia="zh-CN"/>
        </w:rPr>
        <w:t>105</w:t>
      </w:r>
      <w:bookmarkEnd w:id="0"/>
      <w:r>
        <w:rPr>
          <w:rFonts w:hint="eastAsia" w:ascii="宋体" w:hAnsi="宋体" w:cs="宋体"/>
          <w:szCs w:val="21"/>
        </w:rPr>
        <w:t>的采购公告，本公司（企业）愿意参加竞价，并声明：</w:t>
      </w:r>
    </w:p>
    <w:p>
      <w:pPr>
        <w:snapToGrid w:val="0"/>
        <w:spacing w:line="360" w:lineRule="auto"/>
        <w:ind w:firstLine="460" w:firstLineChars="200"/>
        <w:rPr>
          <w:rFonts w:ascii="宋体" w:hAnsi="宋体" w:cs="宋体"/>
          <w:bCs/>
          <w:szCs w:val="21"/>
        </w:rPr>
      </w:pPr>
      <w:r>
        <w:rPr>
          <w:rFonts w:hint="eastAsia" w:ascii="宋体" w:hAnsi="宋体" w:cs="宋体"/>
          <w:szCs w:val="21"/>
        </w:rPr>
        <w:t>一、本公司（企业）</w:t>
      </w:r>
      <w:r>
        <w:rPr>
          <w:rFonts w:hint="eastAsia" w:ascii="宋体" w:hAnsi="宋体" w:cs="宋体"/>
          <w:bCs/>
          <w:szCs w:val="21"/>
        </w:rPr>
        <w:t>具备《中华人民共和国政府采购法》第二十二条规定的条件：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（二）具有良好的商业信誉和健全的财务会计制度； </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64" w:firstLineChars="202"/>
        <w:rPr>
          <w:rFonts w:ascii="宋体" w:hAnsi="宋体" w:cs="宋体"/>
          <w:szCs w:val="21"/>
        </w:rPr>
      </w:pPr>
      <w:r>
        <w:rPr>
          <w:rFonts w:hint="eastAsia" w:ascii="宋体" w:hAnsi="宋体" w:cs="宋体"/>
          <w:szCs w:val="21"/>
        </w:rPr>
        <w:t>二、本公司具有本次采购项目服务能力。</w:t>
      </w:r>
    </w:p>
    <w:p>
      <w:pPr>
        <w:snapToGrid w:val="0"/>
        <w:spacing w:line="360" w:lineRule="auto"/>
        <w:ind w:firstLine="464" w:firstLineChars="202"/>
        <w:rPr>
          <w:rFonts w:ascii="宋体" w:hAnsi="宋体" w:cs="宋体"/>
          <w:szCs w:val="21"/>
        </w:rPr>
      </w:pPr>
      <w:r>
        <w:rPr>
          <w:rFonts w:hint="eastAsia" w:ascii="宋体" w:hAnsi="宋体" w:cs="宋体"/>
          <w:szCs w:val="21"/>
        </w:rPr>
        <w:t>三、本公司有固定的经营场所，信誉良好、售后维护服务好，并且在经营活动中无严重违法记录。</w:t>
      </w:r>
    </w:p>
    <w:p>
      <w:pPr>
        <w:snapToGrid w:val="0"/>
        <w:spacing w:line="360" w:lineRule="auto"/>
        <w:ind w:firstLine="464" w:firstLineChars="202"/>
        <w:rPr>
          <w:rFonts w:ascii="宋体" w:hAnsi="宋体" w:cs="宋体"/>
          <w:szCs w:val="21"/>
        </w:rPr>
      </w:pPr>
      <w:r>
        <w:rPr>
          <w:rFonts w:hint="eastAsia" w:ascii="宋体" w:hAnsi="宋体" w:cs="宋体"/>
          <w:szCs w:val="21"/>
        </w:rPr>
        <w:t>四、本公司在本项目中不转包且不联合竞价。</w:t>
      </w:r>
    </w:p>
    <w:p>
      <w:pPr>
        <w:snapToGrid w:val="0"/>
        <w:spacing w:line="360" w:lineRule="auto"/>
        <w:ind w:firstLine="46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spacing w:line="360" w:lineRule="auto"/>
        <w:ind w:firstLine="420"/>
        <w:rPr>
          <w:rFonts w:ascii="宋体" w:hAnsi="宋体" w:cs="宋体"/>
          <w:szCs w:val="21"/>
        </w:rPr>
      </w:pPr>
      <w:r>
        <w:rPr>
          <w:rFonts w:hint="eastAsia" w:ascii="宋体" w:hAnsi="宋体" w:cs="宋体"/>
          <w:szCs w:val="21"/>
        </w:rPr>
        <w:t>特此声明！</w:t>
      </w:r>
    </w:p>
    <w:p>
      <w:pPr>
        <w:autoSpaceDE w:val="0"/>
        <w:autoSpaceDN w:val="0"/>
        <w:adjustRightInd w:val="0"/>
        <w:spacing w:line="360" w:lineRule="auto"/>
        <w:ind w:firstLine="452" w:firstLineChars="196"/>
        <w:rPr>
          <w:rFonts w:ascii="宋体" w:hAnsi="宋体" w:cs="宋体"/>
          <w:b/>
          <w:szCs w:val="21"/>
        </w:rPr>
      </w:pPr>
      <w:r>
        <w:rPr>
          <w:rFonts w:hint="eastAsia" w:ascii="宋体" w:hAnsi="宋体" w:cs="宋体"/>
          <w:b/>
          <w:szCs w:val="21"/>
        </w:rPr>
        <w:t>备注：</w:t>
      </w:r>
    </w:p>
    <w:p>
      <w:pPr>
        <w:numPr>
          <w:ilvl w:val="0"/>
          <w:numId w:val="20"/>
        </w:numPr>
        <w:autoSpaceDE w:val="0"/>
        <w:autoSpaceDN w:val="0"/>
        <w:adjustRightInd w:val="0"/>
        <w:spacing w:line="360" w:lineRule="auto"/>
        <w:rPr>
          <w:rFonts w:ascii="宋体" w:hAnsi="宋体" w:cs="宋体"/>
          <w:szCs w:val="21"/>
        </w:rPr>
      </w:pPr>
      <w:r>
        <w:rPr>
          <w:rFonts w:hint="eastAsia" w:ascii="宋体" w:hAnsi="宋体" w:cs="宋体"/>
          <w:szCs w:val="21"/>
        </w:rPr>
        <w:t>本声明函必须提供且内容不得擅自删改，否则视为响应无效。</w:t>
      </w:r>
    </w:p>
    <w:p>
      <w:pPr>
        <w:numPr>
          <w:ilvl w:val="0"/>
          <w:numId w:val="20"/>
        </w:numPr>
        <w:snapToGrid w:val="0"/>
        <w:spacing w:line="360" w:lineRule="auto"/>
        <w:rPr>
          <w:rFonts w:ascii="宋体" w:hAnsi="宋体" w:cs="宋体"/>
          <w:szCs w:val="21"/>
        </w:rPr>
      </w:pPr>
      <w:r>
        <w:rPr>
          <w:rFonts w:hint="eastAsia" w:ascii="宋体" w:hAnsi="宋体" w:cs="宋体"/>
          <w:szCs w:val="21"/>
        </w:rPr>
        <w:t>本声明函如有虚假或与事实不符的，作无效报价处理。</w:t>
      </w:r>
    </w:p>
    <w:p>
      <w:pPr>
        <w:autoSpaceDE w:val="0"/>
        <w:autoSpaceDN w:val="0"/>
        <w:adjustRightInd w:val="0"/>
        <w:spacing w:line="360" w:lineRule="auto"/>
        <w:rPr>
          <w:rFonts w:ascii="宋体" w:hAnsi="宋体" w:cs="宋体"/>
          <w:b/>
          <w:szCs w:val="21"/>
        </w:rPr>
      </w:pPr>
    </w:p>
    <w:p>
      <w:pPr>
        <w:spacing w:line="360" w:lineRule="auto"/>
        <w:ind w:firstLine="420"/>
        <w:jc w:val="right"/>
        <w:rPr>
          <w:rFonts w:ascii="宋体" w:hAnsi="宋体" w:cs="宋体"/>
          <w:szCs w:val="21"/>
          <w:u w:val="single"/>
        </w:rPr>
      </w:pPr>
      <w:r>
        <w:rPr>
          <w:rFonts w:hint="eastAsia" w:ascii="宋体" w:hAnsi="宋体" w:cs="宋体"/>
          <w:szCs w:val="21"/>
        </w:rPr>
        <w:t>供应商名称（单位盖</w:t>
      </w:r>
      <w:r>
        <w:rPr>
          <w:rFonts w:hint="eastAsia" w:ascii="宋体" w:hAnsi="宋体" w:cs="宋体"/>
          <w:spacing w:val="4"/>
          <w:szCs w:val="21"/>
        </w:rPr>
        <w:t>公章</w:t>
      </w:r>
      <w:r>
        <w:rPr>
          <w:rFonts w:hint="eastAsia" w:ascii="宋体" w:hAnsi="宋体" w:cs="宋体"/>
          <w:szCs w:val="21"/>
        </w:rPr>
        <w:t>）：</w:t>
      </w:r>
      <w:r>
        <w:rPr>
          <w:rFonts w:hint="eastAsia" w:ascii="宋体" w:hAnsi="宋体" w:cs="宋体"/>
          <w:szCs w:val="21"/>
          <w:u w:val="single"/>
        </w:rPr>
        <w:t xml:space="preserve">                          </w:t>
      </w:r>
    </w:p>
    <w:p>
      <w:pPr>
        <w:spacing w:line="360" w:lineRule="auto"/>
        <w:ind w:firstLine="460" w:firstLineChars="200"/>
        <w:jc w:val="right"/>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pPr>
        <w:widowControl/>
        <w:jc w:val="left"/>
        <w:rPr>
          <w:rFonts w:ascii="宋体" w:hAnsi="宋体" w:cs="宋体"/>
          <w:szCs w:val="21"/>
          <w:u w:val="single"/>
        </w:rPr>
      </w:pPr>
    </w:p>
    <w:p>
      <w:pPr>
        <w:spacing w:line="360" w:lineRule="auto"/>
        <w:ind w:firstLine="460" w:firstLineChars="200"/>
        <w:jc w:val="right"/>
        <w:rPr>
          <w:rFonts w:ascii="宋体" w:hAnsi="宋体" w:cs="宋体"/>
          <w:szCs w:val="21"/>
          <w:u w:val="single"/>
        </w:rPr>
      </w:pPr>
    </w:p>
    <w:p>
      <w:pPr>
        <w:ind w:firstLine="5290" w:firstLineChars="2300"/>
      </w:pPr>
    </w:p>
    <w:p>
      <w:pPr>
        <w:widowControl/>
        <w:jc w:val="left"/>
      </w:pPr>
      <w:r>
        <w:br w:type="page"/>
      </w:r>
    </w:p>
    <w:p>
      <w:pPr>
        <w:keepNext/>
        <w:spacing w:after="240" w:line="360" w:lineRule="auto"/>
        <w:ind w:left="720" w:hanging="360"/>
        <w:jc w:val="center"/>
        <w:outlineLvl w:val="1"/>
        <w:rPr>
          <w:rFonts w:ascii="宋体" w:hAnsi="宋体"/>
          <w:b/>
          <w:bCs/>
          <w:kern w:val="0"/>
          <w:sz w:val="32"/>
          <w:szCs w:val="32"/>
        </w:rPr>
      </w:pPr>
      <w:r>
        <w:rPr>
          <w:rFonts w:hint="eastAsia" w:ascii="宋体" w:hAnsi="宋体"/>
          <w:b/>
          <w:bCs/>
          <w:kern w:val="0"/>
          <w:sz w:val="32"/>
          <w:szCs w:val="32"/>
        </w:rPr>
        <w:t>用户需求书响应声明函</w:t>
      </w:r>
    </w:p>
    <w:p>
      <w:pPr>
        <w:spacing w:line="360" w:lineRule="auto"/>
        <w:rPr>
          <w:rFonts w:ascii="宋体" w:hAnsi="宋体"/>
          <w:b/>
          <w:szCs w:val="21"/>
        </w:rPr>
      </w:pPr>
      <w:r>
        <w:rPr>
          <w:rFonts w:hint="eastAsia" w:ascii="宋体" w:hAnsi="宋体"/>
          <w:b/>
          <w:szCs w:val="21"/>
        </w:rPr>
        <w:t>致：广东省佛山生态环境监测站、云采链（广州）信息科技有限公司</w:t>
      </w:r>
    </w:p>
    <w:p>
      <w:pPr>
        <w:spacing w:line="360" w:lineRule="auto"/>
        <w:rPr>
          <w:rFonts w:ascii="宋体" w:hAnsi="宋体"/>
          <w:szCs w:val="22"/>
          <w:lang w:val="zh-CN"/>
        </w:rPr>
      </w:pPr>
    </w:p>
    <w:p>
      <w:pPr>
        <w:spacing w:line="360" w:lineRule="auto"/>
        <w:jc w:val="left"/>
        <w:rPr>
          <w:rFonts w:ascii="宋体" w:hAnsi="宋体"/>
          <w:szCs w:val="21"/>
        </w:rPr>
      </w:pPr>
      <w:r>
        <w:rPr>
          <w:rFonts w:hint="eastAsia" w:ascii="宋体" w:hAnsi="宋体"/>
          <w:szCs w:val="21"/>
        </w:rPr>
        <w:t>关于贵单位、贵司发布</w:t>
      </w:r>
      <w:r>
        <w:rPr>
          <w:rFonts w:hint="eastAsia" w:ascii="宋体" w:hAnsi="宋体" w:eastAsia="宋体" w:cs="宋体"/>
          <w:b/>
          <w:bCs/>
          <w:sz w:val="21"/>
          <w:szCs w:val="21"/>
          <w:u w:val="single"/>
          <w:lang w:eastAsia="zh-CN"/>
        </w:rPr>
        <w:t>消耗品采购项目</w:t>
      </w:r>
      <w:r>
        <w:rPr>
          <w:rFonts w:hint="eastAsia" w:ascii="宋体" w:hAnsi="宋体" w:cs="宋体"/>
          <w:b/>
          <w:bCs/>
          <w:sz w:val="21"/>
          <w:szCs w:val="21"/>
          <w:u w:val="single"/>
          <w:lang w:val="en-US" w:eastAsia="zh-CN"/>
        </w:rPr>
        <w:t>105</w:t>
      </w:r>
      <w:r>
        <w:rPr>
          <w:rFonts w:hint="eastAsia" w:ascii="宋体" w:hAnsi="宋体"/>
          <w:szCs w:val="21"/>
        </w:rPr>
        <w:t>的竞价公告，本公司（企业）愿意参加采购活动，并作出如下声明：</w:t>
      </w:r>
    </w:p>
    <w:p>
      <w:pPr>
        <w:tabs>
          <w:tab w:val="left" w:pos="426"/>
        </w:tabs>
        <w:snapToGrid w:val="0"/>
        <w:spacing w:line="480" w:lineRule="auto"/>
        <w:ind w:firstLine="420"/>
        <w:rPr>
          <w:rFonts w:ascii="宋体" w:hAnsi="宋体"/>
          <w:kern w:val="0"/>
          <w:szCs w:val="21"/>
        </w:rPr>
      </w:pPr>
      <w:r>
        <w:rPr>
          <w:rFonts w:hint="eastAsia" w:ascii="宋体" w:hAnsi="宋体"/>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480" w:lineRule="auto"/>
        <w:ind w:firstLine="420"/>
        <w:rPr>
          <w:rFonts w:ascii="宋体" w:hAnsi="宋体" w:cs="宋体"/>
          <w:kern w:val="0"/>
          <w:szCs w:val="21"/>
        </w:rPr>
      </w:pPr>
      <w:r>
        <w:rPr>
          <w:rFonts w:hint="eastAsia" w:ascii="宋体" w:hAnsi="宋体" w:cs="宋体"/>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480" w:lineRule="auto"/>
        <w:ind w:firstLine="452" w:firstLineChars="196"/>
        <w:rPr>
          <w:rFonts w:ascii="宋体" w:hAnsi="宋体"/>
          <w:b/>
          <w:szCs w:val="22"/>
        </w:rPr>
      </w:pPr>
      <w:r>
        <w:rPr>
          <w:rFonts w:hint="eastAsia" w:ascii="宋体" w:hAnsi="宋体"/>
          <w:b/>
          <w:szCs w:val="22"/>
        </w:rPr>
        <w:t>备注：</w:t>
      </w:r>
    </w:p>
    <w:p>
      <w:pPr>
        <w:widowControl/>
        <w:numPr>
          <w:ilvl w:val="0"/>
          <w:numId w:val="21"/>
        </w:numPr>
        <w:autoSpaceDE w:val="0"/>
        <w:autoSpaceDN w:val="0"/>
        <w:adjustRightInd w:val="0"/>
        <w:spacing w:line="480" w:lineRule="auto"/>
        <w:jc w:val="left"/>
        <w:rPr>
          <w:rFonts w:ascii="宋体" w:hAnsi="宋体"/>
          <w:szCs w:val="22"/>
        </w:rPr>
      </w:pPr>
      <w:r>
        <w:rPr>
          <w:rFonts w:hint="eastAsia" w:ascii="宋体" w:hAnsi="宋体"/>
          <w:szCs w:val="22"/>
        </w:rPr>
        <w:t>本声明函必须提供且内容不得擅自删改，否则视为响应无效。</w:t>
      </w:r>
    </w:p>
    <w:p>
      <w:pPr>
        <w:widowControl/>
        <w:numPr>
          <w:ilvl w:val="0"/>
          <w:numId w:val="21"/>
        </w:numPr>
        <w:snapToGrid w:val="0"/>
        <w:spacing w:line="480" w:lineRule="auto"/>
        <w:jc w:val="left"/>
        <w:rPr>
          <w:rFonts w:ascii="宋体" w:hAnsi="宋体"/>
          <w:szCs w:val="21"/>
        </w:rPr>
      </w:pPr>
      <w:r>
        <w:rPr>
          <w:rFonts w:hint="eastAsia" w:ascii="宋体" w:hAnsi="宋体"/>
          <w:szCs w:val="21"/>
        </w:rPr>
        <w:t>本声明函如有虚假或与事实不符的，作无效报价处理。</w:t>
      </w:r>
    </w:p>
    <w:p>
      <w:pPr>
        <w:widowControl/>
        <w:spacing w:line="480" w:lineRule="auto"/>
        <w:jc w:val="left"/>
        <w:rPr>
          <w:rFonts w:ascii="宋体" w:hAnsi="宋体"/>
          <w:b/>
          <w:bCs/>
          <w:kern w:val="0"/>
          <w:sz w:val="32"/>
          <w:szCs w:val="32"/>
        </w:rPr>
      </w:pPr>
    </w:p>
    <w:p>
      <w:pPr>
        <w:wordWrap w:val="0"/>
        <w:spacing w:line="360" w:lineRule="auto"/>
        <w:ind w:right="763"/>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rPr>
          <w:rFonts w:ascii="Calibri" w:hAnsi="Calibri"/>
          <w:szCs w:val="22"/>
        </w:rPr>
      </w:pPr>
    </w:p>
    <w:p>
      <w:pPr>
        <w:ind w:firstLine="7303" w:firstLineChars="3350"/>
        <w:rPr>
          <w:rFonts w:ascii="宋体" w:hAnsi="宋体"/>
        </w:rPr>
      </w:pPr>
      <w:r>
        <w:rPr>
          <w:rFonts w:hint="eastAsia" w:ascii="宋体" w:hAnsi="宋体"/>
          <w:spacing w:val="4"/>
          <w:szCs w:val="21"/>
        </w:rPr>
        <w:t xml:space="preserve">日期： </w:t>
      </w:r>
    </w:p>
    <w:sectPr>
      <w:footerReference r:id="rId3" w:type="default"/>
      <w:pgSz w:w="11906" w:h="16838"/>
      <w:pgMar w:top="1417" w:right="1417" w:bottom="1417" w:left="1417" w:header="851" w:footer="992" w:gutter="0"/>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882C8"/>
    <w:multiLevelType w:val="singleLevel"/>
    <w:tmpl w:val="D3D882C8"/>
    <w:lvl w:ilvl="0" w:tentative="0">
      <w:start w:val="1"/>
      <w:numFmt w:val="chineseCounting"/>
      <w:suff w:val="nothing"/>
      <w:lvlText w:val="（%1）"/>
      <w:lvlJc w:val="left"/>
      <w:pPr>
        <w:ind w:left="161"/>
      </w:pPr>
      <w:rPr>
        <w:rFonts w:hint="eastAsia"/>
      </w:rPr>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FFA1C3D"/>
    <w:multiLevelType w:val="multilevel"/>
    <w:tmpl w:val="3FFA1C3D"/>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485817B9"/>
    <w:multiLevelType w:val="multilevel"/>
    <w:tmpl w:val="485817B9"/>
    <w:lvl w:ilvl="0" w:tentative="0">
      <w:start w:val="1"/>
      <w:numFmt w:val="decimal"/>
      <w:lvlText w:val="%1."/>
      <w:lvlJc w:val="left"/>
      <w:pPr>
        <w:tabs>
          <w:tab w:val="left" w:pos="425"/>
        </w:tabs>
        <w:ind w:left="425" w:hanging="425"/>
      </w:pPr>
      <w:rPr>
        <w:rFonts w:ascii="宋体" w:hAnsi="宋体" w:eastAsia="宋体"/>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F27619F"/>
    <w:multiLevelType w:val="singleLevel"/>
    <w:tmpl w:val="4F27619F"/>
    <w:lvl w:ilvl="0" w:tentative="0">
      <w:start w:val="3"/>
      <w:numFmt w:val="chineseCounting"/>
      <w:suff w:val="nothing"/>
      <w:lvlText w:val="%1、"/>
      <w:lvlJc w:val="left"/>
      <w:rPr>
        <w:rFonts w:hint="eastAsia"/>
      </w:r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6225BA3"/>
    <w:multiLevelType w:val="multilevel"/>
    <w:tmpl w:val="66225BA3"/>
    <w:lvl w:ilvl="0" w:tentative="0">
      <w:start w:val="1"/>
      <w:numFmt w:val="decimal"/>
      <w:suff w:val="space"/>
      <w:lvlText w:val="%1."/>
      <w:lvlJc w:val="left"/>
      <w:pPr>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AE5F84"/>
    <w:multiLevelType w:val="multilevel"/>
    <w:tmpl w:val="72AE5F84"/>
    <w:lvl w:ilvl="0" w:tentative="0">
      <w:start w:val="1"/>
      <w:numFmt w:val="chineseCountingThousand"/>
      <w:lvlText w:val="(%1)"/>
      <w:lvlJc w:val="left"/>
      <w:pPr>
        <w:ind w:left="650" w:hanging="420"/>
      </w:pPr>
    </w:lvl>
    <w:lvl w:ilvl="1" w:tentative="0">
      <w:start w:val="1"/>
      <w:numFmt w:val="lowerLetter"/>
      <w:lvlText w:val="%2)"/>
      <w:lvlJc w:val="left"/>
      <w:pPr>
        <w:ind w:left="1070" w:hanging="420"/>
      </w:pPr>
    </w:lvl>
    <w:lvl w:ilvl="2" w:tentative="0">
      <w:start w:val="1"/>
      <w:numFmt w:val="lowerRoman"/>
      <w:lvlText w:val="%3."/>
      <w:lvlJc w:val="right"/>
      <w:pPr>
        <w:ind w:left="1490" w:hanging="420"/>
      </w:pPr>
    </w:lvl>
    <w:lvl w:ilvl="3" w:tentative="0">
      <w:start w:val="1"/>
      <w:numFmt w:val="decimal"/>
      <w:lvlText w:val="%4."/>
      <w:lvlJc w:val="left"/>
      <w:pPr>
        <w:ind w:left="1910" w:hanging="420"/>
      </w:pPr>
    </w:lvl>
    <w:lvl w:ilvl="4" w:tentative="0">
      <w:start w:val="1"/>
      <w:numFmt w:val="lowerLetter"/>
      <w:lvlText w:val="%5)"/>
      <w:lvlJc w:val="left"/>
      <w:pPr>
        <w:ind w:left="2330" w:hanging="420"/>
      </w:pPr>
    </w:lvl>
    <w:lvl w:ilvl="5" w:tentative="0">
      <w:start w:val="1"/>
      <w:numFmt w:val="lowerRoman"/>
      <w:lvlText w:val="%6."/>
      <w:lvlJc w:val="right"/>
      <w:pPr>
        <w:ind w:left="2750" w:hanging="420"/>
      </w:pPr>
    </w:lvl>
    <w:lvl w:ilvl="6" w:tentative="0">
      <w:start w:val="1"/>
      <w:numFmt w:val="decimal"/>
      <w:lvlText w:val="%7."/>
      <w:lvlJc w:val="left"/>
      <w:pPr>
        <w:ind w:left="3170" w:hanging="420"/>
      </w:pPr>
    </w:lvl>
    <w:lvl w:ilvl="7" w:tentative="0">
      <w:start w:val="1"/>
      <w:numFmt w:val="lowerLetter"/>
      <w:lvlText w:val="%8)"/>
      <w:lvlJc w:val="left"/>
      <w:pPr>
        <w:ind w:left="3590" w:hanging="420"/>
      </w:pPr>
    </w:lvl>
    <w:lvl w:ilvl="8" w:tentative="0">
      <w:start w:val="1"/>
      <w:numFmt w:val="lowerRoman"/>
      <w:lvlText w:val="%9."/>
      <w:lvlJc w:val="right"/>
      <w:pPr>
        <w:ind w:left="4010" w:hanging="420"/>
      </w:pPr>
    </w:lvl>
  </w:abstractNum>
  <w:abstractNum w:abstractNumId="20">
    <w:nsid w:val="76E92880"/>
    <w:multiLevelType w:val="multilevel"/>
    <w:tmpl w:val="76E92880"/>
    <w:lvl w:ilvl="0" w:tentative="0">
      <w:start w:val="1"/>
      <w:numFmt w:val="decimal"/>
      <w:suff w:val="nothing"/>
      <w:lvlText w:val="%1)"/>
      <w:lvlJc w:val="left"/>
      <w:pPr>
        <w:ind w:left="840" w:hanging="420"/>
      </w:pPr>
      <w:rPr>
        <w:rFonts w:hint="eastAsia" w:ascii="宋体" w:hAnsi="宋体" w:eastAsia="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8"/>
  </w:num>
  <w:num w:numId="2">
    <w:abstractNumId w:val="9"/>
  </w:num>
  <w:num w:numId="3">
    <w:abstractNumId w:val="5"/>
  </w:num>
  <w:num w:numId="4">
    <w:abstractNumId w:val="20"/>
  </w:num>
  <w:num w:numId="5">
    <w:abstractNumId w:val="16"/>
  </w:num>
  <w:num w:numId="6">
    <w:abstractNumId w:val="2"/>
  </w:num>
  <w:num w:numId="7">
    <w:abstractNumId w:val="3"/>
  </w:num>
  <w:num w:numId="8">
    <w:abstractNumId w:val="10"/>
  </w:num>
  <w:num w:numId="9">
    <w:abstractNumId w:val="4"/>
  </w:num>
  <w:num w:numId="10">
    <w:abstractNumId w:val="6"/>
  </w:num>
  <w:num w:numId="11">
    <w:abstractNumId w:val="15"/>
  </w:num>
  <w:num w:numId="12">
    <w:abstractNumId w:val="0"/>
  </w:num>
  <w:num w:numId="13">
    <w:abstractNumId w:val="19"/>
  </w:num>
  <w:num w:numId="14">
    <w:abstractNumId w:val="17"/>
  </w:num>
  <w:num w:numId="15">
    <w:abstractNumId w:val="11"/>
  </w:num>
  <w:num w:numId="16">
    <w:abstractNumId w:val="13"/>
  </w:num>
  <w:num w:numId="17">
    <w:abstractNumId w:val="1"/>
  </w:num>
  <w:num w:numId="18">
    <w:abstractNumId w:val="12"/>
  </w:num>
  <w:num w:numId="19">
    <w:abstractNumId w:val="18"/>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73786908"/>
    <w:rsid w:val="00030656"/>
    <w:rsid w:val="00047769"/>
    <w:rsid w:val="00062FAF"/>
    <w:rsid w:val="00067EF6"/>
    <w:rsid w:val="00072BCD"/>
    <w:rsid w:val="00073273"/>
    <w:rsid w:val="000909A3"/>
    <w:rsid w:val="000965FB"/>
    <w:rsid w:val="000C2CEE"/>
    <w:rsid w:val="000F2628"/>
    <w:rsid w:val="000F6911"/>
    <w:rsid w:val="000F6A13"/>
    <w:rsid w:val="001127B3"/>
    <w:rsid w:val="00123165"/>
    <w:rsid w:val="00125E7A"/>
    <w:rsid w:val="00127547"/>
    <w:rsid w:val="0013780A"/>
    <w:rsid w:val="0014726E"/>
    <w:rsid w:val="0015220E"/>
    <w:rsid w:val="001535F7"/>
    <w:rsid w:val="0017253A"/>
    <w:rsid w:val="00183A19"/>
    <w:rsid w:val="0018728A"/>
    <w:rsid w:val="00192D53"/>
    <w:rsid w:val="00196D6C"/>
    <w:rsid w:val="001A06A4"/>
    <w:rsid w:val="001A7A2A"/>
    <w:rsid w:val="001B2A38"/>
    <w:rsid w:val="001B6CD5"/>
    <w:rsid w:val="001D205C"/>
    <w:rsid w:val="001F41F1"/>
    <w:rsid w:val="002003E6"/>
    <w:rsid w:val="00212778"/>
    <w:rsid w:val="00224E4B"/>
    <w:rsid w:val="00226271"/>
    <w:rsid w:val="002347F1"/>
    <w:rsid w:val="002737BD"/>
    <w:rsid w:val="0028065C"/>
    <w:rsid w:val="002806BA"/>
    <w:rsid w:val="002866AF"/>
    <w:rsid w:val="00294082"/>
    <w:rsid w:val="002B1B90"/>
    <w:rsid w:val="002B5A56"/>
    <w:rsid w:val="002C5050"/>
    <w:rsid w:val="002D4924"/>
    <w:rsid w:val="002D644A"/>
    <w:rsid w:val="002E3074"/>
    <w:rsid w:val="002E62F9"/>
    <w:rsid w:val="002F536B"/>
    <w:rsid w:val="00301AB0"/>
    <w:rsid w:val="0031114D"/>
    <w:rsid w:val="0031422C"/>
    <w:rsid w:val="003450C9"/>
    <w:rsid w:val="00354B4A"/>
    <w:rsid w:val="00355158"/>
    <w:rsid w:val="00366715"/>
    <w:rsid w:val="00367F08"/>
    <w:rsid w:val="00372BF7"/>
    <w:rsid w:val="00372E1F"/>
    <w:rsid w:val="00383E2C"/>
    <w:rsid w:val="00386B9B"/>
    <w:rsid w:val="00390FDD"/>
    <w:rsid w:val="003B2839"/>
    <w:rsid w:val="003B2D4E"/>
    <w:rsid w:val="003D4189"/>
    <w:rsid w:val="003D4C43"/>
    <w:rsid w:val="003F29E8"/>
    <w:rsid w:val="004001EC"/>
    <w:rsid w:val="004148DC"/>
    <w:rsid w:val="00477745"/>
    <w:rsid w:val="00484BDD"/>
    <w:rsid w:val="00495FB7"/>
    <w:rsid w:val="00497E40"/>
    <w:rsid w:val="004A0E42"/>
    <w:rsid w:val="004A7833"/>
    <w:rsid w:val="004D328C"/>
    <w:rsid w:val="004E2DCB"/>
    <w:rsid w:val="004E39A2"/>
    <w:rsid w:val="004F353C"/>
    <w:rsid w:val="004F5CC4"/>
    <w:rsid w:val="004F7FE6"/>
    <w:rsid w:val="0050289F"/>
    <w:rsid w:val="005044FF"/>
    <w:rsid w:val="0051393A"/>
    <w:rsid w:val="00517780"/>
    <w:rsid w:val="00540A17"/>
    <w:rsid w:val="00542D6A"/>
    <w:rsid w:val="00550D97"/>
    <w:rsid w:val="0056400E"/>
    <w:rsid w:val="00582270"/>
    <w:rsid w:val="00593EF9"/>
    <w:rsid w:val="00597ECA"/>
    <w:rsid w:val="005A40EE"/>
    <w:rsid w:val="005B4939"/>
    <w:rsid w:val="005B6BB7"/>
    <w:rsid w:val="005D6BB7"/>
    <w:rsid w:val="005D7F7D"/>
    <w:rsid w:val="005E486C"/>
    <w:rsid w:val="005F06D3"/>
    <w:rsid w:val="005F30E2"/>
    <w:rsid w:val="006029E4"/>
    <w:rsid w:val="00610DBC"/>
    <w:rsid w:val="00663CB6"/>
    <w:rsid w:val="0066436C"/>
    <w:rsid w:val="0067248F"/>
    <w:rsid w:val="006749C7"/>
    <w:rsid w:val="00677B11"/>
    <w:rsid w:val="00681E17"/>
    <w:rsid w:val="00682684"/>
    <w:rsid w:val="00683493"/>
    <w:rsid w:val="00684348"/>
    <w:rsid w:val="006846E7"/>
    <w:rsid w:val="0069702C"/>
    <w:rsid w:val="006A1C42"/>
    <w:rsid w:val="006A21EB"/>
    <w:rsid w:val="006B7DE0"/>
    <w:rsid w:val="006C1A42"/>
    <w:rsid w:val="006C2ADF"/>
    <w:rsid w:val="006D1920"/>
    <w:rsid w:val="006D5C9A"/>
    <w:rsid w:val="006F21C2"/>
    <w:rsid w:val="006F7A45"/>
    <w:rsid w:val="00706897"/>
    <w:rsid w:val="007178A2"/>
    <w:rsid w:val="0073000E"/>
    <w:rsid w:val="00735B4F"/>
    <w:rsid w:val="00742B59"/>
    <w:rsid w:val="00755CA3"/>
    <w:rsid w:val="007643A0"/>
    <w:rsid w:val="00765775"/>
    <w:rsid w:val="0077412E"/>
    <w:rsid w:val="00793681"/>
    <w:rsid w:val="007C1093"/>
    <w:rsid w:val="007C2818"/>
    <w:rsid w:val="007C3E88"/>
    <w:rsid w:val="007D265B"/>
    <w:rsid w:val="007D31A8"/>
    <w:rsid w:val="007D6E0F"/>
    <w:rsid w:val="007E4EAA"/>
    <w:rsid w:val="007E5C7A"/>
    <w:rsid w:val="007F78C9"/>
    <w:rsid w:val="008065B8"/>
    <w:rsid w:val="00806FAE"/>
    <w:rsid w:val="00815DD4"/>
    <w:rsid w:val="0081718C"/>
    <w:rsid w:val="00826FC8"/>
    <w:rsid w:val="00854AF0"/>
    <w:rsid w:val="008567ED"/>
    <w:rsid w:val="008634FB"/>
    <w:rsid w:val="00870593"/>
    <w:rsid w:val="008816D2"/>
    <w:rsid w:val="00884806"/>
    <w:rsid w:val="00884D9C"/>
    <w:rsid w:val="0089408E"/>
    <w:rsid w:val="008955FD"/>
    <w:rsid w:val="00896974"/>
    <w:rsid w:val="008A0964"/>
    <w:rsid w:val="008D00FD"/>
    <w:rsid w:val="008D313C"/>
    <w:rsid w:val="008E575F"/>
    <w:rsid w:val="008F2F15"/>
    <w:rsid w:val="00915933"/>
    <w:rsid w:val="00917A4D"/>
    <w:rsid w:val="00922E56"/>
    <w:rsid w:val="00937A69"/>
    <w:rsid w:val="009511CE"/>
    <w:rsid w:val="00970B5B"/>
    <w:rsid w:val="00974145"/>
    <w:rsid w:val="009828C7"/>
    <w:rsid w:val="00991D9E"/>
    <w:rsid w:val="0099515B"/>
    <w:rsid w:val="009A11B9"/>
    <w:rsid w:val="009A3DFD"/>
    <w:rsid w:val="009A4664"/>
    <w:rsid w:val="009C4878"/>
    <w:rsid w:val="009D4FB9"/>
    <w:rsid w:val="009D5AE0"/>
    <w:rsid w:val="009D6593"/>
    <w:rsid w:val="009E7670"/>
    <w:rsid w:val="00A02D4A"/>
    <w:rsid w:val="00A05C1B"/>
    <w:rsid w:val="00A21AA3"/>
    <w:rsid w:val="00A3127A"/>
    <w:rsid w:val="00A325AA"/>
    <w:rsid w:val="00A33A28"/>
    <w:rsid w:val="00A745EC"/>
    <w:rsid w:val="00A74D6F"/>
    <w:rsid w:val="00A80DBF"/>
    <w:rsid w:val="00A82FA5"/>
    <w:rsid w:val="00A831C1"/>
    <w:rsid w:val="00A832FF"/>
    <w:rsid w:val="00A84004"/>
    <w:rsid w:val="00A92571"/>
    <w:rsid w:val="00AB2CBB"/>
    <w:rsid w:val="00AB4DC6"/>
    <w:rsid w:val="00AB60FE"/>
    <w:rsid w:val="00AC1438"/>
    <w:rsid w:val="00AC3A3C"/>
    <w:rsid w:val="00AD03DF"/>
    <w:rsid w:val="00AD67FB"/>
    <w:rsid w:val="00B0001C"/>
    <w:rsid w:val="00B00593"/>
    <w:rsid w:val="00B0287E"/>
    <w:rsid w:val="00B131E7"/>
    <w:rsid w:val="00B132B6"/>
    <w:rsid w:val="00B14C24"/>
    <w:rsid w:val="00B264D6"/>
    <w:rsid w:val="00B272D1"/>
    <w:rsid w:val="00B574C6"/>
    <w:rsid w:val="00B6069E"/>
    <w:rsid w:val="00B70525"/>
    <w:rsid w:val="00B758AF"/>
    <w:rsid w:val="00B81E1E"/>
    <w:rsid w:val="00B8768A"/>
    <w:rsid w:val="00B9263E"/>
    <w:rsid w:val="00B929D6"/>
    <w:rsid w:val="00B9716D"/>
    <w:rsid w:val="00BA617E"/>
    <w:rsid w:val="00BB4D8C"/>
    <w:rsid w:val="00BC08A4"/>
    <w:rsid w:val="00BE2BA4"/>
    <w:rsid w:val="00BF5497"/>
    <w:rsid w:val="00C15B1B"/>
    <w:rsid w:val="00C323FD"/>
    <w:rsid w:val="00C413A4"/>
    <w:rsid w:val="00C4553C"/>
    <w:rsid w:val="00C455A9"/>
    <w:rsid w:val="00C53348"/>
    <w:rsid w:val="00C55355"/>
    <w:rsid w:val="00C61AB7"/>
    <w:rsid w:val="00C628EF"/>
    <w:rsid w:val="00C7006E"/>
    <w:rsid w:val="00C70B2F"/>
    <w:rsid w:val="00C73BFC"/>
    <w:rsid w:val="00C74F5F"/>
    <w:rsid w:val="00C8447E"/>
    <w:rsid w:val="00C9001B"/>
    <w:rsid w:val="00C92AB0"/>
    <w:rsid w:val="00C96A02"/>
    <w:rsid w:val="00CA4C3E"/>
    <w:rsid w:val="00CB45EE"/>
    <w:rsid w:val="00CC1557"/>
    <w:rsid w:val="00CC41A6"/>
    <w:rsid w:val="00CE3615"/>
    <w:rsid w:val="00CE5D42"/>
    <w:rsid w:val="00CE5EFB"/>
    <w:rsid w:val="00CF6D92"/>
    <w:rsid w:val="00D03661"/>
    <w:rsid w:val="00D06A82"/>
    <w:rsid w:val="00D10FF1"/>
    <w:rsid w:val="00D14F33"/>
    <w:rsid w:val="00D24679"/>
    <w:rsid w:val="00D25045"/>
    <w:rsid w:val="00D823F9"/>
    <w:rsid w:val="00D85799"/>
    <w:rsid w:val="00DB5093"/>
    <w:rsid w:val="00DC1534"/>
    <w:rsid w:val="00DD3A20"/>
    <w:rsid w:val="00DD69B3"/>
    <w:rsid w:val="00DD6BB4"/>
    <w:rsid w:val="00DD7754"/>
    <w:rsid w:val="00E013E6"/>
    <w:rsid w:val="00E016F1"/>
    <w:rsid w:val="00E02EB6"/>
    <w:rsid w:val="00E04C77"/>
    <w:rsid w:val="00E04DA6"/>
    <w:rsid w:val="00E06654"/>
    <w:rsid w:val="00E148FC"/>
    <w:rsid w:val="00E20817"/>
    <w:rsid w:val="00E217D0"/>
    <w:rsid w:val="00E25D37"/>
    <w:rsid w:val="00E379FB"/>
    <w:rsid w:val="00E433D8"/>
    <w:rsid w:val="00E43771"/>
    <w:rsid w:val="00E70BBC"/>
    <w:rsid w:val="00E71D63"/>
    <w:rsid w:val="00E7693D"/>
    <w:rsid w:val="00EA0879"/>
    <w:rsid w:val="00EA531B"/>
    <w:rsid w:val="00EB7594"/>
    <w:rsid w:val="00EC7BD7"/>
    <w:rsid w:val="00EE6220"/>
    <w:rsid w:val="00EF7DDD"/>
    <w:rsid w:val="00F0126C"/>
    <w:rsid w:val="00F02AEB"/>
    <w:rsid w:val="00F04CE8"/>
    <w:rsid w:val="00F24D1A"/>
    <w:rsid w:val="00F33BFE"/>
    <w:rsid w:val="00F365A8"/>
    <w:rsid w:val="00F572D2"/>
    <w:rsid w:val="00F65BC9"/>
    <w:rsid w:val="00F8285C"/>
    <w:rsid w:val="00FA752E"/>
    <w:rsid w:val="00FB3ADF"/>
    <w:rsid w:val="00FC28E9"/>
    <w:rsid w:val="00FC42AD"/>
    <w:rsid w:val="00FC7006"/>
    <w:rsid w:val="01EE7C08"/>
    <w:rsid w:val="027B379B"/>
    <w:rsid w:val="0385634A"/>
    <w:rsid w:val="04691FE0"/>
    <w:rsid w:val="058D51F2"/>
    <w:rsid w:val="05CA080E"/>
    <w:rsid w:val="0648365F"/>
    <w:rsid w:val="066A6BF6"/>
    <w:rsid w:val="06862773"/>
    <w:rsid w:val="069461F3"/>
    <w:rsid w:val="073F22CF"/>
    <w:rsid w:val="079F4514"/>
    <w:rsid w:val="08506E07"/>
    <w:rsid w:val="0881736B"/>
    <w:rsid w:val="09E54B56"/>
    <w:rsid w:val="0C7331D5"/>
    <w:rsid w:val="0D141FBF"/>
    <w:rsid w:val="0DC267C6"/>
    <w:rsid w:val="0E652C89"/>
    <w:rsid w:val="126F08F1"/>
    <w:rsid w:val="12901529"/>
    <w:rsid w:val="134203BD"/>
    <w:rsid w:val="13BC3717"/>
    <w:rsid w:val="14EF0840"/>
    <w:rsid w:val="15D9411B"/>
    <w:rsid w:val="15EE081C"/>
    <w:rsid w:val="16615278"/>
    <w:rsid w:val="16D77317"/>
    <w:rsid w:val="170E7DE9"/>
    <w:rsid w:val="18BD6621"/>
    <w:rsid w:val="19121AD9"/>
    <w:rsid w:val="1A8B4F66"/>
    <w:rsid w:val="1A900FD2"/>
    <w:rsid w:val="1AB71087"/>
    <w:rsid w:val="1B70088B"/>
    <w:rsid w:val="1BAE23F4"/>
    <w:rsid w:val="1C734BCF"/>
    <w:rsid w:val="1E1A59B0"/>
    <w:rsid w:val="1F2D1894"/>
    <w:rsid w:val="1F4013EA"/>
    <w:rsid w:val="1F9E0399"/>
    <w:rsid w:val="203938E9"/>
    <w:rsid w:val="20D90C8E"/>
    <w:rsid w:val="212F06D2"/>
    <w:rsid w:val="22A13579"/>
    <w:rsid w:val="23810484"/>
    <w:rsid w:val="24040A23"/>
    <w:rsid w:val="252E50D3"/>
    <w:rsid w:val="263E4523"/>
    <w:rsid w:val="26DD11C8"/>
    <w:rsid w:val="26E5532C"/>
    <w:rsid w:val="2894764D"/>
    <w:rsid w:val="28C01E2E"/>
    <w:rsid w:val="28EE5F90"/>
    <w:rsid w:val="2C0D43A3"/>
    <w:rsid w:val="2D7E1C60"/>
    <w:rsid w:val="2E811B71"/>
    <w:rsid w:val="2EDC2A13"/>
    <w:rsid w:val="3006087D"/>
    <w:rsid w:val="31EC6415"/>
    <w:rsid w:val="330864CC"/>
    <w:rsid w:val="339861BB"/>
    <w:rsid w:val="339D6565"/>
    <w:rsid w:val="33F12B75"/>
    <w:rsid w:val="3486580B"/>
    <w:rsid w:val="35047C3C"/>
    <w:rsid w:val="35134CB4"/>
    <w:rsid w:val="354E2EEB"/>
    <w:rsid w:val="35774894"/>
    <w:rsid w:val="359703E7"/>
    <w:rsid w:val="369F2FB8"/>
    <w:rsid w:val="37B75AEB"/>
    <w:rsid w:val="387F487C"/>
    <w:rsid w:val="389060E7"/>
    <w:rsid w:val="38A31049"/>
    <w:rsid w:val="392C4597"/>
    <w:rsid w:val="396F01A4"/>
    <w:rsid w:val="39B76FF4"/>
    <w:rsid w:val="3AAB2C6B"/>
    <w:rsid w:val="3AAF206E"/>
    <w:rsid w:val="3B537752"/>
    <w:rsid w:val="3F4F7231"/>
    <w:rsid w:val="3F733F9E"/>
    <w:rsid w:val="3FE051D0"/>
    <w:rsid w:val="403E6897"/>
    <w:rsid w:val="41D659E7"/>
    <w:rsid w:val="41EB4D1C"/>
    <w:rsid w:val="432A065F"/>
    <w:rsid w:val="43C7004D"/>
    <w:rsid w:val="43CB603B"/>
    <w:rsid w:val="4407240E"/>
    <w:rsid w:val="440A7BCA"/>
    <w:rsid w:val="453746D3"/>
    <w:rsid w:val="45F16DD5"/>
    <w:rsid w:val="461B3109"/>
    <w:rsid w:val="46381D50"/>
    <w:rsid w:val="466576E0"/>
    <w:rsid w:val="4715099E"/>
    <w:rsid w:val="477B42AC"/>
    <w:rsid w:val="47D87BE8"/>
    <w:rsid w:val="4AF14477"/>
    <w:rsid w:val="4B2D3364"/>
    <w:rsid w:val="4C407369"/>
    <w:rsid w:val="4C6E43BE"/>
    <w:rsid w:val="4C7A7C17"/>
    <w:rsid w:val="4C9F0928"/>
    <w:rsid w:val="4D847D44"/>
    <w:rsid w:val="4EA84ECB"/>
    <w:rsid w:val="4F7D40F2"/>
    <w:rsid w:val="4F7D56F4"/>
    <w:rsid w:val="4FDE62FD"/>
    <w:rsid w:val="505A569F"/>
    <w:rsid w:val="510A327F"/>
    <w:rsid w:val="511957B0"/>
    <w:rsid w:val="517A60F8"/>
    <w:rsid w:val="519C4519"/>
    <w:rsid w:val="52823416"/>
    <w:rsid w:val="528B60F8"/>
    <w:rsid w:val="52A92FA6"/>
    <w:rsid w:val="52BB3F13"/>
    <w:rsid w:val="53BD38C1"/>
    <w:rsid w:val="53C02053"/>
    <w:rsid w:val="546E7C57"/>
    <w:rsid w:val="54E22A42"/>
    <w:rsid w:val="550668E9"/>
    <w:rsid w:val="556E6C4C"/>
    <w:rsid w:val="55895FD4"/>
    <w:rsid w:val="55AE46E3"/>
    <w:rsid w:val="5693686B"/>
    <w:rsid w:val="58C919AA"/>
    <w:rsid w:val="5C85137B"/>
    <w:rsid w:val="5CE0286A"/>
    <w:rsid w:val="5D964ECF"/>
    <w:rsid w:val="5E7121D1"/>
    <w:rsid w:val="5F9E505D"/>
    <w:rsid w:val="5FDC5E75"/>
    <w:rsid w:val="602055B5"/>
    <w:rsid w:val="60821731"/>
    <w:rsid w:val="60F5158E"/>
    <w:rsid w:val="62F51939"/>
    <w:rsid w:val="63021EF2"/>
    <w:rsid w:val="630F33FC"/>
    <w:rsid w:val="634D6BE8"/>
    <w:rsid w:val="64D41A0B"/>
    <w:rsid w:val="64F015E2"/>
    <w:rsid w:val="6509385A"/>
    <w:rsid w:val="66723FCA"/>
    <w:rsid w:val="66C40A60"/>
    <w:rsid w:val="66F52040"/>
    <w:rsid w:val="672F1572"/>
    <w:rsid w:val="681D3D51"/>
    <w:rsid w:val="687E63DE"/>
    <w:rsid w:val="688B4586"/>
    <w:rsid w:val="6997231E"/>
    <w:rsid w:val="69C96B1F"/>
    <w:rsid w:val="6A696B49"/>
    <w:rsid w:val="6A9E50E2"/>
    <w:rsid w:val="6B380F1E"/>
    <w:rsid w:val="6B6D74A5"/>
    <w:rsid w:val="6B7106B9"/>
    <w:rsid w:val="6C3B76CA"/>
    <w:rsid w:val="6C7C6017"/>
    <w:rsid w:val="6CFB5B6D"/>
    <w:rsid w:val="6D424F92"/>
    <w:rsid w:val="70A8175D"/>
    <w:rsid w:val="710650F2"/>
    <w:rsid w:val="71A60683"/>
    <w:rsid w:val="71BB4174"/>
    <w:rsid w:val="720173DF"/>
    <w:rsid w:val="72184B46"/>
    <w:rsid w:val="733264D2"/>
    <w:rsid w:val="733A1F7A"/>
    <w:rsid w:val="73786908"/>
    <w:rsid w:val="74C455B9"/>
    <w:rsid w:val="74DC2815"/>
    <w:rsid w:val="75577FEE"/>
    <w:rsid w:val="759D3211"/>
    <w:rsid w:val="78006A1F"/>
    <w:rsid w:val="784A1D68"/>
    <w:rsid w:val="79AF52F6"/>
    <w:rsid w:val="7B3B6950"/>
    <w:rsid w:val="7B561B3E"/>
    <w:rsid w:val="7DCB0185"/>
    <w:rsid w:val="7E0563F3"/>
    <w:rsid w:val="7F7374A1"/>
    <w:rsid w:val="7FCD4FCC"/>
    <w:rsid w:val="7FE75654"/>
    <w:rsid w:val="7FF1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qFormat="1" w:unhideWhenUsed="0" w:uiPriority="0" w:semiHidden="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10"/>
      <w:kern w:val="2"/>
      <w:sz w:val="21"/>
      <w:lang w:val="en-US" w:eastAsia="zh-CN" w:bidi="ar-SA"/>
    </w:rPr>
  </w:style>
  <w:style w:type="paragraph" w:styleId="2">
    <w:name w:val="heading 3"/>
    <w:basedOn w:val="1"/>
    <w:next w:val="1"/>
    <w:qFormat/>
    <w:uiPriority w:val="9"/>
    <w:pPr>
      <w:keepNext/>
      <w:keepLines/>
      <w:spacing w:line="360"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style>
  <w:style w:type="paragraph" w:styleId="4">
    <w:name w:val="envelope address"/>
    <w:basedOn w:val="1"/>
    <w:qFormat/>
    <w:uiPriority w:val="0"/>
    <w:pPr>
      <w:snapToGrid w:val="0"/>
      <w:spacing w:line="360" w:lineRule="auto"/>
      <w:ind w:left="2880"/>
    </w:pPr>
    <w:rPr>
      <w:rFonts w:ascii="Arial" w:hAnsi="Arial" w:eastAsia="仿宋_GB2312" w:cs="Arial"/>
      <w:sz w:val="28"/>
    </w:rPr>
  </w:style>
  <w:style w:type="paragraph" w:styleId="5">
    <w:name w:val="Document Map"/>
    <w:basedOn w:val="1"/>
    <w:link w:val="23"/>
    <w:qFormat/>
    <w:uiPriority w:val="0"/>
    <w:rPr>
      <w:rFonts w:ascii="宋体"/>
      <w:sz w:val="18"/>
      <w:szCs w:val="18"/>
    </w:rPr>
  </w:style>
  <w:style w:type="paragraph" w:styleId="6">
    <w:name w:val="annotation text"/>
    <w:basedOn w:val="1"/>
    <w:link w:val="21"/>
    <w:qFormat/>
    <w:uiPriority w:val="0"/>
    <w:pPr>
      <w:jc w:val="left"/>
    </w:pPr>
  </w:style>
  <w:style w:type="paragraph" w:styleId="7">
    <w:name w:val="Plain Text"/>
    <w:basedOn w:val="1"/>
    <w:link w:val="26"/>
    <w:qFormat/>
    <w:uiPriority w:val="0"/>
    <w:rPr>
      <w:rFonts w:ascii="宋体" w:hAnsi="Courier New" w:cs="宋体"/>
      <w:kern w:val="0"/>
      <w:szCs w:val="21"/>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2"/>
    <w:qFormat/>
    <w:uiPriority w:val="0"/>
    <w:rPr>
      <w:b/>
      <w:bCs/>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annotation reference"/>
    <w:basedOn w:val="14"/>
    <w:qFormat/>
    <w:uiPriority w:val="0"/>
    <w:rPr>
      <w:sz w:val="21"/>
      <w:szCs w:val="21"/>
    </w:rPr>
  </w:style>
  <w:style w:type="character" w:customStyle="1" w:styleId="17">
    <w:name w:val="页眉 Char"/>
    <w:basedOn w:val="14"/>
    <w:link w:val="10"/>
    <w:qFormat/>
    <w:uiPriority w:val="0"/>
    <w:rPr>
      <w:kern w:val="2"/>
      <w:sz w:val="18"/>
      <w:szCs w:val="18"/>
    </w:rPr>
  </w:style>
  <w:style w:type="character" w:customStyle="1" w:styleId="18">
    <w:name w:val="页脚 Char"/>
    <w:basedOn w:val="14"/>
    <w:link w:val="9"/>
    <w:qFormat/>
    <w:uiPriority w:val="0"/>
    <w:rPr>
      <w:kern w:val="2"/>
      <w:sz w:val="18"/>
      <w:szCs w:val="18"/>
    </w:rPr>
  </w:style>
  <w:style w:type="character" w:customStyle="1" w:styleId="19">
    <w:name w:val="批注框文本 Char"/>
    <w:basedOn w:val="14"/>
    <w:link w:val="8"/>
    <w:qFormat/>
    <w:uiPriority w:val="0"/>
    <w:rPr>
      <w:kern w:val="2"/>
      <w:sz w:val="18"/>
      <w:szCs w:val="18"/>
    </w:rPr>
  </w:style>
  <w:style w:type="paragraph" w:customStyle="1" w:styleId="20">
    <w:name w:val="列表段落1"/>
    <w:basedOn w:val="1"/>
    <w:unhideWhenUsed/>
    <w:qFormat/>
    <w:uiPriority w:val="99"/>
    <w:pPr>
      <w:ind w:firstLine="420" w:firstLineChars="200"/>
    </w:pPr>
  </w:style>
  <w:style w:type="character" w:customStyle="1" w:styleId="21">
    <w:name w:val="批注文字 Char"/>
    <w:basedOn w:val="14"/>
    <w:link w:val="6"/>
    <w:qFormat/>
    <w:uiPriority w:val="0"/>
    <w:rPr>
      <w:kern w:val="2"/>
      <w:sz w:val="21"/>
      <w:szCs w:val="24"/>
    </w:rPr>
  </w:style>
  <w:style w:type="character" w:customStyle="1" w:styleId="22">
    <w:name w:val="批注主题 Char"/>
    <w:basedOn w:val="21"/>
    <w:link w:val="11"/>
    <w:qFormat/>
    <w:uiPriority w:val="0"/>
    <w:rPr>
      <w:b/>
      <w:bCs/>
      <w:kern w:val="2"/>
      <w:sz w:val="21"/>
      <w:szCs w:val="24"/>
    </w:rPr>
  </w:style>
  <w:style w:type="character" w:customStyle="1" w:styleId="23">
    <w:name w:val="文档结构图 Char"/>
    <w:basedOn w:val="14"/>
    <w:link w:val="5"/>
    <w:qFormat/>
    <w:uiPriority w:val="0"/>
    <w:rPr>
      <w:rFonts w:ascii="宋体" w:eastAsia="宋体"/>
      <w:kern w:val="2"/>
      <w:sz w:val="18"/>
      <w:szCs w:val="18"/>
    </w:rPr>
  </w:style>
  <w:style w:type="paragraph" w:customStyle="1" w:styleId="24">
    <w:name w:val="列表段落2"/>
    <w:basedOn w:val="1"/>
    <w:unhideWhenUsed/>
    <w:qFormat/>
    <w:uiPriority w:val="99"/>
    <w:pPr>
      <w:ind w:firstLine="420" w:firstLineChars="200"/>
    </w:pPr>
  </w:style>
  <w:style w:type="paragraph" w:customStyle="1" w:styleId="25">
    <w:name w:val="图"/>
    <w:basedOn w:val="1"/>
    <w:qFormat/>
    <w:uiPriority w:val="99"/>
    <w:pPr>
      <w:keepNext/>
      <w:adjustRightInd w:val="0"/>
      <w:spacing w:before="60" w:after="60" w:line="300" w:lineRule="auto"/>
      <w:jc w:val="center"/>
      <w:textAlignment w:val="center"/>
    </w:pPr>
    <w:rPr>
      <w:spacing w:val="20"/>
      <w:kern w:val="0"/>
      <w:sz w:val="24"/>
    </w:rPr>
  </w:style>
  <w:style w:type="character" w:customStyle="1" w:styleId="26">
    <w:name w:val="纯文本 Char"/>
    <w:basedOn w:val="14"/>
    <w:link w:val="7"/>
    <w:qFormat/>
    <w:uiPriority w:val="0"/>
    <w:rPr>
      <w:rFonts w:ascii="宋体" w:hAnsi="Courier New" w:eastAsia="宋体" w:cs="宋体"/>
      <w:sz w:val="21"/>
      <w:szCs w:val="21"/>
    </w:rPr>
  </w:style>
  <w:style w:type="paragraph" w:customStyle="1" w:styleId="27">
    <w:name w:val="列表段落3"/>
    <w:basedOn w:val="1"/>
    <w:qFormat/>
    <w:uiPriority w:val="99"/>
    <w:pPr>
      <w:ind w:firstLine="420" w:firstLineChars="200"/>
    </w:pPr>
  </w:style>
  <w:style w:type="character" w:customStyle="1" w:styleId="28">
    <w:name w:val="font11"/>
    <w:basedOn w:val="14"/>
    <w:qFormat/>
    <w:uiPriority w:val="0"/>
    <w:rPr>
      <w:rFonts w:ascii="Arial" w:hAnsi="Arial" w:cs="Arial"/>
      <w:color w:val="000000"/>
      <w:sz w:val="24"/>
      <w:szCs w:val="24"/>
      <w:u w:val="none"/>
    </w:rPr>
  </w:style>
  <w:style w:type="character" w:customStyle="1" w:styleId="29">
    <w:name w:val="font01"/>
    <w:basedOn w:val="14"/>
    <w:qFormat/>
    <w:uiPriority w:val="0"/>
    <w:rPr>
      <w:rFonts w:hint="eastAsia" w:ascii="宋体" w:hAnsi="宋体" w:eastAsia="宋体" w:cs="宋体"/>
      <w:color w:val="000000"/>
      <w:sz w:val="24"/>
      <w:szCs w:val="24"/>
      <w:u w:val="none"/>
    </w:rPr>
  </w:style>
  <w:style w:type="character" w:customStyle="1" w:styleId="30">
    <w:name w:val="font31"/>
    <w:basedOn w:val="14"/>
    <w:qFormat/>
    <w:uiPriority w:val="0"/>
    <w:rPr>
      <w:rFonts w:hint="eastAsia" w:ascii="宋体" w:hAnsi="宋体" w:eastAsia="宋体" w:cs="宋体"/>
      <w:color w:val="000000"/>
      <w:sz w:val="20"/>
      <w:szCs w:val="20"/>
      <w:u w:val="none"/>
    </w:rPr>
  </w:style>
  <w:style w:type="character" w:customStyle="1" w:styleId="31">
    <w:name w:val="font21"/>
    <w:basedOn w:val="14"/>
    <w:qFormat/>
    <w:uiPriority w:val="0"/>
    <w:rPr>
      <w:rFonts w:hint="eastAsia" w:ascii="宋体" w:hAnsi="宋体" w:eastAsia="宋体" w:cs="宋体"/>
      <w:color w:val="000000"/>
      <w:sz w:val="20"/>
      <w:szCs w:val="20"/>
      <w:u w:val="none"/>
    </w:rPr>
  </w:style>
  <w:style w:type="paragraph" w:customStyle="1" w:styleId="32">
    <w:name w:val="列表段落4"/>
    <w:basedOn w:val="1"/>
    <w:qFormat/>
    <w:uiPriority w:val="99"/>
    <w:pPr>
      <w:ind w:firstLine="420" w:firstLineChars="200"/>
    </w:pPr>
  </w:style>
  <w:style w:type="paragraph" w:styleId="33">
    <w:name w:val="List Paragraph"/>
    <w:basedOn w:val="1"/>
    <w:qFormat/>
    <w:uiPriority w:val="99"/>
    <w:pPr>
      <w:ind w:firstLine="420" w:firstLineChars="200"/>
    </w:pPr>
  </w:style>
  <w:style w:type="paragraph" w:customStyle="1" w:styleId="34">
    <w:name w:val="表格文字"/>
    <w:basedOn w:val="1"/>
    <w:next w:val="4"/>
    <w:qFormat/>
    <w:uiPriority w:val="0"/>
    <w:pPr>
      <w:spacing w:before="25" w:after="25"/>
      <w:jc w:val="left"/>
    </w:pPr>
    <w:rPr>
      <w:bCs/>
      <w:kern w:val="0"/>
    </w:rPr>
  </w:style>
  <w:style w:type="paragraph" w:customStyle="1" w:styleId="35">
    <w:name w:val="正文-段落"/>
    <w:qFormat/>
    <w:uiPriority w:val="0"/>
    <w:pPr>
      <w:spacing w:line="360" w:lineRule="auto"/>
    </w:pPr>
    <w:rPr>
      <w:rFonts w:ascii="Times New Roman" w:hAnsi="Times New Roman" w:eastAsia="宋体" w:cs="宋体"/>
      <w:sz w:val="24"/>
      <w:szCs w:val="24"/>
      <w:lang w:val="en-GB" w:eastAsia="zh-CN" w:bidi="ar-SA"/>
    </w:rPr>
  </w:style>
  <w:style w:type="paragraph" w:customStyle="1" w:styleId="36">
    <w:name w:val="正文 New"/>
    <w:qFormat/>
    <w:uiPriority w:val="0"/>
    <w:pPr>
      <w:widowControl w:val="0"/>
      <w:jc w:val="both"/>
    </w:pPr>
    <w:rPr>
      <w:rFonts w:ascii="Times New Roman" w:hAnsi="Times New Roman" w:eastAsia="宋体" w:cs="Times New Roman"/>
      <w:spacing w:val="10"/>
      <w:kern w:val="2"/>
      <w:sz w:val="21"/>
      <w:lang w:val="en-US" w:eastAsia="zh-CN" w:bidi="ar-SA"/>
    </w:rPr>
  </w:style>
  <w:style w:type="character" w:customStyle="1" w:styleId="37">
    <w:name w:val="font51"/>
    <w:basedOn w:val="14"/>
    <w:qFormat/>
    <w:uiPriority w:val="0"/>
    <w:rPr>
      <w:rFonts w:hint="default" w:ascii="Times New Roman" w:hAnsi="Times New Roman" w:cs="Times New Roman"/>
      <w:color w:val="FF0000"/>
      <w:sz w:val="21"/>
      <w:szCs w:val="21"/>
      <w:u w:val="none"/>
    </w:rPr>
  </w:style>
  <w:style w:type="character" w:customStyle="1" w:styleId="38">
    <w:name w:val="font41"/>
    <w:basedOn w:val="14"/>
    <w:qFormat/>
    <w:uiPriority w:val="0"/>
    <w:rPr>
      <w:rFonts w:hint="eastAsia" w:ascii="宋体" w:hAnsi="宋体" w:eastAsia="宋体" w:cs="宋体"/>
      <w:color w:val="FF0000"/>
      <w:sz w:val="21"/>
      <w:szCs w:val="21"/>
      <w:u w:val="none"/>
    </w:rPr>
  </w:style>
  <w:style w:type="character" w:customStyle="1" w:styleId="39">
    <w:name w:val="font81"/>
    <w:basedOn w:val="14"/>
    <w:qFormat/>
    <w:uiPriority w:val="0"/>
    <w:rPr>
      <w:rFonts w:hint="default" w:ascii="Times New Roman" w:hAnsi="Times New Roman" w:cs="Times New Roman"/>
      <w:color w:val="FF0000"/>
      <w:sz w:val="18"/>
      <w:szCs w:val="18"/>
      <w:u w:val="none"/>
    </w:rPr>
  </w:style>
  <w:style w:type="character" w:customStyle="1" w:styleId="40">
    <w:name w:val="font61"/>
    <w:basedOn w:val="14"/>
    <w:qFormat/>
    <w:uiPriority w:val="0"/>
    <w:rPr>
      <w:rFonts w:hint="eastAsia" w:ascii="宋体" w:hAnsi="宋体" w:eastAsia="宋体" w:cs="宋体"/>
      <w:color w:val="FF0000"/>
      <w:sz w:val="18"/>
      <w:szCs w:val="18"/>
      <w:u w:val="none"/>
    </w:rPr>
  </w:style>
  <w:style w:type="character" w:customStyle="1" w:styleId="41">
    <w:name w:val="font71"/>
    <w:basedOn w:val="14"/>
    <w:qFormat/>
    <w:uiPriority w:val="0"/>
    <w:rPr>
      <w:rFonts w:hint="default" w:ascii="Times New Roman" w:hAnsi="Times New Roman" w:cs="Times New Roman"/>
      <w:color w:val="FF0000"/>
      <w:sz w:val="21"/>
      <w:szCs w:val="21"/>
      <w:u w:val="none"/>
    </w:rPr>
  </w:style>
  <w:style w:type="character" w:customStyle="1" w:styleId="42">
    <w:name w:val="font101"/>
    <w:basedOn w:val="14"/>
    <w:qFormat/>
    <w:uiPriority w:val="0"/>
    <w:rPr>
      <w:rFonts w:hint="default" w:ascii="Times New Roman" w:hAnsi="Times New Roman" w:cs="Times New Roman"/>
      <w:color w:val="FF0000"/>
      <w:sz w:val="18"/>
      <w:szCs w:val="18"/>
      <w:u w:val="none"/>
    </w:rPr>
  </w:style>
  <w:style w:type="character" w:customStyle="1" w:styleId="43">
    <w:name w:val="font91"/>
    <w:basedOn w:val="14"/>
    <w:qFormat/>
    <w:uiPriority w:val="0"/>
    <w:rPr>
      <w:rFonts w:hint="eastAsia" w:ascii="宋体" w:hAnsi="宋体" w:eastAsia="宋体" w:cs="宋体"/>
      <w:b/>
      <w:bCs/>
      <w:color w:val="000000"/>
      <w:sz w:val="21"/>
      <w:szCs w:val="21"/>
      <w:u w:val="single"/>
    </w:rPr>
  </w:style>
  <w:style w:type="paragraph" w:customStyle="1" w:styleId="44">
    <w:name w:val="修订1"/>
    <w:hidden/>
    <w:semiHidden/>
    <w:qFormat/>
    <w:uiPriority w:val="99"/>
    <w:rPr>
      <w:rFonts w:ascii="Times New Roman" w:hAnsi="Times New Roman" w:eastAsia="宋体" w:cs="Times New Roman"/>
      <w:spacing w:val="10"/>
      <w:kern w:val="2"/>
      <w:sz w:val="21"/>
      <w:lang w:val="en-US" w:eastAsia="zh-CN" w:bidi="ar-SA"/>
    </w:rPr>
  </w:style>
  <w:style w:type="paragraph" w:customStyle="1" w:styleId="45">
    <w:name w:val="修订2"/>
    <w:hidden/>
    <w:semiHidden/>
    <w:qFormat/>
    <w:uiPriority w:val="99"/>
    <w:rPr>
      <w:rFonts w:ascii="Times New Roman" w:hAnsi="Times New Roman" w:eastAsia="宋体" w:cs="Times New Roman"/>
      <w:spacing w:val="10"/>
      <w:kern w:val="2"/>
      <w:sz w:val="21"/>
      <w:lang w:val="en-US" w:eastAsia="zh-CN" w:bidi="ar-SA"/>
    </w:rPr>
  </w:style>
  <w:style w:type="paragraph" w:customStyle="1" w:styleId="4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区疾病预防控制中心</Company>
  <Pages>12</Pages>
  <Words>6377</Words>
  <Characters>6980</Characters>
  <Lines>98</Lines>
  <Paragraphs>27</Paragraphs>
  <TotalTime>10</TotalTime>
  <ScaleCrop>false</ScaleCrop>
  <LinksUpToDate>false</LinksUpToDate>
  <CharactersWithSpaces>7071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2024-01-16T03:25:00Z</dcterms:created>
  <dc:creator>禅城区疾控中心</dc:creator>
  <cp:lastModifiedBy>YXQ</cp:lastModifiedBy>
  <dcterms:modified xsi:type="dcterms:W3CDTF">2024-06-28T00:48:44Z</dcterms:modified>
  <dc:title>第二章 用户需求书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915478D4C9674F48A99B0D2CB1BD2B7B_13</vt:lpwstr>
  </property>
</Properties>
</file>