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cs="宋体"/>
          <w:b/>
          <w:color w:val="000000" w:themeColor="text1"/>
          <w:sz w:val="84"/>
          <w:szCs w:val="84"/>
          <w14:textFill>
            <w14:solidFill>
              <w14:schemeClr w14:val="tx1"/>
            </w14:solidFill>
          </w14:textFill>
        </w:rPr>
      </w:pPr>
      <w:bookmarkStart w:id="0" w:name="_Hlk21427976"/>
      <w:bookmarkStart w:id="1" w:name="_Toc503340605"/>
      <w:bookmarkStart w:id="9" w:name="_GoBack"/>
      <w:bookmarkEnd w:id="9"/>
    </w:p>
    <w:p>
      <w:pPr>
        <w:snapToGrid w:val="0"/>
        <w:spacing w:before="156" w:beforeLines="50"/>
        <w:jc w:val="center"/>
        <w:rPr>
          <w:rFonts w:ascii="宋体" w:hAnsi="宋体" w:cs="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cs="宋体"/>
          <w:b/>
          <w:bCs/>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竞价文件</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28"/>
          <w:szCs w:val="32"/>
          <w14:textFill>
            <w14:solidFill>
              <w14:schemeClr w14:val="tx1"/>
            </w14:solidFill>
          </w14:textFill>
        </w:rPr>
      </w:pPr>
    </w:p>
    <w:p>
      <w:pPr>
        <w:spacing w:line="360" w:lineRule="auto"/>
        <w:jc w:val="left"/>
        <w:rPr>
          <w:rFonts w:hint="eastAsia" w:ascii="宋体" w:hAnsi="宋体" w:cs="宋体"/>
          <w:b/>
          <w:bCs/>
          <w:color w:val="000000" w:themeColor="text1"/>
          <w:sz w:val="28"/>
          <w:szCs w:val="32"/>
          <w14:textFill>
            <w14:solidFill>
              <w14:schemeClr w14:val="tx1"/>
            </w14:solidFill>
          </w14:textFill>
        </w:rPr>
      </w:pPr>
    </w:p>
    <w:p>
      <w:pPr>
        <w:spacing w:line="360" w:lineRule="auto"/>
        <w:jc w:val="left"/>
        <w:rPr>
          <w:rFonts w:ascii="宋体" w:hAnsi="宋体" w:cs="宋体"/>
          <w:b/>
          <w:bCs/>
          <w:color w:val="000000" w:themeColor="text1"/>
          <w:sz w:val="28"/>
          <w:szCs w:val="32"/>
          <w14:textFill>
            <w14:solidFill>
              <w14:schemeClr w14:val="tx1"/>
            </w14:solidFill>
          </w14:textFill>
        </w:rPr>
      </w:pPr>
      <w:r>
        <w:rPr>
          <w:rFonts w:hint="eastAsia" w:ascii="宋体" w:hAnsi="宋体" w:cs="宋体"/>
          <w:b/>
          <w:bCs/>
          <w:color w:val="000000" w:themeColor="text1"/>
          <w:sz w:val="28"/>
          <w:szCs w:val="32"/>
          <w14:textFill>
            <w14:solidFill>
              <w14:schemeClr w14:val="tx1"/>
            </w14:solidFill>
          </w14:textFill>
        </w:rPr>
        <w:t>采购方式：线上竞价</w:t>
      </w:r>
    </w:p>
    <w:p>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cs="宋体"/>
          <w:b/>
          <w:bCs/>
          <w:color w:val="000000" w:themeColor="text1"/>
          <w:sz w:val="28"/>
          <w:szCs w:val="32"/>
          <w14:textFill>
            <w14:solidFill>
              <w14:schemeClr w14:val="tx1"/>
            </w14:solidFill>
          </w14:textFill>
        </w:rPr>
        <w:t>项目名称：</w:t>
      </w:r>
      <w:r>
        <w:rPr>
          <w:rFonts w:hint="eastAsia" w:ascii="宋体" w:hAnsi="宋体" w:eastAsia="宋体" w:cs="宋体"/>
          <w:b/>
          <w:bCs w:val="0"/>
          <w:sz w:val="30"/>
          <w:szCs w:val="30"/>
          <w:u w:val="single"/>
        </w:rPr>
        <w:t>2024年东源县中考体育考试项目</w:t>
      </w:r>
    </w:p>
    <w:p>
      <w:pPr>
        <w:spacing w:line="360" w:lineRule="auto"/>
        <w:jc w:val="left"/>
        <w:rPr>
          <w:rFonts w:ascii="宋体" w:hAnsi="宋体" w:cs="宋体"/>
          <w:b/>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lang w:eastAsia="zh-CN"/>
          <w14:textFill>
            <w14:solidFill>
              <w14:schemeClr w14:val="tx1"/>
            </w14:solidFill>
          </w14:textFill>
        </w:rPr>
        <w:t>东源县教育局</w:t>
      </w:r>
      <w:r>
        <w:rPr>
          <w:rFonts w:hint="eastAsia" w:ascii="宋体" w:hAnsi="宋体" w:cs="宋体"/>
          <w:b/>
          <w:color w:val="000000" w:themeColor="text1"/>
          <w:sz w:val="28"/>
          <w14:textFill>
            <w14:solidFill>
              <w14:schemeClr w14:val="tx1"/>
            </w14:solidFill>
          </w14:textFill>
        </w:rPr>
        <w:t xml:space="preserve"> </w:t>
      </w: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二零二</w:t>
      </w:r>
      <w:r>
        <w:rPr>
          <w:rFonts w:hint="eastAsia" w:ascii="宋体" w:hAnsi="宋体" w:cs="宋体"/>
          <w:b/>
          <w:color w:val="000000" w:themeColor="text1"/>
          <w:sz w:val="28"/>
          <w:lang w:val="en-US" w:eastAsia="zh-CN"/>
          <w14:textFill>
            <w14:solidFill>
              <w14:schemeClr w14:val="tx1"/>
            </w14:solidFill>
          </w14:textFill>
        </w:rPr>
        <w:t>四</w:t>
      </w:r>
      <w:r>
        <w:rPr>
          <w:rFonts w:hint="eastAsia" w:ascii="宋体" w:hAnsi="宋体" w:cs="宋体"/>
          <w:b/>
          <w:color w:val="000000" w:themeColor="text1"/>
          <w:sz w:val="28"/>
          <w14:textFill>
            <w14:solidFill>
              <w14:schemeClr w14:val="tx1"/>
            </w14:solidFill>
          </w14:textFill>
        </w:rPr>
        <w:t>年四月</w:t>
      </w:r>
    </w:p>
    <w:bookmarkEnd w:id="0"/>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p>
    <w:p>
      <w:pPr>
        <w:autoSpaceDE w:val="0"/>
        <w:autoSpaceDN w:val="0"/>
        <w:adjustRightInd w:val="0"/>
        <w:jc w:val="center"/>
        <w:outlineLvl w:val="0"/>
        <w:rPr>
          <w:rFonts w:ascii="宋体" w:hAnsi="宋体" w:cs="宋体"/>
          <w:b/>
          <w:bCs/>
          <w:color w:val="000000" w:themeColor="text1"/>
          <w:sz w:val="32"/>
          <w:szCs w:val="32"/>
          <w14:textFill>
            <w14:solidFill>
              <w14:schemeClr w14:val="tx1"/>
            </w14:solidFill>
          </w14:textFill>
        </w:rPr>
        <w:sectPr>
          <w:pgSz w:w="11906" w:h="16838"/>
          <w:pgMar w:top="1440" w:right="1416" w:bottom="1440" w:left="1800" w:header="851" w:footer="992" w:gutter="0"/>
          <w:cols w:space="720" w:num="1"/>
          <w:docGrid w:type="lines" w:linePitch="312" w:charSpace="0"/>
        </w:sectPr>
      </w:pPr>
    </w:p>
    <w:p>
      <w:pPr>
        <w:numPr>
          <w:ilvl w:val="0"/>
          <w:numId w:val="1"/>
        </w:numPr>
        <w:autoSpaceDE w:val="0"/>
        <w:autoSpaceDN w:val="0"/>
        <w:adjustRightInd w:val="0"/>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竞价须知</w:t>
      </w:r>
    </w:p>
    <w:p>
      <w:pPr>
        <w:autoSpaceDE w:val="0"/>
        <w:autoSpaceDN w:val="0"/>
        <w:adjustRightInd w:val="0"/>
        <w:spacing w:line="360" w:lineRule="auto"/>
        <w:jc w:val="left"/>
        <w:rPr>
          <w:rFonts w:ascii="宋体" w:hAnsi="宋体" w:cs="宋体"/>
          <w:color w:val="000000" w:themeColor="text1"/>
          <w:kern w:val="0"/>
          <w:highlight w:val="none"/>
          <w14:textFill>
            <w14:solidFill>
              <w14:schemeClr w14:val="tx1"/>
            </w14:solidFill>
          </w14:textFill>
        </w:rPr>
      </w:pPr>
      <w:bookmarkStart w:id="2" w:name="_Hlk21526609"/>
      <w:bookmarkStart w:id="3" w:name="_Hlk21526798"/>
      <w:bookmarkStart w:id="4" w:name="_Hlk21526831"/>
      <w:r>
        <w:rPr>
          <w:rFonts w:hint="eastAsia" w:ascii="宋体" w:hAnsi="宋体" w:cs="宋体"/>
          <w:color w:val="000000" w:themeColor="text1"/>
          <w:kern w:val="0"/>
          <w:highlight w:val="none"/>
          <w14:textFill>
            <w14:solidFill>
              <w14:schemeClr w14:val="tx1"/>
            </w14:solidFill>
          </w14:textFill>
        </w:rPr>
        <w:t>一、本项目采用邀请供应商竞价的方式进行竞价采购，不接受邀请名单之外的供应商参与竞价。</w:t>
      </w:r>
    </w:p>
    <w:p>
      <w:pPr>
        <w:autoSpaceDE w:val="0"/>
        <w:autoSpaceDN w:val="0"/>
        <w:adjustRightInd w:val="0"/>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二、本项目通过</w:t>
      </w:r>
      <w:r>
        <w:rPr>
          <w:rFonts w:hint="eastAsia" w:ascii="宋体" w:hAnsi="宋体" w:cs="宋体"/>
          <w:color w:val="000000" w:themeColor="text1"/>
          <w14:textFill>
            <w14:solidFill>
              <w14:schemeClr w14:val="tx1"/>
            </w14:solidFill>
          </w14:textFill>
        </w:rPr>
        <w:t>云采链线上采购一体化平台进行公开</w:t>
      </w:r>
      <w:r>
        <w:rPr>
          <w:rFonts w:hint="eastAsia" w:ascii="宋体" w:hAnsi="宋体" w:cs="宋体"/>
          <w:color w:val="000000" w:themeColor="text1"/>
          <w:kern w:val="0"/>
          <w14:textFill>
            <w14:solidFill>
              <w14:schemeClr w14:val="tx1"/>
            </w14:solidFill>
          </w14:textFill>
        </w:rPr>
        <w:t>竞价，参与竞价的供应商必须登陆交易平台进行注册，注册成功后方可参与项目竞价。</w:t>
      </w:r>
    </w:p>
    <w:p>
      <w:pPr>
        <w:pStyle w:val="56"/>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三、语言要求</w:t>
      </w:r>
    </w:p>
    <w:p>
      <w:pPr>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cs="宋体"/>
          <w:color w:val="000000" w:themeColor="text1"/>
          <w:szCs w:val="21"/>
          <w14:textFill>
            <w14:solidFill>
              <w14:schemeClr w14:val="tx1"/>
            </w14:solidFill>
          </w14:textFill>
        </w:rPr>
        <w:t xml:space="preserve">  </w:t>
      </w:r>
    </w:p>
    <w:p>
      <w:pPr>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四、在云采链平台参与项目竞价后放弃成交资格超过三次（含三次）的供应商连同该供应商同一法人名下所有公司将被列入平台黑名单，永久不得参与平台的项目竞价。 </w:t>
      </w:r>
    </w:p>
    <w:p>
      <w:pPr>
        <w:autoSpaceDE w:val="0"/>
        <w:autoSpaceDN w:val="0"/>
        <w:adjustRightInd w:val="0"/>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五、竞价须知</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竞价说明</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kern w:val="0"/>
          <w:szCs w:val="21"/>
          <w:lang w:eastAsia="zh-TW"/>
          <w14:textFill>
            <w14:solidFill>
              <w14:schemeClr w14:val="tx1"/>
            </w14:solidFill>
          </w14:textFill>
        </w:rPr>
        <w:t>论</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的结果如何</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s="宋体"/>
          <w:color w:val="000000" w:themeColor="text1"/>
          <w:kern w:val="0"/>
          <w:szCs w:val="21"/>
          <w:lang w:eastAsia="zh-TW"/>
          <w14:textFill>
            <w14:solidFill>
              <w14:schemeClr w14:val="tx1"/>
            </w14:solidFill>
          </w14:textFill>
        </w:rPr>
        <w:t>人</w:t>
      </w:r>
      <w:r>
        <w:rPr>
          <w:rFonts w:hint="eastAsia" w:ascii="宋体" w:hAnsi="宋体" w:cs="宋体"/>
          <w:color w:val="000000" w:themeColor="text1"/>
          <w:kern w:val="0"/>
          <w:szCs w:val="21"/>
          <w14:textFill>
            <w14:solidFill>
              <w14:schemeClr w14:val="tx1"/>
            </w14:solidFill>
          </w14:textFill>
        </w:rPr>
        <w:t>和</w:t>
      </w:r>
      <w:r>
        <w:rPr>
          <w:rFonts w:hint="eastAsia" w:ascii="宋体" w:hAnsi="宋体" w:cs="宋体"/>
          <w:color w:val="000000" w:themeColor="text1"/>
          <w:kern w:val="0"/>
          <w:szCs w:val="2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供应商必须按竞价附件的格式填写，不得</w:t>
      </w:r>
      <w:r>
        <w:rPr>
          <w:rFonts w:hint="eastAsia" w:ascii="宋体" w:hAnsi="宋体" w:cs="宋体"/>
          <w:bCs/>
          <w:color w:val="000000" w:themeColor="text1"/>
          <w:szCs w:val="21"/>
          <w14:textFill>
            <w14:solidFill>
              <w14:schemeClr w14:val="tx1"/>
            </w14:solidFill>
          </w14:textFill>
        </w:rPr>
        <w:t>随意</w:t>
      </w:r>
      <w:r>
        <w:rPr>
          <w:rFonts w:hint="eastAsia" w:ascii="宋体" w:hAnsi="宋体" w:cs="宋体"/>
          <w:bCs/>
          <w:color w:val="000000" w:themeColor="text1"/>
          <w:kern w:val="0"/>
          <w:szCs w:val="21"/>
          <w14:textFill>
            <w14:solidFill>
              <w14:schemeClr w14:val="tx1"/>
            </w14:solidFill>
          </w14:textFill>
        </w:rPr>
        <w:t>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color w:val="000000" w:themeColor="text1"/>
          <w:kern w:val="0"/>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bCs/>
          <w:color w:val="000000" w:themeColor="text1"/>
          <w:kern w:val="0"/>
          <w:szCs w:val="21"/>
          <w14:textFill>
            <w14:solidFill>
              <w14:schemeClr w14:val="tx1"/>
            </w14:solidFill>
          </w14:textFill>
        </w:rPr>
        <w:t>不推荐为成交候选人</w:t>
      </w:r>
      <w:r>
        <w:rPr>
          <w:rFonts w:hint="eastAsia" w:ascii="宋体" w:hAnsi="宋体" w:cs="宋体"/>
          <w:color w:val="000000" w:themeColor="text1"/>
          <w:kern w:val="0"/>
          <w:szCs w:val="21"/>
          <w:lang w:val="zh-CN"/>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若成交供应商自身原因无法完成本项目，则采购人有权利保留追究责任。</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成交供应商若无正当理由恶意放弃成交资格，采购人有权将拒绝其参加本项目重新组织的竞价采购活动。</w:t>
      </w:r>
    </w:p>
    <w:p>
      <w:pPr>
        <w:pStyle w:val="57"/>
        <w:numPr>
          <w:ilvl w:val="0"/>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如采购人或代理机构在审核或复核</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color w:val="000000" w:themeColor="text1"/>
          <w:kern w:val="0"/>
          <w:szCs w:val="21"/>
          <w:lang w:eastAsia="zh-TW"/>
          <w14:textFill>
            <w14:solidFill>
              <w14:schemeClr w14:val="tx1"/>
            </w14:solidFill>
          </w14:textFill>
        </w:rPr>
        <w:t>供应商向我司咨询的有关项目事项，一切以</w:t>
      </w:r>
      <w:r>
        <w:rPr>
          <w:rFonts w:hint="eastAsia" w:ascii="宋体" w:hAnsi="宋体" w:cs="宋体"/>
          <w:color w:val="000000" w:themeColor="text1"/>
          <w:kern w:val="0"/>
          <w:szCs w:val="21"/>
          <w14:textFill>
            <w14:solidFill>
              <w14:schemeClr w14:val="tx1"/>
            </w14:solidFill>
          </w14:textFill>
        </w:rPr>
        <w:t>竞价文件</w:t>
      </w:r>
      <w:r>
        <w:rPr>
          <w:rFonts w:hint="eastAsia" w:ascii="宋体" w:hAnsi="宋体" w:cs="宋体"/>
          <w:color w:val="000000" w:themeColor="text1"/>
          <w:kern w:val="0"/>
          <w:szCs w:val="21"/>
          <w:lang w:eastAsia="zh-TW"/>
          <w14:textFill>
            <w14:solidFill>
              <w14:schemeClr w14:val="tx1"/>
            </w14:solidFill>
          </w14:textFill>
        </w:rPr>
        <w:t>规定</w:t>
      </w:r>
      <w:r>
        <w:rPr>
          <w:rFonts w:hint="eastAsia" w:ascii="宋体" w:hAnsi="宋体" w:cs="宋体"/>
          <w:color w:val="000000" w:themeColor="text1"/>
          <w:kern w:val="0"/>
          <w:szCs w:val="21"/>
          <w14:textFill>
            <w14:solidFill>
              <w14:schemeClr w14:val="tx1"/>
            </w14:solidFill>
          </w14:textFill>
        </w:rPr>
        <w:t>和竞价公告规定以及</w:t>
      </w:r>
      <w:r>
        <w:rPr>
          <w:rFonts w:hint="eastAsia" w:ascii="宋体" w:hAnsi="宋体" w:cs="宋体"/>
          <w:color w:val="000000" w:themeColor="text1"/>
          <w:kern w:val="0"/>
          <w:szCs w:val="21"/>
          <w:lang w:eastAsia="zh-TW"/>
          <w14:textFill>
            <w14:solidFill>
              <w14:schemeClr w14:val="tx1"/>
            </w14:solidFill>
          </w14:textFill>
        </w:rPr>
        <w:t>本公司</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参与竞价的供应商应认真阅读</w:t>
      </w:r>
      <w:r>
        <w:rPr>
          <w:rFonts w:hint="eastAsia" w:ascii="宋体" w:hAnsi="宋体" w:cs="宋体"/>
          <w:color w:val="000000" w:themeColor="text1"/>
          <w:kern w:val="0"/>
          <w:szCs w:val="21"/>
          <w:lang w:eastAsia="zh-TW"/>
          <w14:textFill>
            <w14:solidFill>
              <w14:schemeClr w14:val="tx1"/>
            </w14:solidFill>
          </w14:textFill>
        </w:rPr>
        <w:t>、并充分理解</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kern w:val="0"/>
          <w:szCs w:val="21"/>
          <w14:textFill>
            <w14:solidFill>
              <w14:schemeClr w14:val="tx1"/>
            </w14:solidFill>
          </w14:textFill>
        </w:rPr>
        <w:t>、服务要求</w:t>
      </w:r>
      <w:r>
        <w:rPr>
          <w:rFonts w:hint="eastAsia" w:ascii="宋体" w:hAnsi="宋体" w:cs="宋体"/>
          <w:color w:val="000000" w:themeColor="text1"/>
          <w:kern w:val="0"/>
          <w:szCs w:val="21"/>
          <w:lang w:eastAsia="zh-TW"/>
          <w14:textFill>
            <w14:solidFill>
              <w14:schemeClr w14:val="tx1"/>
            </w14:solidFill>
          </w14:textFill>
        </w:rPr>
        <w:t>和技术规范、参数及要求等）。</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s="宋体"/>
          <w:color w:val="000000" w:themeColor="text1"/>
          <w:kern w:val="0"/>
          <w:szCs w:val="21"/>
          <w:lang w:eastAsia="zh-TW"/>
          <w14:textFill>
            <w14:solidFill>
              <w14:schemeClr w14:val="tx1"/>
            </w14:solidFill>
          </w14:textFill>
        </w:rPr>
        <w:t>没有按照</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文件要求提交全部资料，或者</w:t>
      </w:r>
      <w:r>
        <w:rPr>
          <w:rFonts w:hint="eastAsia" w:ascii="宋体" w:hAnsi="宋体" w:cs="宋体"/>
          <w:color w:val="000000" w:themeColor="text1"/>
          <w:kern w:val="0"/>
          <w:szCs w:val="21"/>
          <w14:textFill>
            <w14:solidFill>
              <w14:schemeClr w14:val="tx1"/>
            </w14:solidFill>
          </w14:textFill>
        </w:rPr>
        <w:t>参与竞价所上传的</w:t>
      </w:r>
      <w:r>
        <w:rPr>
          <w:rFonts w:hint="eastAsia" w:ascii="宋体" w:hAnsi="宋体" w:cs="宋体"/>
          <w:color w:val="000000" w:themeColor="text1"/>
          <w:kern w:val="0"/>
          <w:szCs w:val="21"/>
          <w:lang w:eastAsia="zh-TW"/>
          <w14:textFill>
            <w14:solidFill>
              <w14:schemeClr w14:val="tx1"/>
            </w14:solidFill>
          </w14:textFill>
        </w:rPr>
        <w:t>文件没有对</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文件在各方面都作出实质性响应是</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s="宋体"/>
          <w:color w:val="000000" w:themeColor="text1"/>
          <w:kern w:val="0"/>
          <w:szCs w:val="21"/>
          <w:lang w:eastAsia="zh-TW"/>
          <w14:textFill>
            <w14:solidFill>
              <w14:schemeClr w14:val="tx1"/>
            </w14:solidFill>
          </w14:textFill>
        </w:rPr>
        <w:t>的风险，有可能导致其</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被拒绝，</w:t>
      </w:r>
      <w:r>
        <w:rPr>
          <w:rFonts w:hint="eastAsia" w:ascii="宋体" w:hAnsi="宋体" w:cs="宋体"/>
          <w:color w:val="000000" w:themeColor="text1"/>
          <w:kern w:val="0"/>
          <w:szCs w:val="21"/>
          <w14:textFill>
            <w14:solidFill>
              <w14:schemeClr w14:val="tx1"/>
            </w14:solidFill>
          </w14:textFill>
        </w:rPr>
        <w:t>或被认定为无效竞价。</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numPr>
          <w:ilvl w:val="0"/>
          <w:numId w:val="3"/>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本竞价公告和竞价文件的解释权归</w:t>
      </w:r>
      <w:r>
        <w:rPr>
          <w:rFonts w:hint="eastAsia" w:ascii="宋体" w:hAnsi="宋体" w:cs="宋体"/>
          <w:color w:val="000000" w:themeColor="text1"/>
          <w:kern w:val="0"/>
          <w:szCs w:val="21"/>
          <w:lang w:eastAsia="zh-TW"/>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云采链线上采购一体化平台</w:t>
      </w:r>
      <w:r>
        <w:rPr>
          <w:rFonts w:hint="eastAsia" w:ascii="宋体" w:hAnsi="宋体" w:cs="宋体"/>
          <w:color w:val="000000" w:themeColor="text1"/>
          <w:kern w:val="0"/>
          <w:szCs w:val="21"/>
          <w:lang w:eastAsia="zh-TW"/>
          <w14:textFill>
            <w14:solidFill>
              <w14:schemeClr w14:val="tx1"/>
            </w14:solidFill>
          </w14:textFill>
        </w:rPr>
        <w:t>”所有。</w:t>
      </w:r>
    </w:p>
    <w:p>
      <w:pPr>
        <w:pStyle w:val="57"/>
        <w:numPr>
          <w:ilvl w:val="0"/>
          <w:numId w:val="2"/>
        </w:numPr>
        <w:spacing w:line="360" w:lineRule="auto"/>
        <w:ind w:firstLineChars="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竞价文件的澄清或修改</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采购人或者采购代理机构发出的澄清或修改（更正/变更）的内容为竞价文件的组成部分，并对供应商具有约束力。</w:t>
      </w:r>
    </w:p>
    <w:p>
      <w:pPr>
        <w:pStyle w:val="57"/>
        <w:numPr>
          <w:ilvl w:val="0"/>
          <w:numId w:val="2"/>
        </w:numPr>
        <w:spacing w:line="360" w:lineRule="auto"/>
        <w:ind w:firstLineChars="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如有要求缴纳投标保证金的项目有</w:t>
      </w:r>
      <w:r>
        <w:rPr>
          <w:rFonts w:hint="eastAsia" w:ascii="宋体" w:hAnsi="宋体" w:cs="宋体"/>
          <w:color w:val="000000" w:themeColor="text1"/>
          <w:szCs w:val="21"/>
          <w:lang w:eastAsia="zh-TW"/>
          <w14:textFill>
            <w14:solidFill>
              <w14:schemeClr w14:val="tx1"/>
            </w14:solidFill>
          </w14:textFill>
        </w:rPr>
        <w:t>下列任一情</w:t>
      </w:r>
      <w:r>
        <w:rPr>
          <w:rFonts w:hint="eastAsia" w:ascii="宋体" w:hAnsi="宋体" w:cs="宋体"/>
          <w:color w:val="000000" w:themeColor="text1"/>
          <w:szCs w:val="21"/>
          <w14:textFill>
            <w14:solidFill>
              <w14:schemeClr w14:val="tx1"/>
            </w14:solidFill>
          </w14:textFill>
        </w:rPr>
        <w:t>形</w:t>
      </w:r>
      <w:r>
        <w:rPr>
          <w:rFonts w:hint="eastAsia" w:ascii="宋体" w:hAnsi="宋体" w:cs="宋体"/>
          <w:color w:val="000000" w:themeColor="text1"/>
          <w:szCs w:val="21"/>
          <w:lang w:eastAsia="zh-TW"/>
          <w14:textFill>
            <w14:solidFill>
              <w14:schemeClr w14:val="tx1"/>
            </w14:solidFill>
          </w14:textFill>
        </w:rPr>
        <w:t>发生时</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TW"/>
          <w14:textFill>
            <w14:solidFill>
              <w14:schemeClr w14:val="tx1"/>
            </w14:solidFill>
          </w14:textFill>
        </w:rPr>
        <w:t>投标保证金将不予退还</w:t>
      </w:r>
      <w:r>
        <w:rPr>
          <w:rFonts w:hint="eastAsia" w:ascii="宋体" w:hAnsi="宋体" w:cs="宋体"/>
          <w:color w:val="000000" w:themeColor="text1"/>
          <w:szCs w:val="21"/>
          <w14:textFill>
            <w14:solidFill>
              <w14:schemeClr w14:val="tx1"/>
            </w14:solidFill>
          </w14:textFill>
        </w:rPr>
        <w:t>：</w:t>
      </w:r>
    </w:p>
    <w:p>
      <w:pPr>
        <w:numPr>
          <w:ilvl w:val="2"/>
          <w:numId w:val="5"/>
        </w:numPr>
        <w:tabs>
          <w:tab w:val="left" w:pos="851"/>
        </w:tabs>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在</w:t>
      </w:r>
      <w:r>
        <w:rPr>
          <w:rFonts w:hint="eastAsia" w:ascii="宋体" w:hAnsi="宋体" w:cs="宋体"/>
          <w:color w:val="000000" w:themeColor="text1"/>
          <w:szCs w:val="21"/>
          <w14:textFill>
            <w14:solidFill>
              <w14:schemeClr w14:val="tx1"/>
            </w14:solidFill>
          </w14:textFill>
        </w:rPr>
        <w:t>项目相关公告以及竞价文件等相关</w:t>
      </w:r>
      <w:r>
        <w:rPr>
          <w:rFonts w:hint="eastAsia" w:ascii="宋体" w:hAnsi="宋体" w:cs="宋体"/>
          <w:color w:val="000000" w:themeColor="text1"/>
          <w:szCs w:val="21"/>
          <w:lang w:eastAsia="zh-TW"/>
          <w14:textFill>
            <w14:solidFill>
              <w14:schemeClr w14:val="tx1"/>
            </w14:solidFill>
          </w14:textFill>
        </w:rPr>
        <w:t>规定的</w:t>
      </w:r>
      <w:r>
        <w:rPr>
          <w:rFonts w:hint="eastAsia" w:ascii="宋体" w:hAnsi="宋体" w:cs="宋体"/>
          <w:color w:val="000000" w:themeColor="text1"/>
          <w:szCs w:val="21"/>
          <w14:textFill>
            <w14:solidFill>
              <w14:schemeClr w14:val="tx1"/>
            </w14:solidFill>
          </w14:textFill>
        </w:rPr>
        <w:t>报名报价</w:t>
      </w:r>
      <w:r>
        <w:rPr>
          <w:rFonts w:hint="eastAsia" w:ascii="宋体" w:hAnsi="宋体" w:cs="宋体"/>
          <w:color w:val="000000" w:themeColor="text1"/>
          <w:szCs w:val="21"/>
          <w:lang w:eastAsia="zh-TW"/>
          <w14:textFill>
            <w14:solidFill>
              <w14:schemeClr w14:val="tx1"/>
            </w14:solidFill>
          </w14:textFill>
        </w:rPr>
        <w:t>有效期内撤</w:t>
      </w:r>
      <w:r>
        <w:rPr>
          <w:rFonts w:hint="eastAsia" w:ascii="宋体" w:hAnsi="宋体" w:cs="宋体"/>
          <w:color w:val="000000" w:themeColor="text1"/>
          <w:szCs w:val="21"/>
          <w14:textFill>
            <w14:solidFill>
              <w14:schemeClr w14:val="tx1"/>
            </w14:solidFill>
          </w14:textFill>
        </w:rPr>
        <w:t>销</w:t>
      </w:r>
      <w:r>
        <w:rPr>
          <w:rFonts w:hint="eastAsia" w:ascii="宋体" w:hAnsi="宋体" w:cs="宋体"/>
          <w:color w:val="000000" w:themeColor="text1"/>
          <w:szCs w:val="21"/>
          <w:lang w:eastAsia="zh-TW"/>
          <w14:textFill>
            <w14:solidFill>
              <w14:schemeClr w14:val="tx1"/>
            </w14:solidFill>
          </w14:textFill>
        </w:rPr>
        <w:t>其</w:t>
      </w:r>
      <w:r>
        <w:rPr>
          <w:rFonts w:hint="eastAsia" w:ascii="宋体" w:hAnsi="宋体" w:cs="宋体"/>
          <w:color w:val="000000" w:themeColor="text1"/>
          <w:szCs w:val="21"/>
          <w14:textFill>
            <w14:solidFill>
              <w14:schemeClr w14:val="tx1"/>
            </w14:solidFill>
          </w14:textFill>
        </w:rPr>
        <w:t>报价的；</w:t>
      </w:r>
    </w:p>
    <w:p>
      <w:pPr>
        <w:numPr>
          <w:ilvl w:val="2"/>
          <w:numId w:val="5"/>
        </w:numPr>
        <w:tabs>
          <w:tab w:val="left" w:pos="851"/>
        </w:tabs>
        <w:autoSpaceDE w:val="0"/>
        <w:autoSpaceDN w:val="0"/>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获取成交资格</w:t>
      </w:r>
      <w:r>
        <w:rPr>
          <w:rFonts w:hint="eastAsia" w:ascii="宋体" w:hAnsi="宋体" w:cs="宋体"/>
          <w:color w:val="000000" w:themeColor="text1"/>
          <w:szCs w:val="21"/>
          <w:lang w:eastAsia="zh-TW"/>
          <w14:textFill>
            <w14:solidFill>
              <w14:schemeClr w14:val="tx1"/>
            </w14:solidFill>
          </w14:textFill>
        </w:rPr>
        <w:t>后无正当理由放弃</w:t>
      </w:r>
      <w:r>
        <w:rPr>
          <w:rFonts w:hint="eastAsia" w:ascii="宋体" w:hAnsi="宋体" w:cs="宋体"/>
          <w:color w:val="000000" w:themeColor="text1"/>
          <w:szCs w:val="21"/>
          <w14:textFill>
            <w14:solidFill>
              <w14:schemeClr w14:val="tx1"/>
            </w14:solidFill>
          </w14:textFill>
        </w:rPr>
        <w:t>成交资格</w:t>
      </w:r>
      <w:r>
        <w:rPr>
          <w:rFonts w:hint="eastAsia" w:ascii="宋体" w:hAnsi="宋体" w:cs="宋体"/>
          <w:color w:val="000000" w:themeColor="text1"/>
          <w:szCs w:val="21"/>
          <w:lang w:eastAsia="zh-TW"/>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成交人拒绝与采购人</w:t>
      </w:r>
      <w:r>
        <w:rPr>
          <w:rFonts w:hint="eastAsia" w:ascii="宋体" w:hAnsi="宋体" w:cs="宋体"/>
          <w:color w:val="000000" w:themeColor="text1"/>
          <w:szCs w:val="21"/>
          <w:lang w:eastAsia="zh-TW"/>
          <w14:textFill>
            <w14:solidFill>
              <w14:schemeClr w14:val="tx1"/>
            </w14:solidFill>
          </w14:textFill>
        </w:rPr>
        <w:t>签订合同</w:t>
      </w:r>
      <w:r>
        <w:rPr>
          <w:rFonts w:hint="eastAsia" w:ascii="宋体" w:hAnsi="宋体" w:cs="宋体"/>
          <w:color w:val="000000" w:themeColor="text1"/>
          <w:szCs w:val="21"/>
          <w14:textFill>
            <w14:solidFill>
              <w14:schemeClr w14:val="tx1"/>
            </w14:solidFill>
          </w14:textFill>
        </w:rPr>
        <w:t>的；</w:t>
      </w:r>
    </w:p>
    <w:p>
      <w:pPr>
        <w:numPr>
          <w:ilvl w:val="2"/>
          <w:numId w:val="5"/>
        </w:numPr>
        <w:tabs>
          <w:tab w:val="left" w:pos="851"/>
        </w:tabs>
        <w:autoSpaceDE w:val="0"/>
        <w:autoSpaceDN w:val="0"/>
        <w:adjustRightInd w:val="0"/>
        <w:snapToGrid w:val="0"/>
        <w:spacing w:line="360" w:lineRule="auto"/>
        <w:rPr>
          <w:rFonts w:ascii="宋体" w:hAnsi="宋体" w:cs="宋体"/>
          <w:color w:val="000000" w:themeColor="text1"/>
          <w:szCs w:val="21"/>
          <w:lang w:eastAsia="zh-TW"/>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其他因成交人的原因被认定取消成交资格的。</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报名要求（</w:t>
      </w: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
          <w:bCs/>
          <w:color w:val="000000" w:themeColor="text1"/>
          <w:kern w:val="0"/>
          <w:szCs w:val="21"/>
          <w14:textFill>
            <w14:solidFill>
              <w14:schemeClr w14:val="tx1"/>
            </w14:solidFill>
          </w14:textFill>
        </w:rPr>
        <w:t>供应商资质要求: 报名时需要提供以下盖章资料，</w:t>
      </w:r>
      <w:r>
        <w:rPr>
          <w:rFonts w:hint="eastAsia" w:ascii="宋体" w:hAnsi="宋体" w:cs="宋体"/>
          <w:color w:val="000000" w:themeColor="text1"/>
          <w:kern w:val="0"/>
          <w:szCs w:val="21"/>
          <w14:textFill>
            <w14:solidFill>
              <w14:schemeClr w14:val="tx1"/>
            </w14:solidFill>
          </w14:textFill>
        </w:rPr>
        <w:t>并对上传的报名文件资料承担责任</w:t>
      </w:r>
      <w:r>
        <w:rPr>
          <w:rFonts w:hint="eastAsia" w:ascii="宋体" w:hAnsi="宋体" w:cs="宋体"/>
          <w:b/>
          <w:bCs/>
          <w:color w:val="000000" w:themeColor="text1"/>
          <w:kern w:val="0"/>
          <w:szCs w:val="21"/>
          <w14:textFill>
            <w14:solidFill>
              <w14:schemeClr w14:val="tx1"/>
            </w14:solidFill>
          </w14:textFill>
        </w:rPr>
        <w:t>）</w:t>
      </w:r>
    </w:p>
    <w:p>
      <w:pPr>
        <w:pStyle w:val="57"/>
        <w:widowControl/>
        <w:numPr>
          <w:ilvl w:val="0"/>
          <w:numId w:val="6"/>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bCs/>
          <w:szCs w:val="20"/>
        </w:rPr>
        <w:t>提供在中华人民共和国境内注册的法人或其他组织的营业执照或事业单位法人证书或社会团体法人登记证书复印件，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7"/>
        <w:widowControl/>
        <w:numPr>
          <w:ilvl w:val="0"/>
          <w:numId w:val="6"/>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p>
    <w:p>
      <w:pPr>
        <w:pStyle w:val="57"/>
        <w:widowControl/>
        <w:numPr>
          <w:ilvl w:val="0"/>
          <w:numId w:val="6"/>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报名供应商须具备《政府采购法》第二十二条所规定的条件；本项目不接受联合体竞价；</w:t>
      </w:r>
      <w:r>
        <w:rPr>
          <w:rFonts w:hint="eastAsia" w:ascii="宋体" w:hAnsi="宋体" w:cs="宋体"/>
          <w:b/>
          <w:color w:val="000000" w:themeColor="text1"/>
          <w:kern w:val="0"/>
          <w:szCs w:val="21"/>
          <w14:textFill>
            <w14:solidFill>
              <w14:schemeClr w14:val="tx1"/>
            </w14:solidFill>
          </w14:textFill>
        </w:rPr>
        <w:t>提供供应商资格声明函，格式详见附件；</w:t>
      </w:r>
    </w:p>
    <w:p>
      <w:pPr>
        <w:widowControl/>
        <w:numPr>
          <w:ilvl w:val="0"/>
          <w:numId w:val="2"/>
        </w:numPr>
        <w:autoSpaceDE w:val="0"/>
        <w:autoSpaceDN w:val="0"/>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报价要求（报价时需要提供以下盖章资料，</w:t>
      </w:r>
      <w:r>
        <w:rPr>
          <w:rFonts w:hint="eastAsia" w:ascii="宋体" w:hAnsi="宋体" w:cs="宋体"/>
          <w:color w:val="000000" w:themeColor="text1"/>
          <w:kern w:val="0"/>
          <w:szCs w:val="21"/>
          <w14:textFill>
            <w14:solidFill>
              <w14:schemeClr w14:val="tx1"/>
            </w14:solidFill>
          </w14:textFill>
        </w:rPr>
        <w:t>并对上传的竞价文件资料承担责任</w:t>
      </w:r>
      <w:r>
        <w:rPr>
          <w:rFonts w:hint="eastAsia" w:ascii="宋体" w:hAnsi="宋体" w:cs="宋体"/>
          <w:b/>
          <w:bCs/>
          <w:color w:val="000000" w:themeColor="text1"/>
          <w:kern w:val="0"/>
          <w:szCs w:val="21"/>
          <w14:textFill>
            <w14:solidFill>
              <w14:schemeClr w14:val="tx1"/>
            </w14:solidFill>
          </w14:textFill>
        </w:rPr>
        <w:t>）</w:t>
      </w:r>
    </w:p>
    <w:p>
      <w:pPr>
        <w:numPr>
          <w:ilvl w:val="0"/>
          <w:numId w:val="7"/>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kern w:val="0"/>
          <w:szCs w:val="21"/>
          <w:lang w:eastAsia="zh-TW"/>
          <w14:textFill>
            <w14:solidFill>
              <w14:schemeClr w14:val="tx1"/>
            </w14:solidFill>
          </w14:textFill>
        </w:rPr>
        <w:t>、真实、准确地</w:t>
      </w:r>
      <w:r>
        <w:rPr>
          <w:rFonts w:hint="eastAsia" w:ascii="宋体" w:hAnsi="宋体" w:cs="宋体"/>
          <w:color w:val="000000" w:themeColor="text1"/>
          <w:kern w:val="0"/>
          <w:szCs w:val="21"/>
          <w14:textFill>
            <w14:solidFill>
              <w14:schemeClr w14:val="tx1"/>
            </w14:solidFill>
          </w14:textFill>
        </w:rPr>
        <w:t>填写并上传相应报价附件</w:t>
      </w:r>
      <w:r>
        <w:rPr>
          <w:rFonts w:hint="eastAsia" w:asciiTheme="minorEastAsia" w:hAnsiTheme="minorEastAsia"/>
          <w:szCs w:val="21"/>
        </w:rPr>
        <w:t>（报价表）</w:t>
      </w:r>
      <w:r>
        <w:rPr>
          <w:rFonts w:hint="eastAsia" w:ascii="宋体" w:hAnsi="宋体" w:cs="宋体"/>
          <w:color w:val="000000" w:themeColor="text1"/>
          <w:kern w:val="0"/>
          <w:szCs w:val="21"/>
          <w14:textFill>
            <w14:solidFill>
              <w14:schemeClr w14:val="tx1"/>
            </w14:solidFill>
          </w14:textFill>
        </w:rPr>
        <w:t>。</w:t>
      </w:r>
    </w:p>
    <w:p>
      <w:pPr>
        <w:pStyle w:val="57"/>
        <w:numPr>
          <w:ilvl w:val="0"/>
          <w:numId w:val="7"/>
        </w:numPr>
        <w:spacing w:line="360" w:lineRule="auto"/>
        <w:ind w:firstLineChars="0"/>
        <w:rPr>
          <w:rFonts w:ascii="宋体" w:hAnsi="宋体" w:cs="宋体"/>
          <w:b/>
          <w:color w:val="000000" w:themeColor="text1"/>
          <w:u w:val="double"/>
          <w14:textFill>
            <w14:solidFill>
              <w14:schemeClr w14:val="tx1"/>
            </w14:solidFill>
          </w14:textFill>
        </w:rPr>
      </w:pPr>
      <w:r>
        <w:rPr>
          <w:rFonts w:hint="eastAsia" w:ascii="宋体" w:hAnsi="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autoSpaceDE w:val="0"/>
        <w:autoSpaceDN w:val="0"/>
        <w:adjustRightIn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确定成交候选人</w:t>
      </w:r>
    </w:p>
    <w:p>
      <w:pPr>
        <w:numPr>
          <w:ilvl w:val="0"/>
          <w:numId w:val="8"/>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pStyle w:val="57"/>
        <w:numPr>
          <w:ilvl w:val="0"/>
          <w:numId w:val="2"/>
        </w:numPr>
        <w:autoSpaceDE w:val="0"/>
        <w:autoSpaceDN w:val="0"/>
        <w:adjustRightInd w:val="0"/>
        <w:spacing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无效报价</w:t>
      </w:r>
    </w:p>
    <w:p>
      <w:pPr>
        <w:numPr>
          <w:ilvl w:val="0"/>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参与竞价的供应商报价超过最高限价或低于最低限价或超过项目对应产品单项最高限价的视为无效报价；</w:t>
      </w:r>
    </w:p>
    <w:p>
      <w:pPr>
        <w:numPr>
          <w:ilvl w:val="0"/>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供应商须提供本项目要求的资质文件，如果不按公告规定或竞价文件要求等相关规定提供符合要求的资质文件，将被视为无效报价；</w:t>
      </w:r>
    </w:p>
    <w:p>
      <w:pPr>
        <w:numPr>
          <w:ilvl w:val="0"/>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供应商须对本项目采购内容进行整体报价，任何只对其中一部分内容进行的报价都被视为无效报价；</w:t>
      </w:r>
    </w:p>
    <w:p>
      <w:pPr>
        <w:widowControl/>
        <w:numPr>
          <w:ilvl w:val="0"/>
          <w:numId w:val="9"/>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报价表以及有报价供应商落款的报价文件必须加盖报价供应商公章，否则视为无效报价；</w:t>
      </w:r>
    </w:p>
    <w:p>
      <w:pPr>
        <w:widowControl/>
        <w:numPr>
          <w:ilvl w:val="0"/>
          <w:numId w:val="9"/>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Cs/>
          <w:color w:val="000000" w:themeColor="text1"/>
          <w:szCs w:val="21"/>
          <w:shd w:val="clear" w:color="auto" w:fill="FFFFFF"/>
          <w14:textFill>
            <w14:solidFill>
              <w14:schemeClr w14:val="tx1"/>
            </w14:solidFill>
          </w14:textFill>
        </w:rPr>
        <w:t>不接受总价优惠折扣形式的报价，供应商应将对项目的优惠直接在清单报价中体现出来。</w:t>
      </w:r>
      <w:r>
        <w:rPr>
          <w:rFonts w:hint="eastAsia" w:ascii="宋体" w:hAnsi="宋体" w:cs="宋体"/>
          <w:color w:val="000000" w:themeColor="text1"/>
          <w:kern w:val="0"/>
          <w:szCs w:val="21"/>
          <w14:textFill>
            <w14:solidFill>
              <w14:schemeClr w14:val="tx1"/>
            </w14:solidFill>
          </w14:textFill>
        </w:rPr>
        <w:t>如果供应商不接受对其错误的更正，其报价将被视为无效报价。</w:t>
      </w:r>
    </w:p>
    <w:p>
      <w:pPr>
        <w:widowControl/>
        <w:numPr>
          <w:ilvl w:val="0"/>
          <w:numId w:val="9"/>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)按有关法律、法规、规章属于报价无效的。</w:t>
      </w:r>
    </w:p>
    <w:p>
      <w:pPr>
        <w:widowControl/>
        <w:numPr>
          <w:ilvl w:val="0"/>
          <w:numId w:val="9"/>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有下列情形之一的，视为串通竞价，其报价无效：</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存在单位负责人为同一人或存在控股、管理关系的不同单位参与同一竞价项目；</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不同供应商的响应文件由同一单位或者个人编制；</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不同供应商委托同一单位或者个人办理竞价事宜；</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不同供应商使用同一IP地址参与竞价；</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不同供应商的响应文件载明的项目管理成员或者联系人员为同一人；</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不同供应商的响应文件异常一致或者报价呈规律性差异；</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不同供应商的响应文件相互混淆；</w:t>
      </w:r>
    </w:p>
    <w:p>
      <w:pPr>
        <w:widowControl/>
        <w:numPr>
          <w:ilvl w:val="2"/>
          <w:numId w:val="10"/>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不同供应商的平台使用费从同一单位或者个人的账户转出。</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竞价活动失败</w:t>
      </w:r>
    </w:p>
    <w:p>
      <w:pPr>
        <w:pStyle w:val="57"/>
        <w:numPr>
          <w:ilvl w:val="0"/>
          <w:numId w:val="1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出现下列情况的，本次竞价活动失败：</w:t>
      </w:r>
    </w:p>
    <w:p>
      <w:pPr>
        <w:pStyle w:val="57"/>
        <w:numPr>
          <w:ilvl w:val="0"/>
          <w:numId w:val="12"/>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报名供应商不足3家；</w:t>
      </w:r>
    </w:p>
    <w:p>
      <w:pPr>
        <w:pStyle w:val="57"/>
        <w:numPr>
          <w:ilvl w:val="0"/>
          <w:numId w:val="12"/>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报价供应商不足3家；</w:t>
      </w:r>
    </w:p>
    <w:p>
      <w:pPr>
        <w:pStyle w:val="57"/>
        <w:numPr>
          <w:ilvl w:val="0"/>
          <w:numId w:val="1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11"/>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使用费</w:t>
      </w:r>
    </w:p>
    <w:p>
      <w:pPr>
        <w:pStyle w:val="57"/>
        <w:numPr>
          <w:ilvl w:val="0"/>
          <w:numId w:val="1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pPr>
        <w:numPr>
          <w:ilvl w:val="0"/>
          <w:numId w:val="1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成交供应商无正当理由放弃成交资格的必须按竞价公告等相关规定缴纳相应的平台使用费。</w:t>
      </w:r>
    </w:p>
    <w:p>
      <w:pPr>
        <w:numPr>
          <w:ilvl w:val="0"/>
          <w:numId w:val="1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widowControl/>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联系方式</w:t>
      </w:r>
    </w:p>
    <w:p>
      <w:pPr>
        <w:widowControl/>
        <w:autoSpaceDE w:val="0"/>
        <w:autoSpaceDN w:val="0"/>
        <w:adjustRightInd w:val="0"/>
        <w:spacing w:line="360" w:lineRule="auto"/>
        <w:ind w:left="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扫码关注微信公众号“云采链互联服务平台”，即可在线咨询相关事项</w:t>
      </w:r>
      <w:bookmarkEnd w:id="2"/>
      <w:r>
        <w:rPr>
          <w:rFonts w:hint="eastAsia" w:ascii="宋体" w:hAnsi="宋体" w:cs="宋体"/>
          <w:color w:val="000000" w:themeColor="text1"/>
          <w:kern w:val="0"/>
          <w:szCs w:val="21"/>
          <w14:textFill>
            <w14:solidFill>
              <w14:schemeClr w14:val="tx1"/>
            </w14:solidFill>
          </w14:textFill>
        </w:rPr>
        <w:t>。</w:t>
      </w:r>
    </w:p>
    <w:bookmarkEnd w:id="3"/>
    <w:p>
      <w:pPr>
        <w:widowControl/>
        <w:autoSpaceDE w:val="0"/>
        <w:autoSpaceDN w:val="0"/>
        <w:adjustRightInd w:val="0"/>
        <w:spacing w:line="360" w:lineRule="auto"/>
        <w:ind w:left="420"/>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drawing>
          <wp:inline distT="0" distB="0" distL="114300" distR="114300">
            <wp:extent cx="1181735" cy="1181735"/>
            <wp:effectExtent l="0" t="0" r="18415" b="18415"/>
            <wp:docPr id="1" name="图片 1" descr="说明: 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ADMINI~1\AppData\Local\Temp\360zip$Temp\360$2\智采公众号8cm.jpg"/>
                    <pic:cNvPicPr>
                      <a:picLocks noChangeAspect="1"/>
                    </pic:cNvPicPr>
                  </pic:nvPicPr>
                  <pic:blipFill>
                    <a:blip r:embed="rId6"/>
                    <a:stretch>
                      <a:fillRect/>
                    </a:stretch>
                  </pic:blipFill>
                  <pic:spPr>
                    <a:xfrm>
                      <a:off x="0" y="0"/>
                      <a:ext cx="1181735" cy="1181735"/>
                    </a:xfrm>
                    <a:prstGeom prst="rect">
                      <a:avLst/>
                    </a:prstGeom>
                    <a:noFill/>
                    <a:ln>
                      <a:noFill/>
                    </a:ln>
                  </pic:spPr>
                </pic:pic>
              </a:graphicData>
            </a:graphic>
          </wp:inline>
        </w:drawing>
      </w:r>
    </w:p>
    <w:p>
      <w:pPr>
        <w:spacing w:before="156" w:beforeLines="50" w:after="156" w:afterLines="50" w:line="360" w:lineRule="auto"/>
        <w:jc w:val="center"/>
        <w:outlineLvl w:val="0"/>
        <w:rPr>
          <w:rFonts w:ascii="宋体" w:hAnsi="宋体" w:cs="宋体"/>
          <w:b/>
          <w:bCs/>
          <w:color w:val="000000" w:themeColor="text1"/>
          <w:sz w:val="30"/>
          <w:szCs w:val="30"/>
          <w14:textFill>
            <w14:solidFill>
              <w14:schemeClr w14:val="tx1"/>
            </w14:solidFill>
          </w14:textFill>
        </w:rPr>
        <w:sectPr>
          <w:pgSz w:w="11906" w:h="16838"/>
          <w:pgMar w:top="1440" w:right="1080" w:bottom="1440" w:left="1080" w:header="851" w:footer="992" w:gutter="0"/>
          <w:cols w:space="720" w:num="1"/>
          <w:docGrid w:type="lines" w:linePitch="312" w:charSpace="0"/>
        </w:sectPr>
      </w:pPr>
    </w:p>
    <w:bookmarkEnd w:id="4"/>
    <w:p>
      <w:pPr>
        <w:pStyle w:val="57"/>
        <w:numPr>
          <w:ilvl w:val="0"/>
          <w:numId w:val="1"/>
        </w:numPr>
        <w:spacing w:before="156" w:beforeLines="50" w:after="156" w:afterLines="50" w:line="360" w:lineRule="auto"/>
        <w:ind w:firstLineChars="0"/>
        <w:jc w:val="center"/>
        <w:outlineLvl w:val="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用户需求书</w:t>
      </w:r>
      <w:bookmarkEnd w:id="1"/>
    </w:p>
    <w:p>
      <w:pPr>
        <w:pStyle w:val="30"/>
        <w:ind w:left="1120" w:firstLine="422"/>
        <w:jc w:val="left"/>
        <w:rPr>
          <w:rFonts w:ascii="宋体" w:hAnsi="宋体"/>
          <w:b/>
        </w:rPr>
      </w:pPr>
      <w:r>
        <w:rPr>
          <w:rFonts w:hint="eastAsia" w:ascii="宋体" w:hAnsi="宋体"/>
          <w:b/>
        </w:rPr>
        <w:t>说明：</w:t>
      </w:r>
    </w:p>
    <w:p>
      <w:pPr>
        <w:pStyle w:val="30"/>
        <w:jc w:val="left"/>
        <w:rPr>
          <w:rFonts w:ascii="宋体" w:hAnsi="宋体"/>
          <w:b/>
        </w:rPr>
      </w:pPr>
      <w:r>
        <w:rPr>
          <w:rFonts w:hint="eastAsia" w:ascii="宋体" w:hAnsi="宋体"/>
          <w:b/>
        </w:rPr>
        <w:t>1.响应供应商须对本项目进行整体响应，任何只对其中一部分进行的响应都被视为无效响应。</w:t>
      </w:r>
    </w:p>
    <w:p>
      <w:pPr>
        <w:pStyle w:val="13"/>
        <w:numPr>
          <w:ilvl w:val="0"/>
          <w:numId w:val="14"/>
        </w:numPr>
        <w:ind w:left="-210" w:leftChars="0" w:firstLine="420" w:firstLineChars="0"/>
        <w:rPr>
          <w:b/>
          <w:sz w:val="21"/>
        </w:rPr>
      </w:pPr>
      <w:r>
        <w:rPr>
          <w:rFonts w:hint="eastAsia"/>
          <w:b/>
          <w:sz w:val="21"/>
        </w:rPr>
        <w:t>项目一览表</w:t>
      </w:r>
    </w:p>
    <w:tbl>
      <w:tblPr>
        <w:tblStyle w:val="23"/>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909"/>
        <w:gridCol w:w="475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44"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项目内容</w:t>
            </w:r>
          </w:p>
        </w:tc>
        <w:tc>
          <w:tcPr>
            <w:tcW w:w="479"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Style w:val="33"/>
                <w:rFonts w:ascii="宋体" w:hAnsi="宋体"/>
                <w:color w:val="000000" w:themeColor="text1"/>
                <w:sz w:val="21"/>
                <w:szCs w:val="21"/>
                <w14:textFill>
                  <w14:solidFill>
                    <w14:schemeClr w14:val="tx1"/>
                  </w14:solidFill>
                </w14:textFill>
              </w:rPr>
            </w:pPr>
            <w:r>
              <w:rPr>
                <w:rStyle w:val="33"/>
                <w:rFonts w:hint="eastAsia" w:ascii="宋体" w:hAnsi="宋体"/>
                <w:color w:val="000000" w:themeColor="text1"/>
                <w:sz w:val="21"/>
                <w:szCs w:val="21"/>
                <w14:textFill>
                  <w14:solidFill>
                    <w14:schemeClr w14:val="tx1"/>
                  </w14:solidFill>
                </w14:textFill>
              </w:rPr>
              <w:t>数量</w:t>
            </w:r>
          </w:p>
        </w:tc>
        <w:tc>
          <w:tcPr>
            <w:tcW w:w="2505"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Style w:val="33"/>
                <w:rFonts w:hint="eastAsia" w:ascii="宋体" w:hAnsi="宋体"/>
                <w:color w:val="000000" w:themeColor="text1"/>
                <w:sz w:val="21"/>
                <w:szCs w:val="21"/>
                <w14:textFill>
                  <w14:solidFill>
                    <w14:schemeClr w14:val="tx1"/>
                  </w14:solidFill>
                </w14:textFill>
              </w:rPr>
              <w:t>服务期</w:t>
            </w:r>
          </w:p>
        </w:tc>
        <w:tc>
          <w:tcPr>
            <w:tcW w:w="970"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采购预算</w:t>
            </w:r>
          </w:p>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044"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val="0"/>
                <w:bCs/>
                <w:sz w:val="21"/>
                <w:szCs w:val="21"/>
                <w:u w:val="none"/>
              </w:rPr>
              <w:t>2024年东源县中考体育考试项目</w:t>
            </w:r>
          </w:p>
        </w:tc>
        <w:tc>
          <w:tcPr>
            <w:tcW w:w="479"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505"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default" w:ascii="宋体" w:hAnsi="宋体" w:eastAsia="宋体" w:cs="宋体"/>
                <w:bCs/>
                <w:color w:val="000000" w:themeColor="text1"/>
                <w:szCs w:val="21"/>
                <w:lang w:val="en-US" w:eastAsia="zh-CN"/>
                <w14:textFill>
                  <w14:solidFill>
                    <w14:schemeClr w14:val="tx1"/>
                  </w14:solidFill>
                </w14:textFill>
              </w:rPr>
              <w:t>按照采购人年度考试工作日程安排，在指定的时间、地点提供合格的技术服务。确定成交供应商后，能在考前两周内组织实施模拟考试；服务结束后一个月内，提交合格的服务成果进行验收。响应供应商自行估算和承担基本项相关支出，须考虑因天气情况等客观因素导致技术服务时间延长、疫情防控措施等原因导致成本增加。</w:t>
            </w:r>
          </w:p>
        </w:tc>
        <w:tc>
          <w:tcPr>
            <w:tcW w:w="970"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人民币</w:t>
            </w:r>
            <w:r>
              <w:rPr>
                <w:rFonts w:hint="eastAsia" w:asciiTheme="minorEastAsia" w:hAnsiTheme="minorEastAsia" w:eastAsiaTheme="minorEastAsia" w:cstheme="minorEastAsia"/>
                <w:b w:val="0"/>
                <w:bCs w:val="0"/>
                <w:color w:val="auto"/>
                <w:kern w:val="2"/>
                <w:sz w:val="21"/>
                <w:szCs w:val="21"/>
                <w:highlight w:val="none"/>
                <w:lang w:val="en-US" w:eastAsia="zh-CN" w:bidi="ar-SA"/>
              </w:rPr>
              <w:t>173880</w:t>
            </w:r>
            <w:r>
              <w:rPr>
                <w:rFonts w:hint="eastAsia" w:ascii="宋体" w:hAnsi="宋体" w:cs="宋体"/>
                <w:color w:val="auto"/>
                <w:szCs w:val="21"/>
                <w:highlight w:val="none"/>
              </w:rPr>
              <w:t>元</w:t>
            </w:r>
          </w:p>
        </w:tc>
      </w:tr>
    </w:tbl>
    <w:p>
      <w:pPr>
        <w:pStyle w:val="13"/>
        <w:numPr>
          <w:ilvl w:val="0"/>
          <w:numId w:val="14"/>
        </w:numPr>
        <w:ind w:left="-210" w:leftChars="0" w:firstLine="420" w:firstLineChars="0"/>
        <w:rPr>
          <w:b/>
          <w:sz w:val="21"/>
        </w:rPr>
      </w:pPr>
      <w:r>
        <w:rPr>
          <w:rFonts w:hint="eastAsia"/>
          <w:b/>
          <w:sz w:val="21"/>
        </w:rPr>
        <w:t>项目内容</w:t>
      </w:r>
    </w:p>
    <w:p>
      <w:pPr>
        <w:numPr>
          <w:ilvl w:val="0"/>
          <w:numId w:val="15"/>
        </w:numPr>
        <w:spacing w:line="360" w:lineRule="auto"/>
        <w:ind w:left="-210" w:leftChars="0" w:firstLine="420" w:firstLineChars="0"/>
        <w:rPr>
          <w:rFonts w:hint="eastAsia" w:ascii="宋体" w:hAnsi="宋体" w:eastAsia="宋体" w:cs="宋体"/>
          <w:sz w:val="21"/>
          <w:szCs w:val="21"/>
        </w:rPr>
      </w:pPr>
      <w:r>
        <w:rPr>
          <w:rFonts w:hint="eastAsia" w:asciiTheme="minorEastAsia" w:hAnsiTheme="minorEastAsia" w:eastAsiaTheme="minorEastAsia"/>
          <w:highlight w:val="none"/>
        </w:rPr>
        <w:t>本项目以最低价成交的方式确定成交供应商，成交供应商负责完成本项目赛事全部运营工</w:t>
      </w:r>
      <w:r>
        <w:rPr>
          <w:rFonts w:hint="eastAsia" w:asciiTheme="minorEastAsia" w:hAnsiTheme="minorEastAsia" w:eastAsiaTheme="minorEastAsia"/>
          <w:highlight w:val="none"/>
          <w:lang w:val="en-US" w:eastAsia="zh-CN"/>
        </w:rPr>
        <w:t>作；</w:t>
      </w:r>
    </w:p>
    <w:p>
      <w:pPr>
        <w:numPr>
          <w:ilvl w:val="0"/>
          <w:numId w:val="15"/>
        </w:numPr>
        <w:spacing w:line="360" w:lineRule="auto"/>
        <w:ind w:left="-210" w:leftChars="0" w:firstLine="420" w:firstLineChars="0"/>
        <w:rPr>
          <w:rFonts w:hint="eastAsia" w:ascii="宋体" w:hAnsi="宋体" w:eastAsia="宋体" w:cs="宋体"/>
        </w:rPr>
      </w:pPr>
      <w:r>
        <w:rPr>
          <w:rFonts w:hint="eastAsia" w:ascii="宋体" w:hAnsi="宋体" w:eastAsia="宋体" w:cs="宋体"/>
          <w:lang w:val="en-US" w:eastAsia="zh-CN"/>
        </w:rPr>
        <w:t>2024 年河源市中考体育将恢复必考科目和选考科目，采用 1 ＋1 方式，即 1 个必考项目加 1 个选考项目；</w:t>
      </w:r>
    </w:p>
    <w:p>
      <w:pPr>
        <w:numPr>
          <w:ilvl w:val="0"/>
          <w:numId w:val="16"/>
        </w:numPr>
        <w:spacing w:line="360" w:lineRule="auto"/>
        <w:ind w:left="425" w:leftChars="0" w:hanging="425" w:firstLineChars="0"/>
        <w:rPr>
          <w:rFonts w:hint="eastAsia" w:ascii="宋体" w:hAnsi="宋体" w:eastAsia="宋体" w:cs="宋体"/>
        </w:rPr>
      </w:pPr>
      <w:r>
        <w:rPr>
          <w:rFonts w:hint="eastAsia" w:ascii="宋体" w:hAnsi="宋体" w:eastAsia="宋体" w:cs="宋体"/>
          <w:lang w:val="en-US" w:eastAsia="zh-CN"/>
        </w:rPr>
        <w:t xml:space="preserve">必考选项：中长跑（男子 1000 米/女子 800 米）或 100米游泳（不限泳姿）。 </w:t>
      </w:r>
    </w:p>
    <w:p>
      <w:pPr>
        <w:numPr>
          <w:ilvl w:val="0"/>
          <w:numId w:val="16"/>
        </w:numPr>
        <w:spacing w:line="360" w:lineRule="auto"/>
        <w:ind w:left="425" w:leftChars="0" w:hanging="425" w:firstLineChars="0"/>
        <w:rPr>
          <w:rFonts w:hint="eastAsia" w:ascii="宋体" w:hAnsi="宋体" w:eastAsia="宋体" w:cs="宋体"/>
        </w:rPr>
      </w:pPr>
      <w:r>
        <w:rPr>
          <w:rFonts w:hint="eastAsia" w:ascii="宋体" w:hAnsi="宋体" w:eastAsia="宋体" w:cs="宋体"/>
          <w:lang w:val="en-US" w:eastAsia="zh-CN"/>
        </w:rPr>
        <w:t>选考项目：立定跳远、投掷实心球、一分钟跳绳、篮球半场来回运球上篮、足球 25 米绕竿运球。学生学生在 5 个选考项目中选择 1 个项目参加考试。</w:t>
      </w:r>
    </w:p>
    <w:p>
      <w:pPr>
        <w:numPr>
          <w:ilvl w:val="0"/>
          <w:numId w:val="16"/>
        </w:numPr>
        <w:spacing w:line="360" w:lineRule="auto"/>
        <w:ind w:left="425" w:leftChars="0" w:hanging="425" w:firstLineChars="0"/>
      </w:pPr>
      <w:r>
        <w:rPr>
          <w:rFonts w:hint="eastAsia" w:ascii="宋体" w:hAnsi="宋体" w:eastAsia="宋体" w:cs="宋体"/>
          <w:lang w:val="en-US" w:eastAsia="zh-CN"/>
        </w:rPr>
        <w:t xml:space="preserve"> 各县（区）教育行政部门要严格按必考 2 个选考项目、选考 5 个选考项目统一设置，不得增加、减少或调整项目。</w:t>
      </w:r>
    </w:p>
    <w:p>
      <w:pPr>
        <w:numPr>
          <w:ilvl w:val="0"/>
          <w:numId w:val="15"/>
        </w:numPr>
        <w:spacing w:line="360" w:lineRule="auto"/>
        <w:ind w:left="-210" w:leftChars="0" w:firstLine="420" w:firstLineChars="0"/>
        <w:rPr>
          <w:rFonts w:hint="eastAsia" w:asciiTheme="minorEastAsia" w:hAnsiTheme="minorEastAsia" w:eastAsiaTheme="minorEastAsia"/>
        </w:rPr>
      </w:pPr>
      <w:r>
        <w:rPr>
          <w:rFonts w:hint="eastAsia" w:asciiTheme="minorEastAsia" w:hAnsiTheme="minorEastAsia" w:eastAsiaTheme="minorEastAsia"/>
        </w:rPr>
        <w:t>项目内容及要求</w:t>
      </w:r>
    </w:p>
    <w:tbl>
      <w:tblPr>
        <w:tblStyle w:val="2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432"/>
        <w:gridCol w:w="671"/>
        <w:gridCol w:w="798"/>
        <w:gridCol w:w="746"/>
        <w:gridCol w:w="732"/>
        <w:gridCol w:w="3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监考员工作经费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中长跑、跳绳、篮球、足球、实心球、游泳、立定跳远各2人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测试人员工作经费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中长跑、跳绳、篮球、足球、实心球、游泳、立定跳远各2人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设备技术工程师（中级）</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设备搭建考生系统，考试过程中设备指导与维护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考试场地物料费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考试场地所有考试提示横幅、主背景、考场指示牌、地贴、证件等物料制作及安装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测试人员工作服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主要测试人员统一服装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外聘医务和救护人员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考场救护车两辆配AED等急救设备、医疗用药、医务工作人员5名，200元/天，共计7天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20箱/天，工作人员、测试工作人员、外聘人员、安保人员、监考员、医疗工作人员用水、矿泉水标准550毫升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考试工作人员工作餐</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考试工作人员早餐和中午用餐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红外立定跳远系统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红外实心球</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中长跑系统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跳绳系统 (40根绳子)</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人脸识别系统</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篮球运球测试仪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足球运球测试仪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50米测试仪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200米测试仪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一分钟仰卧起坐测试仪</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设备运输（货拉拉）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bl>
    <w:p>
      <w:pPr>
        <w:pStyle w:val="13"/>
        <w:numPr>
          <w:ilvl w:val="0"/>
          <w:numId w:val="14"/>
        </w:numPr>
        <w:ind w:left="-210" w:leftChars="0" w:firstLine="420" w:firstLineChars="0"/>
        <w:rPr>
          <w:rFonts w:hint="eastAsia"/>
          <w:b/>
          <w:sz w:val="21"/>
          <w:lang w:val="en-US" w:eastAsia="zh-CN"/>
        </w:rPr>
      </w:pPr>
      <w:r>
        <w:rPr>
          <w:rFonts w:hint="eastAsia"/>
          <w:b/>
          <w:sz w:val="21"/>
          <w:lang w:val="en-US" w:eastAsia="zh-CN"/>
        </w:rPr>
        <w:t>考试时间、计分办法及评分标准</w:t>
      </w:r>
    </w:p>
    <w:p>
      <w:pPr>
        <w:keepNext w:val="0"/>
        <w:keepLines w:val="0"/>
        <w:widowControl/>
        <w:numPr>
          <w:ilvl w:val="0"/>
          <w:numId w:val="17"/>
        </w:numPr>
        <w:suppressLineNumbers w:val="0"/>
        <w:ind w:left="0" w:leftChars="0" w:firstLine="420" w:firstLineChars="0"/>
        <w:jc w:val="left"/>
      </w:pPr>
      <w:r>
        <w:rPr>
          <w:rFonts w:hint="eastAsia"/>
          <w:bCs/>
          <w:sz w:val="21"/>
        </w:rPr>
        <w:t>考试具体时间另行通知</w:t>
      </w:r>
      <w:r>
        <w:rPr>
          <w:rFonts w:hint="eastAsia" w:ascii="宋体" w:hAnsi="宋体" w:eastAsia="宋体" w:cs="宋体"/>
          <w:color w:val="000000"/>
          <w:kern w:val="0"/>
          <w:sz w:val="21"/>
          <w:szCs w:val="21"/>
          <w:lang w:val="en-US" w:eastAsia="zh-CN" w:bidi="ar"/>
        </w:rPr>
        <w:t>，要求在文化科考试前完成。</w:t>
      </w:r>
    </w:p>
    <w:p>
      <w:pPr>
        <w:keepNext w:val="0"/>
        <w:keepLines w:val="0"/>
        <w:widowControl/>
        <w:numPr>
          <w:ilvl w:val="0"/>
          <w:numId w:val="17"/>
        </w:numPr>
        <w:suppressLineNumbers w:val="0"/>
        <w:ind w:left="0" w:leftChars="0" w:firstLine="420" w:firstLineChars="0"/>
        <w:jc w:val="left"/>
        <w:rPr>
          <w:rFonts w:hint="eastAsia"/>
          <w:b w:val="0"/>
          <w:bCs/>
          <w:sz w:val="21"/>
          <w:lang w:val="en-US" w:eastAsia="zh-CN"/>
        </w:rPr>
      </w:pPr>
      <w:r>
        <w:rPr>
          <w:rFonts w:hint="eastAsia"/>
          <w:b w:val="0"/>
          <w:bCs/>
          <w:sz w:val="21"/>
          <w:lang w:val="en-US" w:eastAsia="zh-CN"/>
        </w:rPr>
        <w:t>考试规则、计分办法及评分标准按</w:t>
      </w:r>
      <w:r>
        <w:rPr>
          <w:rFonts w:hint="eastAsia" w:ascii="宋体" w:hAnsi="宋体" w:eastAsia="宋体" w:cs="宋体"/>
          <w:color w:val="000000"/>
          <w:kern w:val="0"/>
          <w:sz w:val="21"/>
          <w:szCs w:val="21"/>
          <w:lang w:val="en-US" w:eastAsia="zh-CN" w:bidi="ar"/>
        </w:rPr>
        <w:t>《河源市初中毕业生升学体育考试项目规则及评分标准》</w:t>
      </w:r>
      <w:r>
        <w:rPr>
          <w:rFonts w:hint="eastAsia"/>
          <w:b w:val="0"/>
          <w:bCs/>
          <w:sz w:val="21"/>
          <w:lang w:val="en-US" w:eastAsia="zh-CN"/>
        </w:rPr>
        <w:t>文件要求执行。</w:t>
      </w:r>
    </w:p>
    <w:p>
      <w:pPr>
        <w:pStyle w:val="13"/>
        <w:rPr>
          <w:rFonts w:hint="eastAsia"/>
          <w:b/>
          <w:sz w:val="21"/>
        </w:rPr>
      </w:pPr>
      <w:r>
        <w:rPr>
          <w:rFonts w:hint="eastAsia"/>
          <w:b/>
          <w:sz w:val="21"/>
          <w:lang w:val="en-US" w:eastAsia="zh-CN"/>
        </w:rPr>
        <w:t>四</w:t>
      </w:r>
      <w:r>
        <w:rPr>
          <w:rFonts w:hint="eastAsia"/>
          <w:b/>
          <w:sz w:val="21"/>
        </w:rPr>
        <w:t>、考试项目规则</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50 米跑、200 米跑、1000 米（男）、800 米跑（女）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1．场地及器材：原则上在 200 米以上田径场上进行。成绩计取采用全自动电子计时或秒表若干块，若人工计时采用一道三表，使用前应校正。用发令枪或发令旗发令。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2．考试方法：起跑姿势不限，可采用胶鞋、钉鞋或赤脚跑步。 其他按田径规则执行。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立定跳远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1．场地：沙坑的沙与地面齐平。起跳板采用塑胶防滑跳板或坚固木板，长 100 或 122 厘米，宽 20 厘米，木板厚度不得少于6厘米，塑胶防滑跳板面上的塑胶要紧粘在木板上，不得用钉固定，厚度不得少于 0.7 厘米，不超过 1.3 厘米（不得采用弹性过大的纯塑胶起跳板）。起跳板埋入地下，与地面齐平。起跳板前沿与沙坑近端不得少于 30 厘米。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2．动作规格：两脚自然平行开立站在起跳线后，脚尖不得踩线，原地两脚同时起跳。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考试方法：每人连续试跳三次，丈量起跳线后沿至身体着地最近点后沿的垂直距离，取其中最远一次的成绩。不得穿钉鞋和胶粒底鞋，可采用胶鞋或赤脚起跳。登记成绩时以米为单位，取两位小数。丈量及登记时，均要唱出成绩。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一分钟跳绳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1.场地器材：平坦水泥地。采用自动计数跳绳。秒表若干块。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2.动作规格：单或双脚均可。每跳一次摇绳须经过头、脚一次。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3.考试方法：将自动计数跳绳开至计数状态，监考员发出“预备——开始”的口令，同时开表。记录一分钟内所完成次。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投掷实心球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1.场地及器材：20 米长的平地一块。实心球球体直径：14－14.5 厘米；重量：男、女生均为 2 公斤±20 克；球体为生胶铸造；球体内不得有滚动物。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2.动作规格：投掷前，原地两脚前后或左右开立，身体正对投掷方向。双手举球至头上方稍后仰，双肩与起掷线平行，原地双手用力把球掷向前方。球出手时双肩须与起掷线平行，不得踩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线或过线投掷。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考试方法：在投掷区划一条白线为起掷线，受试者站在起掷线后。每人连续投掷三次，取其中最远一次成绩。记录以米为单位，取两位小数，丈量起掷线后沿至球着地点后沿之间的垂直距离。为了准确丈量成绩，应有专人负责观察实心球着地点。丈量及登记时，均要唱出成绩。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篮球半场来回运球上篮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1．场地器材：半场篮球场（篮球场规格为 26 米×14 米），篮球若干个。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2．动作规格：单手向前运球，运球时不得走步、滚球跑、推球跑（推拍球向前时助跑不得超过两步）。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考试方法：从起点（半场中线与边线的交叉）运球，到达篮下投篮，投中后运球至另一侧，一脚踏中线与边线的交叉点后，往回运球上篮，投中后运球回起点。监考员发出“预备——去”的口令后，开始计时，登记来回运球上篮后回到起点的时间。运球中违例者应从违例点开始重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运球。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足球 25 米绕竿运球 </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起点至第 1 根竿距离为 5 米，以后每距离 2 米设竿 1 根，共设 10 根竿，从最后 1 竿继续延伸 2 米处定为终点。计算考生从起点运球绕竿至终点的时间（用 50cm 高标志筒,采用 4 号球）。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100米游泳（不限泳姿）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场地器材：考试场地为室外或室内50米标准游泳池，根据参加考试的人数分为若干泳道，泳道之间用泳道线标记，配电子计时设备或秒表、发令枪，考点全覆盖视频监控系统。每条泳道配置1-2名裁判员。每考点设置2名医护人员，1名监察人员。每条泳道配置1名救生员，全场配置2-3名流动救生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2.动作规格：考试不限泳姿，考生可用任何泳姿游完全程。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考试方法：考试时，考生须穿着不透明泳装并佩戴泳帽，可选择佩戴泳镜，禁止携带游泳辅助设备（如手蹼、脚蹼、泳圈等）进入考点。考生在泳池出发端水中出发，出发前保持身体触壁并处于静止状态，听到“出发”信号后蹬离池壁开始游进。出发15米后身体必须有一部分露出水面，考生须在规定泳道保持连续游进，途中不得脚踩池底、扒扶池壁或水线。转身时，允许身体任何部位在水上或水下触及池壁，用脚蹬离池壁继续游进，转身动作须连贯，不得停顿。游至终点时，身体任一部位触及池壁即为完成考试。考试时当场报出成绩并予以登记。考试中出现以下三种犯规情况之一，成绩无效：游进和转身时身体任一部分触及池底；游进和转身时扒扶池壁或水线；越过水线或妨碍他人。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一分钟仰卧起坐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1.场地器材：垫子若干块，铺放平坦。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2.动作规格：考生全身仰卧于垫上，双脚屈膝稍分开，大小腿成直角，双手贴于耳边，压住考生两踝关节处，起坐时，双肘触及或超过两膝为完成一次，仰卧时两肩胛必须触垫。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3.考试办法：发出“预备--开始”口令，同时开始计时，登记一分钟内完成次数。一分钟到时，受测者虽以起坐，但两肘未触及膝盖，该次不算。违例动作不计次数。</w:t>
      </w:r>
    </w:p>
    <w:p>
      <w:pPr>
        <w:pStyle w:val="13"/>
        <w:spacing w:line="360" w:lineRule="auto"/>
        <w:rPr>
          <w:b/>
          <w:sz w:val="21"/>
        </w:rPr>
      </w:pPr>
      <w:r>
        <w:rPr>
          <w:rFonts w:hint="eastAsia"/>
          <w:b/>
          <w:sz w:val="21"/>
        </w:rPr>
        <w:t>四、考试管理制度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bookmarkStart w:id="5" w:name="_Toc22934"/>
      <w:r>
        <w:rPr>
          <w:rFonts w:hint="eastAsia" w:ascii="宋体" w:hAnsi="宋体" w:eastAsia="宋体" w:cs="宋体"/>
          <w:color w:val="000000"/>
          <w:kern w:val="0"/>
          <w:sz w:val="21"/>
          <w:szCs w:val="21"/>
          <w:lang w:val="en-US" w:eastAsia="zh-CN" w:bidi="ar"/>
        </w:rPr>
        <w:t xml:space="preserve">（一）现场公布成绩制度。考生每完成一个考试项目，监考员必须现场宣布成绩，并要求考生在成绩单上签名确认。凡参加考试后拒绝签名确认成绩的，该项目体育考试成绩按监考员签名确认的成绩为准，且不再接受考生的成绩复核申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各考点要建立体育考试录像回放和成绩复查制度。在成绩复查工作中严格遵循规范、客观、公正、公平的原则，专人对各考点的体育考试录像进行回播审验，对各项目考试成绩进行复查。一经发现考生有弄虚作假或违纪作弊行为的，一律取消体育考试成绩，涉及其他人员的，一律将情况通报给其所在单位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（三）体育考试成绩实行公示制度。学校在考试结束后将考生单项成绩及总分成绩在宣传栏公示一周，考生如有投诉或申诉，可向考区体育考试领导小组办公室提出。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四）监考员轮岗制度。各考试项目的监考员须不定期轮换监考岗位。除技术性较强的特殊岗位外，监考员不得长时间固定某个监考岗位，更不允许监考员选择监考岗位或不服从轮岗。每项考试开考前宣布监考员岗位任命，每项考试结束后实行随机换岗，不得提前公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五）考试监察小组互派制度。各县（区）成立由体育教研员、体育专家、中学校级领导、学生监督员组成的体育考试监察小组。在考试期间到辖区内考点进行驻点监察、考试技术监督。监察小组要全面认真检查体育考试组织及管理工作各个环节，重点检查考生考风考纪、监考人员执行考试纪律和考试规则情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其中体育教研员或体育专家重点负责考试技术监督。如发生严重违规舞弊行为及突发事件，监察小组必须及时报告县（区）教育行政部门，并将相关情况上报市教育局。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六）社会监督制度。各考点要在本辖区范围内选聘人大代表、政协委员、体育专业人士、家长代表或其他社会人士作为社会监督员。各考点要积极支持社会监督员开展现场监督工作，主动提供情况，虚心接受监督，认真听取社会监督员的意见和建议。对社会监督员反映的问题、建议和举报投诉事项要认真做好登记、上报、调查、解释、处理等工作，对合理化意见和建议要及时落实处理，并将结果及时反馈给社会监督员。不得以任何理由对社会监督员提出的合理意见或合理建议置之不理，违者将予以通报批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七）责任追究制度。对不服从主考和监考组组长管理、不遵守纪律、违反规定的考试工作人员要进行严肃的批评教育，经教育批评仍不改者取消监考资格，另行严肃处理；对徇私舞弊者，视情节轻重给予相应的纪律处分；情节严重，构成犯罪的，由司法机关依法追究刑事责任；对组织不力，在考试中不按规定操作，造成考生人身安全事故的，要追究有关领导和直接当事人的责任。</w:t>
      </w:r>
    </w:p>
    <w:p>
      <w:pPr>
        <w:pStyle w:val="13"/>
        <w:rPr>
          <w:b/>
          <w:sz w:val="21"/>
          <w:highlight w:val="none"/>
        </w:rPr>
      </w:pPr>
      <w:r>
        <w:rPr>
          <w:rFonts w:hint="eastAsia"/>
          <w:b/>
          <w:sz w:val="21"/>
          <w:highlight w:val="none"/>
        </w:rPr>
        <w:t>五、商务要求</w:t>
      </w:r>
      <w:bookmarkEnd w:id="5"/>
    </w:p>
    <w:p>
      <w:pPr>
        <w:numPr>
          <w:ilvl w:val="0"/>
          <w:numId w:val="20"/>
        </w:numPr>
        <w:tabs>
          <w:tab w:val="left" w:pos="315"/>
          <w:tab w:val="left" w:pos="630"/>
          <w:tab w:val="left" w:pos="840"/>
        </w:tabs>
        <w:spacing w:line="360" w:lineRule="auto"/>
        <w:ind w:left="525" w:hanging="525"/>
        <w:rPr>
          <w:rFonts w:ascii="宋体" w:hAnsi="宋体" w:cs="宋体"/>
          <w:b/>
          <w:bCs/>
          <w:szCs w:val="21"/>
        </w:rPr>
      </w:pPr>
      <w:r>
        <w:rPr>
          <w:rFonts w:hint="eastAsia" w:ascii="宋体" w:hAnsi="宋体" w:cs="宋体"/>
          <w:b/>
          <w:bCs/>
          <w:szCs w:val="21"/>
        </w:rPr>
        <w:t>报价要求</w:t>
      </w:r>
    </w:p>
    <w:p>
      <w:pPr>
        <w:numPr>
          <w:ilvl w:val="0"/>
          <w:numId w:val="21"/>
        </w:numPr>
        <w:tabs>
          <w:tab w:val="left" w:pos="210"/>
        </w:tabs>
        <w:spacing w:line="360" w:lineRule="auto"/>
        <w:ind w:left="575" w:leftChars="99" w:hanging="367" w:hangingChars="175"/>
        <w:rPr>
          <w:rFonts w:ascii="宋体" w:hAnsi="宋体" w:cs="宋体"/>
          <w:szCs w:val="21"/>
        </w:rPr>
      </w:pPr>
      <w:r>
        <w:rPr>
          <w:rFonts w:hint="eastAsia" w:ascii="宋体" w:hAnsi="宋体" w:cs="宋体"/>
          <w:szCs w:val="21"/>
        </w:rPr>
        <w:t>响应供应商报价应包括工作人员补助、租赁设备费用、后勤保障费用、考试用具等其它所有完成本项目所需的所有费用，以及响应供应商认为必要的其他货物、材料、服务。</w:t>
      </w:r>
    </w:p>
    <w:p>
      <w:pPr>
        <w:numPr>
          <w:ilvl w:val="0"/>
          <w:numId w:val="21"/>
        </w:numPr>
        <w:tabs>
          <w:tab w:val="left" w:pos="630"/>
        </w:tabs>
        <w:spacing w:line="360" w:lineRule="auto"/>
        <w:ind w:left="630"/>
        <w:rPr>
          <w:rFonts w:ascii="宋体" w:hAnsi="宋体" w:cs="宋体"/>
          <w:szCs w:val="21"/>
        </w:rPr>
      </w:pPr>
      <w:r>
        <w:rPr>
          <w:rFonts w:hint="eastAsia" w:ascii="宋体" w:hAnsi="宋体" w:cs="宋体"/>
          <w:szCs w:val="21"/>
        </w:rPr>
        <w:t>响应供应商应自行支付为保障考试正常、合法、安全运行及使用所必须但竞价文件没有包含的所有费用。</w:t>
      </w:r>
    </w:p>
    <w:p>
      <w:pPr>
        <w:numPr>
          <w:ilvl w:val="0"/>
          <w:numId w:val="20"/>
        </w:numPr>
        <w:tabs>
          <w:tab w:val="left" w:pos="315"/>
          <w:tab w:val="left" w:pos="630"/>
          <w:tab w:val="left" w:pos="840"/>
        </w:tabs>
        <w:spacing w:line="360" w:lineRule="auto"/>
        <w:ind w:left="525" w:hanging="525"/>
        <w:rPr>
          <w:rFonts w:ascii="宋体" w:hAnsi="宋体" w:cs="宋体"/>
          <w:b/>
          <w:bCs/>
          <w:szCs w:val="21"/>
        </w:rPr>
      </w:pPr>
      <w:r>
        <w:rPr>
          <w:rFonts w:hint="eastAsia" w:ascii="宋体" w:hAnsi="宋体" w:cs="宋体"/>
          <w:b/>
          <w:bCs/>
          <w:szCs w:val="21"/>
        </w:rPr>
        <w:t>质量标准</w:t>
      </w:r>
    </w:p>
    <w:p>
      <w:pPr>
        <w:spacing w:line="360" w:lineRule="auto"/>
        <w:ind w:left="479" w:leftChars="228" w:firstLine="105" w:firstLineChars="50"/>
        <w:rPr>
          <w:rFonts w:ascii="宋体" w:hAnsi="宋体" w:cs="宋体"/>
          <w:szCs w:val="21"/>
        </w:rPr>
      </w:pPr>
      <w:r>
        <w:rPr>
          <w:rFonts w:hint="eastAsia" w:ascii="宋体" w:hAnsi="宋体" w:cs="宋体"/>
          <w:szCs w:val="21"/>
        </w:rPr>
        <w:t>成交供应商所安排考试设备须符合国家及相关行业标准，所提供考试设备须符合采购人的实际需求。</w:t>
      </w:r>
    </w:p>
    <w:p>
      <w:pPr>
        <w:numPr>
          <w:ilvl w:val="0"/>
          <w:numId w:val="20"/>
        </w:numPr>
        <w:tabs>
          <w:tab w:val="left" w:pos="315"/>
          <w:tab w:val="left" w:pos="630"/>
          <w:tab w:val="left" w:pos="840"/>
        </w:tabs>
        <w:spacing w:line="360" w:lineRule="auto"/>
        <w:ind w:left="525" w:hanging="525"/>
        <w:rPr>
          <w:rFonts w:ascii="宋体" w:hAnsi="宋体" w:cs="宋体"/>
          <w:szCs w:val="21"/>
          <w:highlight w:val="none"/>
        </w:rPr>
      </w:pPr>
      <w:r>
        <w:rPr>
          <w:rFonts w:hint="eastAsia" w:ascii="宋体" w:hAnsi="宋体" w:cs="宋体"/>
          <w:b/>
          <w:bCs/>
          <w:szCs w:val="21"/>
          <w:highlight w:val="none"/>
        </w:rPr>
        <w:t>服务期限：</w:t>
      </w:r>
      <w:r>
        <w:rPr>
          <w:rFonts w:hint="eastAsia" w:ascii="宋体" w:hAnsi="宋体" w:cs="宋体"/>
          <w:b w:val="0"/>
          <w:bCs w:val="0"/>
          <w:szCs w:val="21"/>
          <w:highlight w:val="none"/>
        </w:rPr>
        <w:t>按照采购人年度考试工作日程安排，在指定的时间、地点提供合格的技术服务。确定成交供应商后，能在考前两周内组织实施模拟考试；服务结束后一个月内，提交合格的服务成果进行验收。响应供应商自行估算和承担基本项相关支出，须考虑因天气情况等客观因素导致技术服务时间延长、疫情防控措施等原因导致成本增加。</w:t>
      </w:r>
    </w:p>
    <w:p>
      <w:pPr>
        <w:numPr>
          <w:ilvl w:val="0"/>
          <w:numId w:val="20"/>
        </w:numPr>
        <w:tabs>
          <w:tab w:val="left" w:pos="315"/>
          <w:tab w:val="left" w:pos="630"/>
          <w:tab w:val="left" w:pos="840"/>
        </w:tabs>
        <w:spacing w:line="360" w:lineRule="auto"/>
        <w:ind w:left="525" w:hanging="525"/>
        <w:rPr>
          <w:rFonts w:ascii="宋体" w:hAnsi="宋体" w:cs="宋体"/>
          <w:szCs w:val="21"/>
          <w:highlight w:val="none"/>
        </w:rPr>
      </w:pPr>
      <w:r>
        <w:rPr>
          <w:rFonts w:hint="eastAsia" w:ascii="宋体" w:hAnsi="宋体" w:cs="宋体"/>
          <w:b/>
          <w:bCs/>
          <w:szCs w:val="21"/>
          <w:highlight w:val="none"/>
        </w:rPr>
        <w:t>考试对象：</w:t>
      </w:r>
      <w:r>
        <w:rPr>
          <w:rFonts w:hint="eastAsia" w:ascii="宋体" w:hAnsi="宋体" w:eastAsia="宋体" w:cs="宋体"/>
          <w:color w:val="000000"/>
          <w:kern w:val="0"/>
          <w:sz w:val="21"/>
          <w:szCs w:val="21"/>
          <w:lang w:val="en-US" w:eastAsia="zh-CN" w:bidi="ar"/>
        </w:rPr>
        <w:t>全县九年级学生</w:t>
      </w:r>
      <w:r>
        <w:rPr>
          <w:rFonts w:hint="eastAsia" w:ascii="宋体" w:hAnsi="宋体" w:cs="宋体"/>
          <w:b w:val="0"/>
          <w:bCs w:val="0"/>
          <w:szCs w:val="21"/>
          <w:highlight w:val="none"/>
        </w:rPr>
        <w:t>。</w:t>
      </w:r>
    </w:p>
    <w:p>
      <w:pPr>
        <w:numPr>
          <w:ilvl w:val="0"/>
          <w:numId w:val="20"/>
        </w:numPr>
        <w:tabs>
          <w:tab w:val="left" w:pos="315"/>
          <w:tab w:val="left" w:pos="630"/>
          <w:tab w:val="left" w:pos="840"/>
        </w:tabs>
        <w:spacing w:line="360" w:lineRule="auto"/>
        <w:ind w:left="525" w:hanging="525"/>
        <w:rPr>
          <w:rFonts w:ascii="宋体" w:hAnsi="宋体" w:cs="宋体"/>
          <w:b w:val="0"/>
          <w:bCs w:val="0"/>
          <w:szCs w:val="21"/>
          <w:highlight w:val="none"/>
        </w:rPr>
      </w:pPr>
      <w:r>
        <w:rPr>
          <w:rFonts w:hint="eastAsia" w:ascii="宋体" w:hAnsi="宋体" w:cs="宋体"/>
          <w:b/>
          <w:bCs/>
          <w:szCs w:val="21"/>
          <w:highlight w:val="none"/>
        </w:rPr>
        <w:t>考试地点：</w:t>
      </w:r>
      <w:r>
        <w:rPr>
          <w:rFonts w:hint="eastAsia" w:ascii="宋体" w:hAnsi="宋体" w:cs="宋体"/>
          <w:b w:val="0"/>
          <w:bCs w:val="0"/>
          <w:szCs w:val="21"/>
          <w:highlight w:val="none"/>
        </w:rPr>
        <w:t>全县共设置四个考点，分别是东源中学考点、灯塔中学考点、船塘中学考点和黄村中学考点。</w:t>
      </w:r>
    </w:p>
    <w:p>
      <w:pPr>
        <w:spacing w:line="360" w:lineRule="auto"/>
        <w:rPr>
          <w:rFonts w:ascii="宋体" w:hAnsi="宋体" w:cs="宋体"/>
          <w:bCs/>
          <w:szCs w:val="21"/>
        </w:rPr>
      </w:pPr>
      <w:r>
        <w:rPr>
          <w:rFonts w:hint="eastAsia" w:ascii="宋体" w:hAnsi="宋体" w:cs="宋体"/>
          <w:bCs/>
          <w:szCs w:val="21"/>
        </w:rPr>
        <w:t>6.响应供应商须确保在全</w:t>
      </w:r>
      <w:r>
        <w:rPr>
          <w:rFonts w:hint="eastAsia" w:ascii="宋体" w:hAnsi="宋体" w:cs="宋体"/>
          <w:bCs/>
          <w:szCs w:val="21"/>
          <w:lang w:val="en-US" w:eastAsia="zh-CN"/>
        </w:rPr>
        <w:t>县</w:t>
      </w:r>
      <w:r>
        <w:rPr>
          <w:rFonts w:hint="eastAsia" w:ascii="宋体" w:hAnsi="宋体" w:cs="宋体"/>
          <w:bCs/>
          <w:szCs w:val="21"/>
        </w:rPr>
        <w:t>所有考点进行的考试中，同一考试项目所使用的考试设备必须是同一品牌、同一型号、同一规格。</w:t>
      </w:r>
    </w:p>
    <w:p>
      <w:pPr>
        <w:spacing w:line="360" w:lineRule="auto"/>
        <w:rPr>
          <w:rFonts w:ascii="宋体" w:hAnsi="宋体" w:cs="宋体"/>
          <w:bCs/>
          <w:szCs w:val="21"/>
        </w:rPr>
      </w:pPr>
      <w:r>
        <w:rPr>
          <w:rFonts w:hint="eastAsia" w:ascii="宋体" w:hAnsi="宋体" w:cs="宋体"/>
          <w:bCs/>
          <w:szCs w:val="21"/>
        </w:rPr>
        <w:t>7.</w:t>
      </w:r>
      <w:r>
        <w:rPr>
          <w:rFonts w:ascii="宋体" w:hAnsi="宋体" w:cs="宋体"/>
          <w:bCs/>
          <w:szCs w:val="21"/>
        </w:rPr>
        <w:t>合同期内，</w:t>
      </w:r>
      <w:r>
        <w:rPr>
          <w:rFonts w:hint="eastAsia" w:ascii="宋体" w:hAnsi="宋体" w:cs="宋体"/>
          <w:bCs/>
          <w:szCs w:val="21"/>
        </w:rPr>
        <w:t>成交供应商</w:t>
      </w:r>
      <w:r>
        <w:rPr>
          <w:rFonts w:ascii="宋体" w:hAnsi="宋体" w:cs="宋体"/>
          <w:bCs/>
          <w:szCs w:val="21"/>
        </w:rPr>
        <w:t>工作人员如发生人身安全及其它事故，一切责任和经济补偿均由成交供应商负责。考试期间，因成交供应商原因导致造成采购人或第三方的人员人身伤害等情况，成交供应商应承担全部赔偿责任。</w:t>
      </w:r>
    </w:p>
    <w:p>
      <w:pPr>
        <w:pStyle w:val="30"/>
        <w:spacing w:line="360" w:lineRule="auto"/>
        <w:ind w:firstLine="0" w:firstLineChars="0"/>
        <w:rPr>
          <w:rFonts w:ascii="宋体" w:hAnsi="宋体"/>
        </w:rPr>
      </w:pPr>
      <w:r>
        <w:rPr>
          <w:rFonts w:hint="eastAsia" w:ascii="宋体" w:hAnsi="宋体"/>
        </w:rPr>
        <w:t>8.付款方式</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由采购人按下列程序付款： </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lang w:val="en-US" w:eastAsia="zh-CN"/>
        </w:rPr>
        <w:t>项目按合同约定履约完成后，采购人向中标人一次性支付全部合同金额。</w:t>
      </w:r>
    </w:p>
    <w:p>
      <w:pPr>
        <w:numPr>
          <w:ilvl w:val="0"/>
          <w:numId w:val="22"/>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成交人凭以下有效文件与采购人结算：</w:t>
      </w:r>
    </w:p>
    <w:p>
      <w:pPr>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snapToGrid w:val="0"/>
        <w:spacing w:line="360" w:lineRule="auto"/>
        <w:ind w:firstLine="315" w:firstLineChars="150"/>
        <w:rPr>
          <w:rFonts w:ascii="宋体" w:hAnsi="宋体"/>
          <w:szCs w:val="21"/>
        </w:rPr>
      </w:pPr>
      <w:r>
        <w:rPr>
          <w:rFonts w:hint="eastAsia" w:ascii="宋体" w:hAnsi="宋体"/>
          <w:szCs w:val="21"/>
        </w:rPr>
        <w:t>（2）</w:t>
      </w:r>
      <w:r>
        <w:rPr>
          <w:rFonts w:ascii="宋体" w:hAnsi="宋体"/>
          <w:szCs w:val="21"/>
        </w:rPr>
        <w:t>成交人开具的正式发票；</w:t>
      </w:r>
    </w:p>
    <w:p>
      <w:pPr>
        <w:snapToGrid w:val="0"/>
        <w:spacing w:line="360" w:lineRule="auto"/>
        <w:ind w:firstLine="315" w:firstLineChars="150"/>
        <w:rPr>
          <w:rFonts w:ascii="宋体" w:hAnsi="宋体"/>
          <w:szCs w:val="21"/>
        </w:rPr>
      </w:pPr>
      <w:r>
        <w:rPr>
          <w:rFonts w:hint="eastAsia" w:ascii="宋体" w:hAnsi="宋体"/>
          <w:szCs w:val="21"/>
        </w:rPr>
        <w:t>（3）</w:t>
      </w:r>
      <w:r>
        <w:rPr>
          <w:rFonts w:ascii="宋体" w:hAnsi="宋体"/>
          <w:szCs w:val="21"/>
        </w:rPr>
        <w:t>验收调试报告（加盖采购人公章）；</w:t>
      </w:r>
    </w:p>
    <w:p>
      <w:pPr>
        <w:snapToGrid w:val="0"/>
        <w:spacing w:line="360" w:lineRule="auto"/>
        <w:ind w:firstLine="315" w:firstLineChars="150"/>
        <w:rPr>
          <w:rFonts w:ascii="宋体" w:hAnsi="宋体"/>
          <w:szCs w:val="21"/>
        </w:rPr>
      </w:pPr>
      <w:r>
        <w:rPr>
          <w:rFonts w:hint="eastAsia" w:ascii="宋体" w:hAnsi="宋体"/>
          <w:szCs w:val="21"/>
        </w:rPr>
        <w:t>（4）</w:t>
      </w:r>
      <w:r>
        <w:rPr>
          <w:rFonts w:ascii="宋体" w:hAnsi="宋体"/>
          <w:szCs w:val="21"/>
        </w:rPr>
        <w:t>成交通知书。</w:t>
      </w:r>
    </w:p>
    <w:p>
      <w:pPr>
        <w:spacing w:line="360" w:lineRule="auto"/>
        <w:ind w:firstLine="210" w:firstLineChars="100"/>
        <w:rPr>
          <w:rFonts w:ascii="宋体" w:hAnsi="宋体"/>
          <w:szCs w:val="21"/>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jc w:val="center"/>
        <w:rPr>
          <w:rFonts w:hint="default" w:eastAsia="宋体"/>
          <w:b/>
          <w:bCs/>
          <w:sz w:val="32"/>
          <w:szCs w:val="32"/>
          <w:lang w:val="en-US" w:eastAsia="zh-CN"/>
        </w:rPr>
      </w:pPr>
      <w:r>
        <w:rPr>
          <w:rFonts w:hint="eastAsia"/>
          <w:b/>
          <w:bCs/>
          <w:sz w:val="32"/>
          <w:szCs w:val="32"/>
          <w:lang w:val="en-US" w:eastAsia="zh-CN"/>
        </w:rPr>
        <w:t>第三章</w:t>
      </w:r>
    </w:p>
    <w:p>
      <w:pPr>
        <w:pStyle w:val="5"/>
        <w:spacing w:before="0" w:after="0"/>
        <w:jc w:val="center"/>
        <w:rPr>
          <w:sz w:val="36"/>
          <w:szCs w:val="36"/>
          <w:lang w:val="zh-CN"/>
        </w:rPr>
      </w:pPr>
      <w:r>
        <w:rPr>
          <w:rFonts w:hint="eastAsia"/>
          <w:lang w:val="zh-CN"/>
        </w:rPr>
        <w:t>报 价 表</w:t>
      </w:r>
    </w:p>
    <w:tbl>
      <w:tblPr>
        <w:tblStyle w:val="2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85"/>
        <w:gridCol w:w="1126"/>
        <w:gridCol w:w="1069"/>
        <w:gridCol w:w="167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40"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385"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1126"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1069"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1674"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总价报价（元）</w:t>
            </w:r>
          </w:p>
        </w:tc>
        <w:tc>
          <w:tcPr>
            <w:tcW w:w="915" w:type="dxa"/>
            <w:shd w:val="clear" w:color="000000" w:fill="FFFFFF"/>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40"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385" w:type="dxa"/>
            <w:shd w:val="clear" w:color="000000" w:fill="FFFFFF"/>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宋体"/>
                <w:b w:val="0"/>
                <w:bCs/>
                <w:sz w:val="21"/>
                <w:szCs w:val="21"/>
                <w:u w:val="none"/>
              </w:rPr>
              <w:t>2024年东源县中考体育考试项目</w:t>
            </w:r>
          </w:p>
        </w:tc>
        <w:tc>
          <w:tcPr>
            <w:tcW w:w="1126"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w:t>
            </w:r>
          </w:p>
        </w:tc>
        <w:tc>
          <w:tcPr>
            <w:tcW w:w="1069" w:type="dxa"/>
            <w:shd w:val="clear" w:color="000000" w:fill="FFFFFF"/>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674" w:type="dxa"/>
            <w:shd w:val="clear" w:color="000000" w:fill="FFFFFF"/>
            <w:vAlign w:val="center"/>
          </w:tcPr>
          <w:p>
            <w:pPr>
              <w:jc w:val="left"/>
              <w:rPr>
                <w:rFonts w:ascii="宋体" w:hAnsi="宋体"/>
                <w:color w:val="000000" w:themeColor="text1"/>
                <w:szCs w:val="21"/>
                <w14:textFill>
                  <w14:solidFill>
                    <w14:schemeClr w14:val="tx1"/>
                  </w14:solidFill>
                </w14:textFill>
              </w:rPr>
            </w:pPr>
          </w:p>
        </w:tc>
        <w:tc>
          <w:tcPr>
            <w:tcW w:w="915" w:type="dxa"/>
            <w:shd w:val="clear" w:color="000000" w:fill="FFFFFF"/>
            <w:vAlign w:val="center"/>
          </w:tcPr>
          <w:p>
            <w:pPr>
              <w:jc w:val="left"/>
              <w:rPr>
                <w:rFonts w:ascii="宋体" w:hAnsi="宋体"/>
                <w:color w:val="000000" w:themeColor="text1"/>
                <w:szCs w:val="21"/>
                <w14:textFill>
                  <w14:solidFill>
                    <w14:schemeClr w14:val="tx1"/>
                  </w14:solidFill>
                </w14:textFill>
              </w:rPr>
            </w:pPr>
          </w:p>
        </w:tc>
      </w:tr>
    </w:tbl>
    <w:p>
      <w:pPr>
        <w:spacing w:line="500" w:lineRule="exact"/>
        <w:rPr>
          <w:rFonts w:asciiTheme="minorEastAsia" w:hAnsiTheme="minorEastAsia"/>
          <w:b/>
          <w:spacing w:val="4"/>
          <w:szCs w:val="21"/>
        </w:rPr>
      </w:pPr>
      <w:r>
        <w:rPr>
          <w:rFonts w:hint="eastAsia" w:asciiTheme="minorEastAsia" w:hAnsiTheme="minorEastAsia"/>
          <w:b/>
          <w:spacing w:val="4"/>
          <w:szCs w:val="21"/>
        </w:rPr>
        <w:t>注：</w:t>
      </w:r>
    </w:p>
    <w:p>
      <w:pPr>
        <w:pStyle w:val="21"/>
        <w:numPr>
          <w:ilvl w:val="0"/>
          <w:numId w:val="23"/>
        </w:numPr>
        <w:shd w:val="clear" w:color="auto" w:fill="FFFFFF"/>
        <w:spacing w:before="0" w:beforeAutospacing="0" w:after="0" w:afterAutospacing="0" w:line="276" w:lineRule="auto"/>
        <w:rPr>
          <w:rFonts w:asciiTheme="minorEastAsia" w:hAnsiTheme="minorEastAsia" w:eastAsiaTheme="minorEastAsia"/>
          <w:b/>
          <w:bCs/>
          <w:sz w:val="21"/>
          <w:szCs w:val="21"/>
          <w:u w:val="single"/>
        </w:rPr>
      </w:pPr>
      <w:r>
        <w:rPr>
          <w:rFonts w:hint="eastAsia" w:asciiTheme="minorEastAsia" w:hAnsiTheme="minorEastAsia" w:eastAsiaTheme="minorEastAsia"/>
          <w:b/>
          <w:bCs/>
          <w:sz w:val="21"/>
          <w:szCs w:val="21"/>
          <w:u w:val="single"/>
        </w:rPr>
        <w:t>供应商必须按报价表的格式填写，不得增加或删除表格内容。除单价、金额或项目要求填写的内容外，不得擅自改动报价表内容，</w:t>
      </w:r>
      <w:r>
        <w:rPr>
          <w:rFonts w:hint="eastAsia" w:asciiTheme="minorEastAsia" w:hAnsiTheme="minorEastAsia"/>
          <w:b/>
          <w:bCs/>
          <w:sz w:val="21"/>
          <w:szCs w:val="21"/>
        </w:rPr>
        <w:t>否则将有可能影响成交结果，不推荐为成交候选人</w:t>
      </w:r>
      <w:r>
        <w:rPr>
          <w:rFonts w:hint="eastAsia" w:asciiTheme="minorEastAsia" w:hAnsiTheme="minorEastAsia" w:eastAsiaTheme="minorEastAsia"/>
          <w:b/>
          <w:bCs/>
          <w:sz w:val="21"/>
          <w:szCs w:val="21"/>
          <w:u w:val="single"/>
        </w:rPr>
        <w:t>；</w:t>
      </w:r>
    </w:p>
    <w:p>
      <w:pPr>
        <w:pStyle w:val="21"/>
        <w:numPr>
          <w:ilvl w:val="0"/>
          <w:numId w:val="23"/>
        </w:numPr>
        <w:shd w:val="clear" w:color="auto" w:fill="FFFFFF"/>
        <w:spacing w:before="0" w:beforeAutospacing="0" w:after="0" w:afterAutospacing="0"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所有价格均系用人民币表示，单位为元，</w:t>
      </w:r>
      <w:r>
        <w:rPr>
          <w:rFonts w:hint="eastAsia" w:asciiTheme="minorEastAsia" w:hAnsiTheme="minorEastAsia" w:eastAsiaTheme="minorEastAsia"/>
          <w:b/>
          <w:bCs/>
          <w:sz w:val="21"/>
          <w:szCs w:val="21"/>
        </w:rPr>
        <w:t>均为含税价</w:t>
      </w:r>
      <w:r>
        <w:rPr>
          <w:rFonts w:hint="eastAsia" w:asciiTheme="minorEastAsia" w:hAnsiTheme="minorEastAsia" w:eastAsiaTheme="minorEastAsia"/>
          <w:b/>
          <w:sz w:val="21"/>
          <w:szCs w:val="21"/>
        </w:rPr>
        <w:t>；</w:t>
      </w:r>
    </w:p>
    <w:p>
      <w:pPr>
        <w:pStyle w:val="21"/>
        <w:numPr>
          <w:ilvl w:val="0"/>
          <w:numId w:val="23"/>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pPr>
        <w:pStyle w:val="30"/>
        <w:ind w:left="1120" w:firstLine="0" w:firstLineChars="0"/>
      </w:pPr>
    </w:p>
    <w:p>
      <w:pPr>
        <w:pStyle w:val="30"/>
        <w:ind w:left="1120" w:firstLine="0" w:firstLineChars="0"/>
      </w:pPr>
      <w:r>
        <w:br w:type="page"/>
      </w:r>
    </w:p>
    <w:p>
      <w:pPr>
        <w:pStyle w:val="30"/>
        <w:ind w:left="1120" w:firstLine="0" w:firstLineChars="0"/>
      </w:pPr>
    </w:p>
    <w:p>
      <w:pPr>
        <w:keepNext/>
        <w:keepLines/>
        <w:spacing w:line="360" w:lineRule="auto"/>
        <w:jc w:val="center"/>
        <w:outlineLvl w:val="1"/>
        <w:rPr>
          <w:rFonts w:ascii="宋体" w:hAnsi="宋体" w:cs="宋体"/>
          <w:b/>
          <w:bCs/>
          <w:color w:val="000000" w:themeColor="text1"/>
          <w:sz w:val="32"/>
          <w:szCs w:val="32"/>
          <w14:textFill>
            <w14:solidFill>
              <w14:schemeClr w14:val="tx1"/>
            </w14:solidFill>
          </w14:textFill>
        </w:rPr>
      </w:pPr>
      <w:bookmarkStart w:id="6" w:name="_Toc435515303"/>
      <w:bookmarkStart w:id="7" w:name="_Toc435514863"/>
      <w:r>
        <w:rPr>
          <w:rFonts w:hint="eastAsia" w:ascii="宋体" w:hAnsi="宋体" w:cs="宋体"/>
          <w:b/>
          <w:bCs/>
          <w:color w:val="000000" w:themeColor="text1"/>
          <w:sz w:val="32"/>
          <w:szCs w:val="32"/>
          <w14:textFill>
            <w14:solidFill>
              <w14:schemeClr w14:val="tx1"/>
            </w14:solidFill>
          </w14:textFill>
        </w:rPr>
        <w:t>用户需求书响应声明函</w:t>
      </w:r>
    </w:p>
    <w:p>
      <w:pPr>
        <w:autoSpaceDE w:val="0"/>
        <w:autoSpaceDN w:val="0"/>
        <w:adjustRightInd w:val="0"/>
        <w:spacing w:before="156" w:beforeLines="50" w:after="312" w:afterLines="100" w:line="360" w:lineRule="auto"/>
        <w:jc w:val="left"/>
        <w:rPr>
          <w:rFonts w:ascii="宋体" w:hAnsi="宋体" w:cs="宋体"/>
          <w:b/>
          <w:color w:val="000000" w:themeColor="text1"/>
          <w:kern w:val="0"/>
          <w:szCs w:val="21"/>
          <w14:textFill>
            <w14:solidFill>
              <w14:schemeClr w14:val="tx1"/>
            </w14:solidFill>
          </w14:textFill>
        </w:rPr>
      </w:pPr>
      <w:bookmarkStart w:id="8" w:name="_Hlk43888449"/>
      <w:r>
        <w:rPr>
          <w:rFonts w:hint="eastAsia" w:ascii="宋体" w:hAnsi="宋体" w:cs="宋体"/>
          <w:b/>
          <w:color w:val="000000" w:themeColor="text1"/>
          <w:kern w:val="0"/>
          <w:szCs w:val="21"/>
          <w14:textFill>
            <w14:solidFill>
              <w14:schemeClr w14:val="tx1"/>
            </w14:solidFill>
          </w14:textFill>
        </w:rPr>
        <w:t xml:space="preserve">致： </w:t>
      </w:r>
      <w:r>
        <w:rPr>
          <w:rFonts w:hint="eastAsia" w:ascii="宋体" w:hAnsi="宋体" w:cs="宋体"/>
          <w:b/>
          <w:color w:val="000000" w:themeColor="text1"/>
          <w:kern w:val="0"/>
          <w:szCs w:val="21"/>
          <w:lang w:eastAsia="zh-CN"/>
          <w14:textFill>
            <w14:solidFill>
              <w14:schemeClr w14:val="tx1"/>
            </w14:solidFill>
          </w14:textFill>
        </w:rPr>
        <w:t>东源县教育局</w:t>
      </w:r>
      <w:r>
        <w:rPr>
          <w:rFonts w:hint="eastAsia" w:ascii="宋体" w:hAnsi="宋体" w:cs="宋体"/>
          <w:b/>
          <w:color w:val="000000" w:themeColor="text1"/>
          <w:kern w:val="0"/>
          <w:szCs w:val="21"/>
          <w14:textFill>
            <w14:solidFill>
              <w14:schemeClr w14:val="tx1"/>
            </w14:solidFill>
          </w14:textFill>
        </w:rPr>
        <w:t>、云采链（广州）信息科技有限公司</w:t>
      </w:r>
    </w:p>
    <w:p>
      <w:pPr>
        <w:tabs>
          <w:tab w:val="left" w:pos="6237"/>
        </w:tabs>
        <w:snapToGrid w:val="0"/>
        <w:spacing w:before="156"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w:t>
      </w:r>
      <w:r>
        <w:rPr>
          <w:rFonts w:hint="eastAsia" w:ascii="宋体" w:hAnsi="宋体" w:cs="宋体"/>
          <w:color w:val="000000" w:themeColor="text1"/>
          <w:szCs w:val="21"/>
          <w:highlight w:val="none"/>
          <w14:textFill>
            <w14:solidFill>
              <w14:schemeClr w14:val="tx1"/>
            </w14:solidFill>
          </w14:textFill>
        </w:rPr>
        <w:t>于贵单位、贵司发布</w:t>
      </w:r>
      <w:r>
        <w:rPr>
          <w:rFonts w:hint="eastAsia" w:ascii="宋体" w:hAnsi="宋体" w:eastAsia="宋体" w:cs="宋体"/>
          <w:b/>
          <w:bCs w:val="0"/>
          <w:sz w:val="21"/>
          <w:szCs w:val="21"/>
          <w:u w:val="single"/>
        </w:rPr>
        <w:t>2024年东源县中考体育考试项目</w:t>
      </w:r>
      <w:r>
        <w:rPr>
          <w:rFonts w:hint="eastAsia" w:ascii="宋体" w:hAnsi="宋体" w:cs="宋体"/>
          <w:color w:val="000000" w:themeColor="text1"/>
          <w:szCs w:val="21"/>
          <w:highlight w:val="none"/>
          <w14:textFill>
            <w14:solidFill>
              <w14:schemeClr w14:val="tx1"/>
            </w14:solidFill>
          </w14:textFill>
        </w:rPr>
        <w:t>的</w:t>
      </w:r>
      <w:bookmarkEnd w:id="8"/>
      <w:r>
        <w:rPr>
          <w:rFonts w:hint="eastAsia" w:ascii="宋体" w:hAnsi="宋体" w:cs="宋体"/>
          <w:color w:val="000000" w:themeColor="text1"/>
          <w:szCs w:val="21"/>
          <w14:textFill>
            <w14:solidFill>
              <w14:schemeClr w14:val="tx1"/>
            </w14:solidFill>
          </w14:textFill>
        </w:rPr>
        <w:t>竞价公告，本公司（企业）愿意参加采购活动，并作出如下声明：</w:t>
      </w:r>
    </w:p>
    <w:p>
      <w:pPr>
        <w:tabs>
          <w:tab w:val="left" w:pos="426"/>
        </w:tabs>
        <w:snapToGrid w:val="0"/>
        <w:spacing w:before="156" w:beforeLines="50"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before="156" w:beforeLines="50"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widowControl/>
        <w:spacing w:before="156" w:beforeLines="50" w:line="360" w:lineRule="auto"/>
        <w:jc w:val="left"/>
        <w:rPr>
          <w:rFonts w:ascii="宋体" w:hAnsi="宋体" w:cs="宋体"/>
          <w:b/>
          <w:bCs/>
          <w:color w:val="000000" w:themeColor="text1"/>
          <w:kern w:val="0"/>
          <w:sz w:val="32"/>
          <w:szCs w:val="32"/>
          <w14:textFill>
            <w14:solidFill>
              <w14:schemeClr w14:val="tx1"/>
            </w14:solidFill>
          </w14:textFill>
        </w:rPr>
      </w:pPr>
    </w:p>
    <w:p>
      <w:pPr>
        <w:spacing w:before="156" w:beforeLines="50" w:line="360" w:lineRule="auto"/>
        <w:ind w:firstLine="4796" w:firstLineChars="2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单位盖</w:t>
      </w:r>
      <w:r>
        <w:rPr>
          <w:rFonts w:hint="eastAsia" w:ascii="宋体" w:hAnsi="宋体" w:cs="宋体"/>
          <w:color w:val="000000" w:themeColor="text1"/>
          <w:spacing w:val="4"/>
          <w:szCs w:val="21"/>
          <w14:textFill>
            <w14:solidFill>
              <w14:schemeClr w14:val="tx1"/>
            </w14:solidFill>
          </w14:textFill>
        </w:rPr>
        <w:t>公章）：</w:t>
      </w:r>
      <w:r>
        <w:rPr>
          <w:rFonts w:hint="eastAsia" w:ascii="宋体" w:hAnsi="宋体" w:cs="宋体"/>
          <w:color w:val="000000" w:themeColor="text1"/>
          <w:spacing w:val="4"/>
          <w:szCs w:val="21"/>
          <w:u w:val="single"/>
          <w14:textFill>
            <w14:solidFill>
              <w14:schemeClr w14:val="tx1"/>
            </w14:solidFill>
          </w14:textFill>
        </w:rPr>
        <w:t xml:space="preserve">          </w:t>
      </w:r>
    </w:p>
    <w:p>
      <w:pPr>
        <w:spacing w:before="156" w:beforeLines="50" w:line="360" w:lineRule="auto"/>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     日期：</w:t>
      </w:r>
      <w:r>
        <w:rPr>
          <w:rFonts w:hint="eastAsia" w:ascii="宋体" w:hAnsi="宋体" w:cs="宋体"/>
          <w:color w:val="000000" w:themeColor="text1"/>
          <w:spacing w:val="4"/>
          <w:szCs w:val="21"/>
          <w:u w:val="single"/>
          <w14:textFill>
            <w14:solidFill>
              <w14:schemeClr w14:val="tx1"/>
            </w14:solidFill>
          </w14:textFill>
        </w:rPr>
        <w:t xml:space="preserve">          </w:t>
      </w:r>
    </w:p>
    <w:bookmarkEnd w:id="6"/>
    <w:bookmarkEnd w:id="7"/>
    <w:p>
      <w:pPr>
        <w:pStyle w:val="5"/>
        <w:spacing w:before="156" w:beforeLines="5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供应商资格声明函</w:t>
      </w:r>
    </w:p>
    <w:p>
      <w:pPr>
        <w:autoSpaceDE w:val="0"/>
        <w:autoSpaceDN w:val="0"/>
        <w:adjustRightInd w:val="0"/>
        <w:spacing w:before="156" w:beforeLines="50" w:after="312" w:afterLines="100"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致： </w:t>
      </w:r>
      <w:r>
        <w:rPr>
          <w:rFonts w:hint="eastAsia" w:ascii="宋体" w:hAnsi="宋体" w:cs="宋体"/>
          <w:b/>
          <w:color w:val="000000" w:themeColor="text1"/>
          <w:kern w:val="0"/>
          <w:szCs w:val="21"/>
          <w:lang w:eastAsia="zh-CN"/>
          <w14:textFill>
            <w14:solidFill>
              <w14:schemeClr w14:val="tx1"/>
            </w14:solidFill>
          </w14:textFill>
        </w:rPr>
        <w:t>东源县教育局</w:t>
      </w:r>
      <w:r>
        <w:rPr>
          <w:rFonts w:hint="eastAsia" w:ascii="宋体" w:hAnsi="宋体" w:cs="宋体"/>
          <w:b/>
          <w:color w:val="000000" w:themeColor="text1"/>
          <w:kern w:val="0"/>
          <w:szCs w:val="21"/>
          <w14:textFill>
            <w14:solidFill>
              <w14:schemeClr w14:val="tx1"/>
            </w14:solidFill>
          </w14:textFill>
        </w:rPr>
        <w:t>、云采链（广州）信息科技有限公司</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关于贵单位、</w:t>
      </w:r>
      <w:r>
        <w:rPr>
          <w:rFonts w:hint="eastAsia" w:ascii="宋体" w:hAnsi="宋体" w:cs="宋体"/>
          <w:color w:val="000000" w:themeColor="text1"/>
          <w:szCs w:val="21"/>
          <w:highlight w:val="none"/>
          <w14:textFill>
            <w14:solidFill>
              <w14:schemeClr w14:val="tx1"/>
            </w14:solidFill>
          </w14:textFill>
        </w:rPr>
        <w:t>贵司发布</w:t>
      </w:r>
      <w:r>
        <w:rPr>
          <w:rFonts w:hint="eastAsia" w:ascii="宋体" w:hAnsi="宋体" w:eastAsia="宋体" w:cs="宋体"/>
          <w:b/>
          <w:bCs w:val="0"/>
          <w:sz w:val="21"/>
          <w:szCs w:val="21"/>
          <w:u w:val="single"/>
        </w:rPr>
        <w:t>2024年东源县中考体育考试项目</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竞价公告</w:t>
      </w:r>
      <w:r>
        <w:rPr>
          <w:rFonts w:hint="eastAsia" w:ascii="宋体" w:hAnsi="宋体" w:cs="宋体"/>
          <w:color w:val="000000" w:themeColor="text1"/>
          <w14:textFill>
            <w14:solidFill>
              <w14:schemeClr w14:val="tx1"/>
            </w14:solidFill>
          </w14:textFill>
        </w:rPr>
        <w:t>，本公司（企业）愿意参加竞价，并声明：</w:t>
      </w:r>
    </w:p>
    <w:p>
      <w:pPr>
        <w:snapToGrid w:val="0"/>
        <w:spacing w:before="156" w:beforeLines="50" w:line="360" w:lineRule="auto"/>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一、本公司（企业）</w:t>
      </w:r>
      <w:r>
        <w:rPr>
          <w:rFonts w:hint="eastAsia" w:ascii="宋体" w:hAnsi="宋体" w:cs="宋体"/>
          <w:bCs/>
          <w:color w:val="000000" w:themeColor="text1"/>
          <w:szCs w:val="20"/>
          <w14:textFill>
            <w14:solidFill>
              <w14:schemeClr w14:val="tx1"/>
            </w14:solidFill>
          </w14:textFill>
        </w:rPr>
        <w:t>具备《中华人民共和国政府采购法》第二十二条规定的条件：</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（二）具有良好的商业信誉和健全的财务会计制度； </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二、本公司（企业）具有本次采购项目服务能力。</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三、本公司（企业）有固定的经营场所，信誉良好、售后维护服务好，并且在经营活动中无严重违法记录。</w:t>
      </w:r>
    </w:p>
    <w:p>
      <w:pPr>
        <w:snapToGrid w:val="0"/>
        <w:spacing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四、本公司（企业）在本项目中不转包且不联合竞价。</w:t>
      </w:r>
    </w:p>
    <w:p>
      <w:pPr>
        <w:snapToGrid w:val="0"/>
        <w:spacing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弄虚作假行为，所造成的损失、不良后果及法律责任，一律由我公司（企业）承担。</w:t>
      </w:r>
    </w:p>
    <w:p>
      <w:pPr>
        <w:spacing w:before="156" w:beforeLines="50"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autoSpaceDE w:val="0"/>
        <w:autoSpaceDN w:val="0"/>
        <w:adjustRightInd w:val="0"/>
        <w:spacing w:before="156" w:beforeLines="50" w:line="360" w:lineRule="auto"/>
        <w:ind w:firstLine="413" w:firstLineChars="196"/>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pPr>
        <w:pStyle w:val="57"/>
        <w:numPr>
          <w:ilvl w:val="0"/>
          <w:numId w:val="24"/>
        </w:numPr>
        <w:autoSpaceDE w:val="0"/>
        <w:autoSpaceDN w:val="0"/>
        <w:adjustRightInd w:val="0"/>
        <w:spacing w:before="156" w:beforeLines="50"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本声明函必须提供且内容不得擅自删改，否则视为响应无效。</w:t>
      </w:r>
    </w:p>
    <w:p>
      <w:pPr>
        <w:pStyle w:val="57"/>
        <w:numPr>
          <w:ilvl w:val="0"/>
          <w:numId w:val="24"/>
        </w:numPr>
        <w:snapToGrid w:val="0"/>
        <w:spacing w:before="156" w:beforeLines="50"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本声明函如有虚假或与事实不符的，作无效报价处理。</w:t>
      </w:r>
    </w:p>
    <w:p>
      <w:pPr>
        <w:tabs>
          <w:tab w:val="left" w:pos="426"/>
        </w:tabs>
        <w:adjustRightInd w:val="0"/>
        <w:snapToGrid w:val="0"/>
        <w:spacing w:before="156" w:beforeLines="50" w:line="360" w:lineRule="auto"/>
        <w:rPr>
          <w:rFonts w:ascii="宋体" w:hAnsi="宋体" w:cs="宋体"/>
          <w:bCs/>
          <w:color w:val="000000" w:themeColor="text1"/>
          <w:szCs w:val="20"/>
          <w14:textFill>
            <w14:solidFill>
              <w14:schemeClr w14:val="tx1"/>
            </w14:solidFill>
          </w14:textFill>
        </w:rPr>
      </w:pPr>
    </w:p>
    <w:p>
      <w:pPr>
        <w:spacing w:before="156" w:beforeLines="50" w:line="360" w:lineRule="auto"/>
        <w:ind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供应商名称（单位盖</w:t>
      </w:r>
      <w:r>
        <w:rPr>
          <w:rFonts w:hint="eastAsia" w:ascii="宋体" w:hAnsi="宋体" w:cs="宋体"/>
          <w:color w:val="000000" w:themeColor="text1"/>
          <w:spacing w:val="4"/>
          <w14:textFill>
            <w14:solidFill>
              <w14:schemeClr w14:val="tx1"/>
            </w14:solidFill>
          </w14:textFill>
        </w:rPr>
        <w:t>公章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p>
    <w:p>
      <w:pPr>
        <w:spacing w:before="156"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4320" w:firstLineChars="2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B14"/>
    <w:multiLevelType w:val="singleLevel"/>
    <w:tmpl w:val="920C2B14"/>
    <w:lvl w:ilvl="0" w:tentative="0">
      <w:start w:val="1"/>
      <w:numFmt w:val="chineseCounting"/>
      <w:suff w:val="nothing"/>
      <w:lvlText w:val="（%1）"/>
      <w:lvlJc w:val="left"/>
      <w:pPr>
        <w:ind w:left="0" w:firstLine="420"/>
      </w:pPr>
      <w:rPr>
        <w:rFonts w:hint="eastAsia"/>
      </w:rPr>
    </w:lvl>
  </w:abstractNum>
  <w:abstractNum w:abstractNumId="1">
    <w:nsid w:val="C97C4431"/>
    <w:multiLevelType w:val="singleLevel"/>
    <w:tmpl w:val="C97C4431"/>
    <w:lvl w:ilvl="0" w:tentative="0">
      <w:start w:val="1"/>
      <w:numFmt w:val="decimal"/>
      <w:suff w:val="space"/>
      <w:lvlText w:val="%1."/>
      <w:lvlJc w:val="left"/>
      <w:pPr>
        <w:ind w:left="425" w:hanging="425"/>
      </w:pPr>
      <w:rPr>
        <w:rFonts w:hint="default"/>
      </w:rPr>
    </w:lvl>
  </w:abstractNum>
  <w:abstractNum w:abstractNumId="2">
    <w:nsid w:val="00000031"/>
    <w:multiLevelType w:val="multilevel"/>
    <w:tmpl w:val="0000003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CCF056D"/>
    <w:multiLevelType w:val="multilevel"/>
    <w:tmpl w:val="0CCF056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default"/>
      </w:rPr>
    </w:lvl>
    <w:lvl w:ilvl="3" w:tentative="0">
      <w:start w:val="12"/>
      <w:numFmt w:val="upperLetter"/>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CE62D2F"/>
    <w:multiLevelType w:val="multilevel"/>
    <w:tmpl w:val="2CE62D2F"/>
    <w:lvl w:ilvl="0" w:tentative="0">
      <w:start w:val="1"/>
      <w:numFmt w:val="decimal"/>
      <w:lvlText w:val="%1."/>
      <w:lvlJc w:val="left"/>
      <w:pPr>
        <w:tabs>
          <w:tab w:val="left" w:pos="600"/>
        </w:tabs>
        <w:ind w:left="600" w:hanging="420"/>
      </w:pPr>
      <w:rPr>
        <w:rFonts w:hint="eastAsia"/>
        <w:b w:val="0"/>
      </w:rPr>
    </w:lvl>
    <w:lvl w:ilvl="1" w:tentative="0">
      <w:start w:val="1"/>
      <w:numFmt w:val="decimal"/>
      <w:lvlText w:val="%2)"/>
      <w:lvlJc w:val="left"/>
      <w:pPr>
        <w:tabs>
          <w:tab w:val="left" w:pos="840"/>
        </w:tabs>
        <w:ind w:left="840" w:hanging="420"/>
      </w:pPr>
      <w:rPr>
        <w:rFonts w:hint="eastAsia"/>
        <w:b w:val="0"/>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A838C0B"/>
    <w:multiLevelType w:val="singleLevel"/>
    <w:tmpl w:val="3A838C0B"/>
    <w:lvl w:ilvl="0" w:tentative="0">
      <w:start w:val="1"/>
      <w:numFmt w:val="chineseCounting"/>
      <w:suff w:val="nothing"/>
      <w:lvlText w:val="%1、"/>
      <w:lvlJc w:val="left"/>
      <w:pPr>
        <w:ind w:left="-210" w:firstLine="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2328464"/>
    <w:multiLevelType w:val="singleLevel"/>
    <w:tmpl w:val="52328464"/>
    <w:lvl w:ilvl="0" w:tentative="0">
      <w:start w:val="1"/>
      <w:numFmt w:val="decimal"/>
      <w:suff w:val="space"/>
      <w:lvlText w:val="%1."/>
      <w:lvlJc w:val="left"/>
      <w:pPr>
        <w:ind w:left="425" w:hanging="425"/>
      </w:pPr>
      <w:rPr>
        <w:rFonts w:hint="default"/>
      </w:rPr>
    </w:lvl>
  </w:abstractNum>
  <w:abstractNum w:abstractNumId="17">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default" w:ascii="宋体" w:hAnsi="宋体"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C735AA"/>
    <w:multiLevelType w:val="singleLevel"/>
    <w:tmpl w:val="69C735AA"/>
    <w:lvl w:ilvl="0" w:tentative="0">
      <w:start w:val="1"/>
      <w:numFmt w:val="chineseCounting"/>
      <w:suff w:val="nothing"/>
      <w:lvlText w:val="（%1）"/>
      <w:lvlJc w:val="left"/>
      <w:pPr>
        <w:ind w:left="0" w:firstLine="420"/>
      </w:pPr>
      <w:rPr>
        <w:rFonts w:hint="eastAsia"/>
        <w:b/>
        <w:bCs/>
      </w:rPr>
    </w:lvl>
  </w:abstractNum>
  <w:abstractNum w:abstractNumId="20">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9D2EB3"/>
    <w:multiLevelType w:val="singleLevel"/>
    <w:tmpl w:val="749D2EB3"/>
    <w:lvl w:ilvl="0" w:tentative="0">
      <w:start w:val="1"/>
      <w:numFmt w:val="chineseCounting"/>
      <w:suff w:val="nothing"/>
      <w:lvlText w:val="（%1）"/>
      <w:lvlJc w:val="left"/>
      <w:pPr>
        <w:ind w:left="-210" w:firstLine="420"/>
      </w:pPr>
      <w:rPr>
        <w:rFonts w:hint="eastAsia"/>
      </w:rPr>
    </w:lvl>
  </w:abstractNum>
  <w:abstractNum w:abstractNumId="23">
    <w:nsid w:val="76E92880"/>
    <w:multiLevelType w:val="multilevel"/>
    <w:tmpl w:val="76E92880"/>
    <w:lvl w:ilvl="0" w:tentative="0">
      <w:start w:val="1"/>
      <w:numFmt w:val="decimal"/>
      <w:suff w:val="nothing"/>
      <w:lvlText w:val="%1)"/>
      <w:lvlJc w:val="left"/>
      <w:pPr>
        <w:ind w:left="840"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8"/>
  </w:num>
  <w:num w:numId="2">
    <w:abstractNumId w:val="11"/>
  </w:num>
  <w:num w:numId="3">
    <w:abstractNumId w:val="13"/>
  </w:num>
  <w:num w:numId="4">
    <w:abstractNumId w:val="8"/>
  </w:num>
  <w:num w:numId="5">
    <w:abstractNumId w:val="7"/>
  </w:num>
  <w:num w:numId="6">
    <w:abstractNumId w:val="23"/>
  </w:num>
  <w:num w:numId="7">
    <w:abstractNumId w:val="17"/>
  </w:num>
  <w:num w:numId="8">
    <w:abstractNumId w:val="4"/>
  </w:num>
  <w:num w:numId="9">
    <w:abstractNumId w:val="5"/>
  </w:num>
  <w:num w:numId="10">
    <w:abstractNumId w:val="14"/>
  </w:num>
  <w:num w:numId="11">
    <w:abstractNumId w:val="6"/>
  </w:num>
  <w:num w:numId="12">
    <w:abstractNumId w:val="3"/>
  </w:num>
  <w:num w:numId="13">
    <w:abstractNumId w:val="9"/>
  </w:num>
  <w:num w:numId="14">
    <w:abstractNumId w:val="12"/>
  </w:num>
  <w:num w:numId="15">
    <w:abstractNumId w:val="22"/>
  </w:num>
  <w:num w:numId="16">
    <w:abstractNumId w:val="16"/>
  </w:num>
  <w:num w:numId="17">
    <w:abstractNumId w:val="0"/>
  </w:num>
  <w:num w:numId="18">
    <w:abstractNumId w:val="19"/>
  </w:num>
  <w:num w:numId="19">
    <w:abstractNumId w:val="1"/>
  </w:num>
  <w:num w:numId="20">
    <w:abstractNumId w:val="10"/>
  </w:num>
  <w:num w:numId="21">
    <w:abstractNumId w:val="2"/>
  </w:num>
  <w:num w:numId="22">
    <w:abstractNumId w:val="20"/>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172A27"/>
    <w:rsid w:val="00002875"/>
    <w:rsid w:val="000047BB"/>
    <w:rsid w:val="00004CA2"/>
    <w:rsid w:val="00011804"/>
    <w:rsid w:val="00013F16"/>
    <w:rsid w:val="00014569"/>
    <w:rsid w:val="00016258"/>
    <w:rsid w:val="0002422D"/>
    <w:rsid w:val="00024B88"/>
    <w:rsid w:val="00033431"/>
    <w:rsid w:val="00037B46"/>
    <w:rsid w:val="00045504"/>
    <w:rsid w:val="00045AA3"/>
    <w:rsid w:val="000477E3"/>
    <w:rsid w:val="00050475"/>
    <w:rsid w:val="00050A79"/>
    <w:rsid w:val="000526EC"/>
    <w:rsid w:val="00053414"/>
    <w:rsid w:val="00057617"/>
    <w:rsid w:val="00062916"/>
    <w:rsid w:val="0006331D"/>
    <w:rsid w:val="00066419"/>
    <w:rsid w:val="000703A1"/>
    <w:rsid w:val="00072631"/>
    <w:rsid w:val="00072FE6"/>
    <w:rsid w:val="000826DF"/>
    <w:rsid w:val="000828EA"/>
    <w:rsid w:val="00082A54"/>
    <w:rsid w:val="00085E43"/>
    <w:rsid w:val="00090BDE"/>
    <w:rsid w:val="00090CC1"/>
    <w:rsid w:val="00091A56"/>
    <w:rsid w:val="00092EAD"/>
    <w:rsid w:val="000949A1"/>
    <w:rsid w:val="000979D5"/>
    <w:rsid w:val="000A4287"/>
    <w:rsid w:val="000A59EC"/>
    <w:rsid w:val="000B2445"/>
    <w:rsid w:val="000B4E2D"/>
    <w:rsid w:val="000B68D9"/>
    <w:rsid w:val="000B6D13"/>
    <w:rsid w:val="000B72ED"/>
    <w:rsid w:val="000D19E2"/>
    <w:rsid w:val="000D2411"/>
    <w:rsid w:val="000D417C"/>
    <w:rsid w:val="000D540F"/>
    <w:rsid w:val="000D6F22"/>
    <w:rsid w:val="000E7D3C"/>
    <w:rsid w:val="000F167E"/>
    <w:rsid w:val="000F3FA0"/>
    <w:rsid w:val="000F55D9"/>
    <w:rsid w:val="00111AEC"/>
    <w:rsid w:val="0011744D"/>
    <w:rsid w:val="00120227"/>
    <w:rsid w:val="0012281D"/>
    <w:rsid w:val="00122DED"/>
    <w:rsid w:val="00127356"/>
    <w:rsid w:val="00131035"/>
    <w:rsid w:val="00132BBD"/>
    <w:rsid w:val="00134043"/>
    <w:rsid w:val="00135F70"/>
    <w:rsid w:val="00136C24"/>
    <w:rsid w:val="00137405"/>
    <w:rsid w:val="001412BA"/>
    <w:rsid w:val="00147460"/>
    <w:rsid w:val="00157EB5"/>
    <w:rsid w:val="00161E77"/>
    <w:rsid w:val="00165072"/>
    <w:rsid w:val="00172A27"/>
    <w:rsid w:val="00173A57"/>
    <w:rsid w:val="00180DE6"/>
    <w:rsid w:val="00183E04"/>
    <w:rsid w:val="00183EF1"/>
    <w:rsid w:val="00184DB9"/>
    <w:rsid w:val="00187602"/>
    <w:rsid w:val="00187CBB"/>
    <w:rsid w:val="0019182D"/>
    <w:rsid w:val="001968BB"/>
    <w:rsid w:val="00197B47"/>
    <w:rsid w:val="001A2E2C"/>
    <w:rsid w:val="001A6FE8"/>
    <w:rsid w:val="001B0636"/>
    <w:rsid w:val="001B1D1E"/>
    <w:rsid w:val="001B559E"/>
    <w:rsid w:val="001B6DAD"/>
    <w:rsid w:val="001C1355"/>
    <w:rsid w:val="001C1CB1"/>
    <w:rsid w:val="001C54B8"/>
    <w:rsid w:val="001D133B"/>
    <w:rsid w:val="001D1F61"/>
    <w:rsid w:val="001D2A2E"/>
    <w:rsid w:val="001D2AF2"/>
    <w:rsid w:val="001D742E"/>
    <w:rsid w:val="001D760E"/>
    <w:rsid w:val="001E198B"/>
    <w:rsid w:val="001E4FB8"/>
    <w:rsid w:val="001F2030"/>
    <w:rsid w:val="001F2388"/>
    <w:rsid w:val="001F4DBE"/>
    <w:rsid w:val="001F715D"/>
    <w:rsid w:val="0020775C"/>
    <w:rsid w:val="0021163D"/>
    <w:rsid w:val="002207EF"/>
    <w:rsid w:val="00222F6F"/>
    <w:rsid w:val="00223EA8"/>
    <w:rsid w:val="002243B8"/>
    <w:rsid w:val="00230A35"/>
    <w:rsid w:val="002334C4"/>
    <w:rsid w:val="00233B9F"/>
    <w:rsid w:val="002408FE"/>
    <w:rsid w:val="00243B08"/>
    <w:rsid w:val="00250EFD"/>
    <w:rsid w:val="00251438"/>
    <w:rsid w:val="0025448D"/>
    <w:rsid w:val="002546A0"/>
    <w:rsid w:val="00254D8C"/>
    <w:rsid w:val="00255EE3"/>
    <w:rsid w:val="00261E56"/>
    <w:rsid w:val="00266B56"/>
    <w:rsid w:val="0026774A"/>
    <w:rsid w:val="00270493"/>
    <w:rsid w:val="0027114C"/>
    <w:rsid w:val="002751E7"/>
    <w:rsid w:val="00276EAE"/>
    <w:rsid w:val="00280B17"/>
    <w:rsid w:val="00280B89"/>
    <w:rsid w:val="00283624"/>
    <w:rsid w:val="00284FC1"/>
    <w:rsid w:val="00290393"/>
    <w:rsid w:val="00292D11"/>
    <w:rsid w:val="00293CEA"/>
    <w:rsid w:val="002952DD"/>
    <w:rsid w:val="002974D3"/>
    <w:rsid w:val="002A5223"/>
    <w:rsid w:val="002A5BC9"/>
    <w:rsid w:val="002B2D4B"/>
    <w:rsid w:val="002B4E86"/>
    <w:rsid w:val="002B4EF3"/>
    <w:rsid w:val="002C1810"/>
    <w:rsid w:val="002C3EB4"/>
    <w:rsid w:val="002C7C92"/>
    <w:rsid w:val="002D1B13"/>
    <w:rsid w:val="002D46B9"/>
    <w:rsid w:val="002D50B8"/>
    <w:rsid w:val="002D7F7D"/>
    <w:rsid w:val="002E0A98"/>
    <w:rsid w:val="002E1DAB"/>
    <w:rsid w:val="002E2987"/>
    <w:rsid w:val="002E2B19"/>
    <w:rsid w:val="002E4E9F"/>
    <w:rsid w:val="002F1439"/>
    <w:rsid w:val="002F595F"/>
    <w:rsid w:val="00304910"/>
    <w:rsid w:val="0030507A"/>
    <w:rsid w:val="003147EF"/>
    <w:rsid w:val="00315B01"/>
    <w:rsid w:val="00316972"/>
    <w:rsid w:val="0031736A"/>
    <w:rsid w:val="00317A01"/>
    <w:rsid w:val="00326966"/>
    <w:rsid w:val="00330575"/>
    <w:rsid w:val="00333D8B"/>
    <w:rsid w:val="00336612"/>
    <w:rsid w:val="00337958"/>
    <w:rsid w:val="003405CB"/>
    <w:rsid w:val="003409C1"/>
    <w:rsid w:val="00346793"/>
    <w:rsid w:val="003474BF"/>
    <w:rsid w:val="0035095E"/>
    <w:rsid w:val="00351545"/>
    <w:rsid w:val="00355588"/>
    <w:rsid w:val="003565C2"/>
    <w:rsid w:val="003566B7"/>
    <w:rsid w:val="003614C0"/>
    <w:rsid w:val="003754CA"/>
    <w:rsid w:val="0038240E"/>
    <w:rsid w:val="003835E3"/>
    <w:rsid w:val="00383C76"/>
    <w:rsid w:val="003848C6"/>
    <w:rsid w:val="003904C1"/>
    <w:rsid w:val="00392A95"/>
    <w:rsid w:val="00395A7A"/>
    <w:rsid w:val="00395C18"/>
    <w:rsid w:val="003A4268"/>
    <w:rsid w:val="003A63B6"/>
    <w:rsid w:val="003B6474"/>
    <w:rsid w:val="003C0156"/>
    <w:rsid w:val="003C0EB1"/>
    <w:rsid w:val="003D0103"/>
    <w:rsid w:val="003D1B9D"/>
    <w:rsid w:val="003D1CAF"/>
    <w:rsid w:val="003D57A0"/>
    <w:rsid w:val="003D58C9"/>
    <w:rsid w:val="003D7949"/>
    <w:rsid w:val="003E3E45"/>
    <w:rsid w:val="003E7AE8"/>
    <w:rsid w:val="003F0D03"/>
    <w:rsid w:val="003F5649"/>
    <w:rsid w:val="003F5847"/>
    <w:rsid w:val="003F7750"/>
    <w:rsid w:val="004177DD"/>
    <w:rsid w:val="0042220D"/>
    <w:rsid w:val="00431ABC"/>
    <w:rsid w:val="00442C44"/>
    <w:rsid w:val="004449F2"/>
    <w:rsid w:val="0044597A"/>
    <w:rsid w:val="00447663"/>
    <w:rsid w:val="00447BC5"/>
    <w:rsid w:val="004616AD"/>
    <w:rsid w:val="00465005"/>
    <w:rsid w:val="00474194"/>
    <w:rsid w:val="0047628A"/>
    <w:rsid w:val="0048189D"/>
    <w:rsid w:val="004854A9"/>
    <w:rsid w:val="0048632C"/>
    <w:rsid w:val="004864A6"/>
    <w:rsid w:val="004877C9"/>
    <w:rsid w:val="00487BA6"/>
    <w:rsid w:val="0049111A"/>
    <w:rsid w:val="00491E8F"/>
    <w:rsid w:val="00496293"/>
    <w:rsid w:val="00497C3D"/>
    <w:rsid w:val="00497EEA"/>
    <w:rsid w:val="004A076F"/>
    <w:rsid w:val="004A1F77"/>
    <w:rsid w:val="004A613B"/>
    <w:rsid w:val="004A7340"/>
    <w:rsid w:val="004A7F18"/>
    <w:rsid w:val="004B0A89"/>
    <w:rsid w:val="004B6F8B"/>
    <w:rsid w:val="004C1509"/>
    <w:rsid w:val="004C6A37"/>
    <w:rsid w:val="004D091B"/>
    <w:rsid w:val="004D3A3A"/>
    <w:rsid w:val="004D6364"/>
    <w:rsid w:val="004D64A4"/>
    <w:rsid w:val="004E076E"/>
    <w:rsid w:val="004E3308"/>
    <w:rsid w:val="004E358B"/>
    <w:rsid w:val="004F1AED"/>
    <w:rsid w:val="004F2546"/>
    <w:rsid w:val="004F3085"/>
    <w:rsid w:val="004F3691"/>
    <w:rsid w:val="004F3ED8"/>
    <w:rsid w:val="004F4820"/>
    <w:rsid w:val="004F5251"/>
    <w:rsid w:val="005010E3"/>
    <w:rsid w:val="005048F5"/>
    <w:rsid w:val="0051005C"/>
    <w:rsid w:val="0051193A"/>
    <w:rsid w:val="00526375"/>
    <w:rsid w:val="005267A5"/>
    <w:rsid w:val="00527E89"/>
    <w:rsid w:val="00532FC4"/>
    <w:rsid w:val="0054347E"/>
    <w:rsid w:val="00544A21"/>
    <w:rsid w:val="00545159"/>
    <w:rsid w:val="00556429"/>
    <w:rsid w:val="005657AF"/>
    <w:rsid w:val="00570A8B"/>
    <w:rsid w:val="00570B6E"/>
    <w:rsid w:val="00573460"/>
    <w:rsid w:val="00573964"/>
    <w:rsid w:val="0058017D"/>
    <w:rsid w:val="0058098C"/>
    <w:rsid w:val="00582AAE"/>
    <w:rsid w:val="00587805"/>
    <w:rsid w:val="00590243"/>
    <w:rsid w:val="005911DF"/>
    <w:rsid w:val="005926CE"/>
    <w:rsid w:val="0059642D"/>
    <w:rsid w:val="005A11F7"/>
    <w:rsid w:val="005A72BB"/>
    <w:rsid w:val="005B51B7"/>
    <w:rsid w:val="005C0A63"/>
    <w:rsid w:val="005C5743"/>
    <w:rsid w:val="005C60C2"/>
    <w:rsid w:val="005D1CA3"/>
    <w:rsid w:val="005D2D9D"/>
    <w:rsid w:val="005D6774"/>
    <w:rsid w:val="005D7549"/>
    <w:rsid w:val="005F0953"/>
    <w:rsid w:val="005F0D74"/>
    <w:rsid w:val="005F1DBA"/>
    <w:rsid w:val="005F3226"/>
    <w:rsid w:val="005F778B"/>
    <w:rsid w:val="00606B14"/>
    <w:rsid w:val="006076D8"/>
    <w:rsid w:val="00613A2E"/>
    <w:rsid w:val="00620B2F"/>
    <w:rsid w:val="006213DA"/>
    <w:rsid w:val="00624DA8"/>
    <w:rsid w:val="006268B3"/>
    <w:rsid w:val="00627FAC"/>
    <w:rsid w:val="00634ADB"/>
    <w:rsid w:val="00641298"/>
    <w:rsid w:val="00641522"/>
    <w:rsid w:val="0064185E"/>
    <w:rsid w:val="00643624"/>
    <w:rsid w:val="006468EF"/>
    <w:rsid w:val="00671605"/>
    <w:rsid w:val="00677E21"/>
    <w:rsid w:val="0068013C"/>
    <w:rsid w:val="00680384"/>
    <w:rsid w:val="00680BF5"/>
    <w:rsid w:val="006948BC"/>
    <w:rsid w:val="006A31BC"/>
    <w:rsid w:val="006A483A"/>
    <w:rsid w:val="006A4E0E"/>
    <w:rsid w:val="006A51B4"/>
    <w:rsid w:val="006A5B2A"/>
    <w:rsid w:val="006A7ECD"/>
    <w:rsid w:val="006B08D2"/>
    <w:rsid w:val="006B1967"/>
    <w:rsid w:val="006B1D5F"/>
    <w:rsid w:val="006B2633"/>
    <w:rsid w:val="006C0057"/>
    <w:rsid w:val="006C15B5"/>
    <w:rsid w:val="006C6DD5"/>
    <w:rsid w:val="006C7A12"/>
    <w:rsid w:val="006D06CC"/>
    <w:rsid w:val="006D4CCB"/>
    <w:rsid w:val="006D6B90"/>
    <w:rsid w:val="006D6EF6"/>
    <w:rsid w:val="006E08F4"/>
    <w:rsid w:val="006E4445"/>
    <w:rsid w:val="006F36C2"/>
    <w:rsid w:val="006F7B6F"/>
    <w:rsid w:val="006F7DF0"/>
    <w:rsid w:val="0070519B"/>
    <w:rsid w:val="00705B1A"/>
    <w:rsid w:val="00705D7A"/>
    <w:rsid w:val="0070657E"/>
    <w:rsid w:val="00710185"/>
    <w:rsid w:val="00716A4E"/>
    <w:rsid w:val="00723482"/>
    <w:rsid w:val="007253DA"/>
    <w:rsid w:val="007309BF"/>
    <w:rsid w:val="00730F36"/>
    <w:rsid w:val="00733872"/>
    <w:rsid w:val="00735C02"/>
    <w:rsid w:val="00736FEB"/>
    <w:rsid w:val="00737594"/>
    <w:rsid w:val="00744AA5"/>
    <w:rsid w:val="00744ED4"/>
    <w:rsid w:val="0074526F"/>
    <w:rsid w:val="007462DC"/>
    <w:rsid w:val="00755211"/>
    <w:rsid w:val="00755486"/>
    <w:rsid w:val="00757161"/>
    <w:rsid w:val="0076332A"/>
    <w:rsid w:val="00771CC5"/>
    <w:rsid w:val="007722B7"/>
    <w:rsid w:val="00772866"/>
    <w:rsid w:val="0077355D"/>
    <w:rsid w:val="0077469C"/>
    <w:rsid w:val="00775144"/>
    <w:rsid w:val="0077723F"/>
    <w:rsid w:val="00784258"/>
    <w:rsid w:val="00784C38"/>
    <w:rsid w:val="00787697"/>
    <w:rsid w:val="007877CA"/>
    <w:rsid w:val="00790924"/>
    <w:rsid w:val="0079320A"/>
    <w:rsid w:val="00797B4F"/>
    <w:rsid w:val="007A1441"/>
    <w:rsid w:val="007A2849"/>
    <w:rsid w:val="007B1867"/>
    <w:rsid w:val="007C00A8"/>
    <w:rsid w:val="007C4EC5"/>
    <w:rsid w:val="007C5AED"/>
    <w:rsid w:val="007D17A8"/>
    <w:rsid w:val="007D1892"/>
    <w:rsid w:val="007D2899"/>
    <w:rsid w:val="007D5EC0"/>
    <w:rsid w:val="007E4375"/>
    <w:rsid w:val="007F2F40"/>
    <w:rsid w:val="007F32E7"/>
    <w:rsid w:val="007F5629"/>
    <w:rsid w:val="008012F3"/>
    <w:rsid w:val="008030F0"/>
    <w:rsid w:val="008053F2"/>
    <w:rsid w:val="00805B8F"/>
    <w:rsid w:val="0080726B"/>
    <w:rsid w:val="00813A19"/>
    <w:rsid w:val="00814A98"/>
    <w:rsid w:val="0082264F"/>
    <w:rsid w:val="00823117"/>
    <w:rsid w:val="00824F28"/>
    <w:rsid w:val="00827ECD"/>
    <w:rsid w:val="0083080C"/>
    <w:rsid w:val="00833BFF"/>
    <w:rsid w:val="008413B1"/>
    <w:rsid w:val="008435D7"/>
    <w:rsid w:val="0084758E"/>
    <w:rsid w:val="00856A87"/>
    <w:rsid w:val="0086000E"/>
    <w:rsid w:val="00866EBA"/>
    <w:rsid w:val="00871EF6"/>
    <w:rsid w:val="00874492"/>
    <w:rsid w:val="00877FA5"/>
    <w:rsid w:val="008818B0"/>
    <w:rsid w:val="00886484"/>
    <w:rsid w:val="008902E7"/>
    <w:rsid w:val="00893642"/>
    <w:rsid w:val="008A11C6"/>
    <w:rsid w:val="008A599C"/>
    <w:rsid w:val="008B34CB"/>
    <w:rsid w:val="008B649C"/>
    <w:rsid w:val="008B77B3"/>
    <w:rsid w:val="008C48E3"/>
    <w:rsid w:val="008C4E5A"/>
    <w:rsid w:val="008C6CEA"/>
    <w:rsid w:val="008C7D6E"/>
    <w:rsid w:val="008D00E1"/>
    <w:rsid w:val="008E0F16"/>
    <w:rsid w:val="008E4F3A"/>
    <w:rsid w:val="008E5B91"/>
    <w:rsid w:val="008F5BFE"/>
    <w:rsid w:val="008F6694"/>
    <w:rsid w:val="00902C34"/>
    <w:rsid w:val="00912379"/>
    <w:rsid w:val="00912ACC"/>
    <w:rsid w:val="00914308"/>
    <w:rsid w:val="00917100"/>
    <w:rsid w:val="00922043"/>
    <w:rsid w:val="00923A84"/>
    <w:rsid w:val="009309B1"/>
    <w:rsid w:val="0093376A"/>
    <w:rsid w:val="009338D1"/>
    <w:rsid w:val="0093680C"/>
    <w:rsid w:val="00940559"/>
    <w:rsid w:val="00941B21"/>
    <w:rsid w:val="00950AB4"/>
    <w:rsid w:val="00953B14"/>
    <w:rsid w:val="009550AB"/>
    <w:rsid w:val="00957673"/>
    <w:rsid w:val="00962046"/>
    <w:rsid w:val="00967348"/>
    <w:rsid w:val="00973526"/>
    <w:rsid w:val="00973661"/>
    <w:rsid w:val="00976371"/>
    <w:rsid w:val="0097642D"/>
    <w:rsid w:val="00977FED"/>
    <w:rsid w:val="00980AED"/>
    <w:rsid w:val="00981DA9"/>
    <w:rsid w:val="00986293"/>
    <w:rsid w:val="00986B8A"/>
    <w:rsid w:val="00990F8F"/>
    <w:rsid w:val="0099218E"/>
    <w:rsid w:val="0099223F"/>
    <w:rsid w:val="00992350"/>
    <w:rsid w:val="009A29E3"/>
    <w:rsid w:val="009A7E0C"/>
    <w:rsid w:val="009B7327"/>
    <w:rsid w:val="009C1063"/>
    <w:rsid w:val="009C1F5D"/>
    <w:rsid w:val="009D12A1"/>
    <w:rsid w:val="009D1B0F"/>
    <w:rsid w:val="009D300A"/>
    <w:rsid w:val="009D3D09"/>
    <w:rsid w:val="009E556D"/>
    <w:rsid w:val="009F1B49"/>
    <w:rsid w:val="009F3B40"/>
    <w:rsid w:val="009F4BF5"/>
    <w:rsid w:val="009F5B49"/>
    <w:rsid w:val="009F6559"/>
    <w:rsid w:val="009F7AC3"/>
    <w:rsid w:val="00A01787"/>
    <w:rsid w:val="00A0223E"/>
    <w:rsid w:val="00A04DD9"/>
    <w:rsid w:val="00A10315"/>
    <w:rsid w:val="00A11D01"/>
    <w:rsid w:val="00A25A52"/>
    <w:rsid w:val="00A30726"/>
    <w:rsid w:val="00A35263"/>
    <w:rsid w:val="00A35B70"/>
    <w:rsid w:val="00A35C61"/>
    <w:rsid w:val="00A360FE"/>
    <w:rsid w:val="00A4193E"/>
    <w:rsid w:val="00A42C9B"/>
    <w:rsid w:val="00A47EDF"/>
    <w:rsid w:val="00A51497"/>
    <w:rsid w:val="00A53B20"/>
    <w:rsid w:val="00A604C0"/>
    <w:rsid w:val="00A61E05"/>
    <w:rsid w:val="00A63BA9"/>
    <w:rsid w:val="00A63BFB"/>
    <w:rsid w:val="00A64B7C"/>
    <w:rsid w:val="00A66314"/>
    <w:rsid w:val="00A707CB"/>
    <w:rsid w:val="00A73152"/>
    <w:rsid w:val="00A74105"/>
    <w:rsid w:val="00A744E7"/>
    <w:rsid w:val="00A757EC"/>
    <w:rsid w:val="00A77254"/>
    <w:rsid w:val="00A82447"/>
    <w:rsid w:val="00A82C07"/>
    <w:rsid w:val="00A8410D"/>
    <w:rsid w:val="00A85B8F"/>
    <w:rsid w:val="00A865AC"/>
    <w:rsid w:val="00A90D99"/>
    <w:rsid w:val="00A97D5E"/>
    <w:rsid w:val="00AA20A3"/>
    <w:rsid w:val="00AA3737"/>
    <w:rsid w:val="00AA3796"/>
    <w:rsid w:val="00AA7DFC"/>
    <w:rsid w:val="00AB0B4D"/>
    <w:rsid w:val="00AC1C01"/>
    <w:rsid w:val="00AC2610"/>
    <w:rsid w:val="00AC42D5"/>
    <w:rsid w:val="00AC5576"/>
    <w:rsid w:val="00AC5C30"/>
    <w:rsid w:val="00AD1837"/>
    <w:rsid w:val="00AD31B5"/>
    <w:rsid w:val="00AD4052"/>
    <w:rsid w:val="00AD5C59"/>
    <w:rsid w:val="00AD5F20"/>
    <w:rsid w:val="00AE275B"/>
    <w:rsid w:val="00AE7BF0"/>
    <w:rsid w:val="00AF03E4"/>
    <w:rsid w:val="00AF2AB0"/>
    <w:rsid w:val="00AF31A0"/>
    <w:rsid w:val="00AF3F45"/>
    <w:rsid w:val="00AF7C1D"/>
    <w:rsid w:val="00B00022"/>
    <w:rsid w:val="00B0034A"/>
    <w:rsid w:val="00B04EF9"/>
    <w:rsid w:val="00B0704C"/>
    <w:rsid w:val="00B125D4"/>
    <w:rsid w:val="00B12872"/>
    <w:rsid w:val="00B12B32"/>
    <w:rsid w:val="00B13119"/>
    <w:rsid w:val="00B140F2"/>
    <w:rsid w:val="00B22730"/>
    <w:rsid w:val="00B227A8"/>
    <w:rsid w:val="00B23DAE"/>
    <w:rsid w:val="00B377F6"/>
    <w:rsid w:val="00B419D1"/>
    <w:rsid w:val="00B4517C"/>
    <w:rsid w:val="00B452C9"/>
    <w:rsid w:val="00B47A50"/>
    <w:rsid w:val="00B505D9"/>
    <w:rsid w:val="00B52286"/>
    <w:rsid w:val="00B55B86"/>
    <w:rsid w:val="00B6064A"/>
    <w:rsid w:val="00B63C5A"/>
    <w:rsid w:val="00B64291"/>
    <w:rsid w:val="00B67A47"/>
    <w:rsid w:val="00B767A2"/>
    <w:rsid w:val="00B76BFC"/>
    <w:rsid w:val="00B77878"/>
    <w:rsid w:val="00B8053B"/>
    <w:rsid w:val="00B80FD2"/>
    <w:rsid w:val="00B8434A"/>
    <w:rsid w:val="00B860E4"/>
    <w:rsid w:val="00B977E3"/>
    <w:rsid w:val="00BA13BE"/>
    <w:rsid w:val="00BA2672"/>
    <w:rsid w:val="00BA311A"/>
    <w:rsid w:val="00BA6EE8"/>
    <w:rsid w:val="00BB009E"/>
    <w:rsid w:val="00BB1814"/>
    <w:rsid w:val="00BB3C61"/>
    <w:rsid w:val="00BC0F1A"/>
    <w:rsid w:val="00BC1DCC"/>
    <w:rsid w:val="00BC5545"/>
    <w:rsid w:val="00BC6271"/>
    <w:rsid w:val="00BD4D69"/>
    <w:rsid w:val="00BD73E6"/>
    <w:rsid w:val="00BE3832"/>
    <w:rsid w:val="00BE606E"/>
    <w:rsid w:val="00BF6993"/>
    <w:rsid w:val="00C00C99"/>
    <w:rsid w:val="00C01A95"/>
    <w:rsid w:val="00C03C4A"/>
    <w:rsid w:val="00C06AF7"/>
    <w:rsid w:val="00C10A8F"/>
    <w:rsid w:val="00C10A94"/>
    <w:rsid w:val="00C158CC"/>
    <w:rsid w:val="00C17B7A"/>
    <w:rsid w:val="00C209C4"/>
    <w:rsid w:val="00C2425C"/>
    <w:rsid w:val="00C247A0"/>
    <w:rsid w:val="00C24F49"/>
    <w:rsid w:val="00C259F4"/>
    <w:rsid w:val="00C269F6"/>
    <w:rsid w:val="00C325CB"/>
    <w:rsid w:val="00C34709"/>
    <w:rsid w:val="00C34C90"/>
    <w:rsid w:val="00C35C1E"/>
    <w:rsid w:val="00C43FD9"/>
    <w:rsid w:val="00C45ECA"/>
    <w:rsid w:val="00C47A91"/>
    <w:rsid w:val="00C51E01"/>
    <w:rsid w:val="00C549A0"/>
    <w:rsid w:val="00C57B58"/>
    <w:rsid w:val="00C620A6"/>
    <w:rsid w:val="00C711EB"/>
    <w:rsid w:val="00C72A15"/>
    <w:rsid w:val="00C76B54"/>
    <w:rsid w:val="00C8521B"/>
    <w:rsid w:val="00C87573"/>
    <w:rsid w:val="00C9065C"/>
    <w:rsid w:val="00C96563"/>
    <w:rsid w:val="00CA211E"/>
    <w:rsid w:val="00CA24DB"/>
    <w:rsid w:val="00CA288D"/>
    <w:rsid w:val="00CA5898"/>
    <w:rsid w:val="00CA7603"/>
    <w:rsid w:val="00CB5FC9"/>
    <w:rsid w:val="00CC0668"/>
    <w:rsid w:val="00CC1CDC"/>
    <w:rsid w:val="00CC2EDA"/>
    <w:rsid w:val="00CC68C8"/>
    <w:rsid w:val="00CD0B45"/>
    <w:rsid w:val="00CD1131"/>
    <w:rsid w:val="00CD4189"/>
    <w:rsid w:val="00CD5C8D"/>
    <w:rsid w:val="00CD5D6D"/>
    <w:rsid w:val="00CD7091"/>
    <w:rsid w:val="00CD765C"/>
    <w:rsid w:val="00CE2094"/>
    <w:rsid w:val="00CE2115"/>
    <w:rsid w:val="00CE2B88"/>
    <w:rsid w:val="00CE6EC9"/>
    <w:rsid w:val="00CF6F99"/>
    <w:rsid w:val="00CF7A85"/>
    <w:rsid w:val="00D06529"/>
    <w:rsid w:val="00D111BB"/>
    <w:rsid w:val="00D15BD2"/>
    <w:rsid w:val="00D16785"/>
    <w:rsid w:val="00D24291"/>
    <w:rsid w:val="00D25073"/>
    <w:rsid w:val="00D27629"/>
    <w:rsid w:val="00D30CCD"/>
    <w:rsid w:val="00D365F8"/>
    <w:rsid w:val="00D36F22"/>
    <w:rsid w:val="00D3745A"/>
    <w:rsid w:val="00D37ED4"/>
    <w:rsid w:val="00D40543"/>
    <w:rsid w:val="00D41BB0"/>
    <w:rsid w:val="00D44341"/>
    <w:rsid w:val="00D47246"/>
    <w:rsid w:val="00D47AA7"/>
    <w:rsid w:val="00D54156"/>
    <w:rsid w:val="00D5724C"/>
    <w:rsid w:val="00D60068"/>
    <w:rsid w:val="00D60199"/>
    <w:rsid w:val="00D655BF"/>
    <w:rsid w:val="00D71170"/>
    <w:rsid w:val="00D7141E"/>
    <w:rsid w:val="00D824B1"/>
    <w:rsid w:val="00D8266F"/>
    <w:rsid w:val="00D86822"/>
    <w:rsid w:val="00D86FE0"/>
    <w:rsid w:val="00D91425"/>
    <w:rsid w:val="00D92318"/>
    <w:rsid w:val="00D92449"/>
    <w:rsid w:val="00D967CD"/>
    <w:rsid w:val="00D97F2B"/>
    <w:rsid w:val="00DA30BC"/>
    <w:rsid w:val="00DA4074"/>
    <w:rsid w:val="00DA4324"/>
    <w:rsid w:val="00DB01A1"/>
    <w:rsid w:val="00DC207E"/>
    <w:rsid w:val="00DC281E"/>
    <w:rsid w:val="00DC2E89"/>
    <w:rsid w:val="00DC51B6"/>
    <w:rsid w:val="00DC5873"/>
    <w:rsid w:val="00DC7191"/>
    <w:rsid w:val="00DD0299"/>
    <w:rsid w:val="00DD1A4E"/>
    <w:rsid w:val="00DD461B"/>
    <w:rsid w:val="00DD6857"/>
    <w:rsid w:val="00DE7A9D"/>
    <w:rsid w:val="00DF1CFF"/>
    <w:rsid w:val="00DF26BE"/>
    <w:rsid w:val="00E06BB7"/>
    <w:rsid w:val="00E07489"/>
    <w:rsid w:val="00E077A5"/>
    <w:rsid w:val="00E10BDC"/>
    <w:rsid w:val="00E11F7F"/>
    <w:rsid w:val="00E14149"/>
    <w:rsid w:val="00E15031"/>
    <w:rsid w:val="00E24799"/>
    <w:rsid w:val="00E310E9"/>
    <w:rsid w:val="00E31496"/>
    <w:rsid w:val="00E33972"/>
    <w:rsid w:val="00E36B44"/>
    <w:rsid w:val="00E36D90"/>
    <w:rsid w:val="00E424B9"/>
    <w:rsid w:val="00E42D53"/>
    <w:rsid w:val="00E45CAC"/>
    <w:rsid w:val="00E51BEF"/>
    <w:rsid w:val="00E5361B"/>
    <w:rsid w:val="00E5473E"/>
    <w:rsid w:val="00E54929"/>
    <w:rsid w:val="00E55CD9"/>
    <w:rsid w:val="00E575BA"/>
    <w:rsid w:val="00E639A1"/>
    <w:rsid w:val="00E663C2"/>
    <w:rsid w:val="00E6668D"/>
    <w:rsid w:val="00E73594"/>
    <w:rsid w:val="00E73ED8"/>
    <w:rsid w:val="00E76D0C"/>
    <w:rsid w:val="00E77B58"/>
    <w:rsid w:val="00E80F4B"/>
    <w:rsid w:val="00E82C02"/>
    <w:rsid w:val="00E83470"/>
    <w:rsid w:val="00E87207"/>
    <w:rsid w:val="00E9001F"/>
    <w:rsid w:val="00E92AA1"/>
    <w:rsid w:val="00EA6010"/>
    <w:rsid w:val="00EB41DB"/>
    <w:rsid w:val="00EC0A02"/>
    <w:rsid w:val="00EC24D5"/>
    <w:rsid w:val="00EC67C2"/>
    <w:rsid w:val="00ED462E"/>
    <w:rsid w:val="00EE2DC5"/>
    <w:rsid w:val="00EE4110"/>
    <w:rsid w:val="00EF352E"/>
    <w:rsid w:val="00EF52D5"/>
    <w:rsid w:val="00EF52D8"/>
    <w:rsid w:val="00F00244"/>
    <w:rsid w:val="00F01DE0"/>
    <w:rsid w:val="00F0467A"/>
    <w:rsid w:val="00F046C3"/>
    <w:rsid w:val="00F119ED"/>
    <w:rsid w:val="00F126E6"/>
    <w:rsid w:val="00F1557E"/>
    <w:rsid w:val="00F1773B"/>
    <w:rsid w:val="00F239B2"/>
    <w:rsid w:val="00F24B20"/>
    <w:rsid w:val="00F2646F"/>
    <w:rsid w:val="00F301EF"/>
    <w:rsid w:val="00F42168"/>
    <w:rsid w:val="00F435A9"/>
    <w:rsid w:val="00F46050"/>
    <w:rsid w:val="00F46775"/>
    <w:rsid w:val="00F5326A"/>
    <w:rsid w:val="00F56441"/>
    <w:rsid w:val="00F574E8"/>
    <w:rsid w:val="00F62E6E"/>
    <w:rsid w:val="00F74BAD"/>
    <w:rsid w:val="00F83FBD"/>
    <w:rsid w:val="00F85FE8"/>
    <w:rsid w:val="00F90921"/>
    <w:rsid w:val="00F93E53"/>
    <w:rsid w:val="00FA3FA3"/>
    <w:rsid w:val="00FB0B7F"/>
    <w:rsid w:val="00FC26F0"/>
    <w:rsid w:val="00FC4A2B"/>
    <w:rsid w:val="00FC4A5E"/>
    <w:rsid w:val="00FC5FD9"/>
    <w:rsid w:val="00FC7261"/>
    <w:rsid w:val="00FC745F"/>
    <w:rsid w:val="00FC7E7E"/>
    <w:rsid w:val="00FD032A"/>
    <w:rsid w:val="00FD2DB5"/>
    <w:rsid w:val="00FD3D02"/>
    <w:rsid w:val="00FD4AA5"/>
    <w:rsid w:val="00FE06F7"/>
    <w:rsid w:val="00FE3642"/>
    <w:rsid w:val="00FE404F"/>
    <w:rsid w:val="00FF1500"/>
    <w:rsid w:val="00FF2085"/>
    <w:rsid w:val="00FF2AD5"/>
    <w:rsid w:val="00FF4916"/>
    <w:rsid w:val="00FF60FD"/>
    <w:rsid w:val="01BF4996"/>
    <w:rsid w:val="02545CC2"/>
    <w:rsid w:val="02934350"/>
    <w:rsid w:val="03100052"/>
    <w:rsid w:val="03D7653D"/>
    <w:rsid w:val="047E68B5"/>
    <w:rsid w:val="04A6118D"/>
    <w:rsid w:val="04A955C1"/>
    <w:rsid w:val="04AC561D"/>
    <w:rsid w:val="04E43B48"/>
    <w:rsid w:val="050C3440"/>
    <w:rsid w:val="051B4602"/>
    <w:rsid w:val="06013C55"/>
    <w:rsid w:val="06581615"/>
    <w:rsid w:val="066505DB"/>
    <w:rsid w:val="06A26B1D"/>
    <w:rsid w:val="071F2378"/>
    <w:rsid w:val="076E3D4D"/>
    <w:rsid w:val="07963EDC"/>
    <w:rsid w:val="087347F1"/>
    <w:rsid w:val="08A1215E"/>
    <w:rsid w:val="095905F4"/>
    <w:rsid w:val="09600E28"/>
    <w:rsid w:val="0A8569FA"/>
    <w:rsid w:val="0B3018C7"/>
    <w:rsid w:val="0BDD52C5"/>
    <w:rsid w:val="0C92585F"/>
    <w:rsid w:val="0D0E012D"/>
    <w:rsid w:val="0D466380"/>
    <w:rsid w:val="0DD23794"/>
    <w:rsid w:val="0E1846C3"/>
    <w:rsid w:val="0E2B67B7"/>
    <w:rsid w:val="0EC20FF9"/>
    <w:rsid w:val="0F08655D"/>
    <w:rsid w:val="0F40065B"/>
    <w:rsid w:val="0F5026D3"/>
    <w:rsid w:val="0F8C5118"/>
    <w:rsid w:val="1011692E"/>
    <w:rsid w:val="101B3963"/>
    <w:rsid w:val="10C36D62"/>
    <w:rsid w:val="10F058D7"/>
    <w:rsid w:val="11470C8D"/>
    <w:rsid w:val="117F6191"/>
    <w:rsid w:val="11FE1E15"/>
    <w:rsid w:val="13BA0A65"/>
    <w:rsid w:val="1410272E"/>
    <w:rsid w:val="14393928"/>
    <w:rsid w:val="1508348E"/>
    <w:rsid w:val="15491F65"/>
    <w:rsid w:val="15DB51E9"/>
    <w:rsid w:val="15DC5DC4"/>
    <w:rsid w:val="15FB1558"/>
    <w:rsid w:val="16C37958"/>
    <w:rsid w:val="17253D2F"/>
    <w:rsid w:val="179966CD"/>
    <w:rsid w:val="181462FA"/>
    <w:rsid w:val="189F7A56"/>
    <w:rsid w:val="18BD6C2A"/>
    <w:rsid w:val="18CA0C0C"/>
    <w:rsid w:val="18E44E0C"/>
    <w:rsid w:val="19734B6A"/>
    <w:rsid w:val="198B4D20"/>
    <w:rsid w:val="19D85B1B"/>
    <w:rsid w:val="1A413D80"/>
    <w:rsid w:val="1A645551"/>
    <w:rsid w:val="1B7C5A54"/>
    <w:rsid w:val="1BFB318D"/>
    <w:rsid w:val="1CB21980"/>
    <w:rsid w:val="1D0D6372"/>
    <w:rsid w:val="1D8715F7"/>
    <w:rsid w:val="1DB544E2"/>
    <w:rsid w:val="1DEB1573"/>
    <w:rsid w:val="1E84545C"/>
    <w:rsid w:val="1EA24EBE"/>
    <w:rsid w:val="1EA85D3D"/>
    <w:rsid w:val="1F6A2FFF"/>
    <w:rsid w:val="21352FC7"/>
    <w:rsid w:val="21F540A1"/>
    <w:rsid w:val="226F0A9B"/>
    <w:rsid w:val="22BC46AF"/>
    <w:rsid w:val="23AB3882"/>
    <w:rsid w:val="24244562"/>
    <w:rsid w:val="25157A4B"/>
    <w:rsid w:val="251D4997"/>
    <w:rsid w:val="25C25DF7"/>
    <w:rsid w:val="2705564B"/>
    <w:rsid w:val="28722B8A"/>
    <w:rsid w:val="2874727E"/>
    <w:rsid w:val="291B1706"/>
    <w:rsid w:val="29922FF5"/>
    <w:rsid w:val="29F47BD0"/>
    <w:rsid w:val="2A2D4182"/>
    <w:rsid w:val="2AFC49AF"/>
    <w:rsid w:val="2CB5186D"/>
    <w:rsid w:val="2CC261A3"/>
    <w:rsid w:val="2D876BCA"/>
    <w:rsid w:val="2F3E0E39"/>
    <w:rsid w:val="3038483E"/>
    <w:rsid w:val="30A75524"/>
    <w:rsid w:val="31031042"/>
    <w:rsid w:val="31833C4A"/>
    <w:rsid w:val="31B73076"/>
    <w:rsid w:val="321F0BCB"/>
    <w:rsid w:val="32674446"/>
    <w:rsid w:val="329E3E6E"/>
    <w:rsid w:val="332348C3"/>
    <w:rsid w:val="33266D9B"/>
    <w:rsid w:val="34294109"/>
    <w:rsid w:val="343A2DA2"/>
    <w:rsid w:val="347E7F14"/>
    <w:rsid w:val="34DD5855"/>
    <w:rsid w:val="36906F6C"/>
    <w:rsid w:val="37817675"/>
    <w:rsid w:val="389B79BC"/>
    <w:rsid w:val="38A45363"/>
    <w:rsid w:val="38BA2538"/>
    <w:rsid w:val="398A5D5C"/>
    <w:rsid w:val="3B496361"/>
    <w:rsid w:val="3C912639"/>
    <w:rsid w:val="3D05582A"/>
    <w:rsid w:val="3D9D7AD4"/>
    <w:rsid w:val="3E1F46CA"/>
    <w:rsid w:val="3FF50DD7"/>
    <w:rsid w:val="418705C4"/>
    <w:rsid w:val="432A1885"/>
    <w:rsid w:val="4383332D"/>
    <w:rsid w:val="43C42C1B"/>
    <w:rsid w:val="45605CF4"/>
    <w:rsid w:val="45701CAF"/>
    <w:rsid w:val="457461DD"/>
    <w:rsid w:val="45C21EC0"/>
    <w:rsid w:val="47282BA9"/>
    <w:rsid w:val="4770427F"/>
    <w:rsid w:val="47D00FF4"/>
    <w:rsid w:val="47E80F4B"/>
    <w:rsid w:val="49357497"/>
    <w:rsid w:val="49841F64"/>
    <w:rsid w:val="4999518F"/>
    <w:rsid w:val="49C37815"/>
    <w:rsid w:val="4A686E23"/>
    <w:rsid w:val="4AAE297A"/>
    <w:rsid w:val="4B5029C6"/>
    <w:rsid w:val="4B74263F"/>
    <w:rsid w:val="4B851AAD"/>
    <w:rsid w:val="4B880599"/>
    <w:rsid w:val="4BEE7042"/>
    <w:rsid w:val="4C392DFB"/>
    <w:rsid w:val="4C663784"/>
    <w:rsid w:val="4CF56386"/>
    <w:rsid w:val="4D671DC6"/>
    <w:rsid w:val="4D825390"/>
    <w:rsid w:val="4E3C0451"/>
    <w:rsid w:val="51A751EE"/>
    <w:rsid w:val="52310126"/>
    <w:rsid w:val="53EF3887"/>
    <w:rsid w:val="55E002D2"/>
    <w:rsid w:val="560679D5"/>
    <w:rsid w:val="56D200A8"/>
    <w:rsid w:val="576F3F37"/>
    <w:rsid w:val="58886299"/>
    <w:rsid w:val="59862C23"/>
    <w:rsid w:val="5A900166"/>
    <w:rsid w:val="5B4A2946"/>
    <w:rsid w:val="5B4E5C16"/>
    <w:rsid w:val="5B7334FD"/>
    <w:rsid w:val="5C857F62"/>
    <w:rsid w:val="5E7E31DC"/>
    <w:rsid w:val="60434753"/>
    <w:rsid w:val="60A40F03"/>
    <w:rsid w:val="61B50F2D"/>
    <w:rsid w:val="61BB67DA"/>
    <w:rsid w:val="61DC359E"/>
    <w:rsid w:val="622F79DB"/>
    <w:rsid w:val="627E7362"/>
    <w:rsid w:val="628E0846"/>
    <w:rsid w:val="62C350AC"/>
    <w:rsid w:val="630B55A9"/>
    <w:rsid w:val="63316DD3"/>
    <w:rsid w:val="63A7324A"/>
    <w:rsid w:val="64141CFA"/>
    <w:rsid w:val="64A3787B"/>
    <w:rsid w:val="64A9197D"/>
    <w:rsid w:val="659974F1"/>
    <w:rsid w:val="664A06BA"/>
    <w:rsid w:val="67B84DC4"/>
    <w:rsid w:val="67C8443C"/>
    <w:rsid w:val="67DE58A5"/>
    <w:rsid w:val="683C48FE"/>
    <w:rsid w:val="68801430"/>
    <w:rsid w:val="68FA11E4"/>
    <w:rsid w:val="691A6D44"/>
    <w:rsid w:val="69A04144"/>
    <w:rsid w:val="69D514B3"/>
    <w:rsid w:val="6A680181"/>
    <w:rsid w:val="6ACE6EBA"/>
    <w:rsid w:val="6B6B0CE1"/>
    <w:rsid w:val="6B6C00D4"/>
    <w:rsid w:val="6C106CBB"/>
    <w:rsid w:val="6C745082"/>
    <w:rsid w:val="6C977CB8"/>
    <w:rsid w:val="6D4E15EB"/>
    <w:rsid w:val="6EB90987"/>
    <w:rsid w:val="6EBE0EA6"/>
    <w:rsid w:val="6EF23AE1"/>
    <w:rsid w:val="6F3A3A40"/>
    <w:rsid w:val="6F3C364B"/>
    <w:rsid w:val="6F94395D"/>
    <w:rsid w:val="705D0714"/>
    <w:rsid w:val="709E686C"/>
    <w:rsid w:val="70D413F0"/>
    <w:rsid w:val="71000321"/>
    <w:rsid w:val="71855B22"/>
    <w:rsid w:val="72300D95"/>
    <w:rsid w:val="724C69F2"/>
    <w:rsid w:val="728C1C50"/>
    <w:rsid w:val="72F32A38"/>
    <w:rsid w:val="72FE049F"/>
    <w:rsid w:val="732C6C71"/>
    <w:rsid w:val="7355492C"/>
    <w:rsid w:val="739712DD"/>
    <w:rsid w:val="73FE4C83"/>
    <w:rsid w:val="751E03B2"/>
    <w:rsid w:val="76847DF4"/>
    <w:rsid w:val="76B70372"/>
    <w:rsid w:val="77F17732"/>
    <w:rsid w:val="78BC253A"/>
    <w:rsid w:val="78C4243C"/>
    <w:rsid w:val="78ED4696"/>
    <w:rsid w:val="7A404323"/>
    <w:rsid w:val="7A8F5336"/>
    <w:rsid w:val="7AFA292F"/>
    <w:rsid w:val="7C7702A0"/>
    <w:rsid w:val="7CB52AF9"/>
    <w:rsid w:val="7CC2024D"/>
    <w:rsid w:val="7D17682F"/>
    <w:rsid w:val="7D997CDF"/>
    <w:rsid w:val="7E1847F3"/>
    <w:rsid w:val="7E195464"/>
    <w:rsid w:val="7E686B7C"/>
    <w:rsid w:val="7E9B55C2"/>
    <w:rsid w:val="7EB3323E"/>
    <w:rsid w:val="7ED93602"/>
    <w:rsid w:val="7F74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qFormat/>
    <w:uiPriority w:val="9"/>
    <w:pPr>
      <w:keepNext/>
      <w:keepLines/>
      <w:spacing w:before="260" w:after="260" w:line="416" w:lineRule="auto"/>
      <w:outlineLvl w:val="2"/>
    </w:pPr>
    <w:rPr>
      <w:b/>
      <w:bCs/>
      <w:sz w:val="32"/>
      <w:szCs w:val="32"/>
    </w:rPr>
  </w:style>
  <w:style w:type="paragraph" w:styleId="7">
    <w:name w:val="heading 4"/>
    <w:basedOn w:val="1"/>
    <w:next w:val="1"/>
    <w:link w:val="34"/>
    <w:qFormat/>
    <w:uiPriority w:val="0"/>
    <w:pPr>
      <w:keepNext/>
      <w:keepLines/>
      <w:spacing w:before="280" w:after="290" w:line="374" w:lineRule="auto"/>
      <w:outlineLvl w:val="3"/>
    </w:pPr>
    <w:rPr>
      <w:rFonts w:ascii="Cambria" w:hAnsi="Cambria"/>
      <w:b/>
      <w:bCs/>
      <w:sz w:val="28"/>
      <w:szCs w:val="28"/>
    </w:rPr>
  </w:style>
  <w:style w:type="paragraph" w:styleId="8">
    <w:name w:val="heading 6"/>
    <w:basedOn w:val="1"/>
    <w:next w:val="1"/>
    <w:link w:val="35"/>
    <w:unhideWhenUsed/>
    <w:qFormat/>
    <w:uiPriority w:val="9"/>
    <w:pPr>
      <w:keepNext/>
      <w:keepLines/>
      <w:spacing w:before="240" w:after="64" w:line="320" w:lineRule="auto"/>
      <w:outlineLvl w:val="5"/>
    </w:pPr>
    <w:rPr>
      <w:rFonts w:ascii="等线 Light" w:hAnsi="等线 Light" w:eastAsia="等线 Light"/>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qFormat/>
    <w:uiPriority w:val="0"/>
    <w:pPr>
      <w:ind w:firstLine="420" w:firstLineChars="200"/>
    </w:pPr>
  </w:style>
  <w:style w:type="paragraph" w:styleId="3">
    <w:name w:val="Body Text Indent"/>
    <w:basedOn w:val="1"/>
    <w:link w:val="39"/>
    <w:autoRedefine/>
    <w:unhideWhenUsed/>
    <w:qFormat/>
    <w:uiPriority w:val="99"/>
    <w:pPr>
      <w:spacing w:after="120"/>
      <w:ind w:left="420" w:leftChars="200"/>
    </w:pPr>
  </w:style>
  <w:style w:type="paragraph" w:styleId="9">
    <w:name w:val="Normal Indent"/>
    <w:basedOn w:val="1"/>
    <w:link w:val="36"/>
    <w:qFormat/>
    <w:uiPriority w:val="0"/>
    <w:pPr>
      <w:ind w:firstLine="420"/>
    </w:pPr>
    <w:rPr>
      <w:rFonts w:ascii="Calibri" w:hAnsi="Calibri"/>
      <w:kern w:val="0"/>
      <w:sz w:val="20"/>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37"/>
    <w:qFormat/>
    <w:uiPriority w:val="0"/>
    <w:pPr>
      <w:jc w:val="left"/>
    </w:pPr>
    <w:rPr>
      <w:kern w:val="0"/>
      <w:sz w:val="20"/>
    </w:rPr>
  </w:style>
  <w:style w:type="paragraph" w:styleId="12">
    <w:name w:val="Body Text"/>
    <w:basedOn w:val="1"/>
    <w:link w:val="38"/>
    <w:unhideWhenUsed/>
    <w:qFormat/>
    <w:uiPriority w:val="0"/>
    <w:pPr>
      <w:spacing w:after="120"/>
    </w:pPr>
  </w:style>
  <w:style w:type="paragraph" w:styleId="13">
    <w:name w:val="Plain Text"/>
    <w:basedOn w:val="1"/>
    <w:link w:val="40"/>
    <w:qFormat/>
    <w:uiPriority w:val="0"/>
    <w:rPr>
      <w:rFonts w:ascii="宋体" w:hAnsi="Courier New"/>
      <w:kern w:val="0"/>
      <w:sz w:val="20"/>
      <w:szCs w:val="21"/>
    </w:rPr>
  </w:style>
  <w:style w:type="paragraph" w:styleId="14">
    <w:name w:val="Body Text Indent 2"/>
    <w:basedOn w:val="1"/>
    <w:link w:val="41"/>
    <w:qFormat/>
    <w:uiPriority w:val="0"/>
    <w:pPr>
      <w:spacing w:after="120" w:line="480" w:lineRule="auto"/>
      <w:ind w:left="420" w:leftChars="200"/>
    </w:pPr>
  </w:style>
  <w:style w:type="paragraph" w:styleId="15">
    <w:name w:val="Balloon Text"/>
    <w:basedOn w:val="1"/>
    <w:link w:val="42"/>
    <w:autoRedefine/>
    <w:qFormat/>
    <w:uiPriority w:val="0"/>
    <w:rPr>
      <w:kern w:val="0"/>
      <w:sz w:val="18"/>
      <w:szCs w:val="18"/>
    </w:rPr>
  </w:style>
  <w:style w:type="paragraph" w:styleId="16">
    <w:name w:val="footer"/>
    <w:basedOn w:val="1"/>
    <w:link w:val="43"/>
    <w:qFormat/>
    <w:uiPriority w:val="99"/>
    <w:pPr>
      <w:tabs>
        <w:tab w:val="center" w:pos="4153"/>
        <w:tab w:val="right" w:pos="8306"/>
      </w:tabs>
      <w:snapToGrid w:val="0"/>
      <w:jc w:val="left"/>
    </w:pPr>
    <w:rPr>
      <w:kern w:val="0"/>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5"/>
    <w:unhideWhenUsed/>
    <w:qFormat/>
    <w:uiPriority w:val="99"/>
    <w:pPr>
      <w:spacing w:after="120"/>
      <w:ind w:left="420" w:leftChars="200"/>
    </w:pPr>
    <w:rPr>
      <w:sz w:val="16"/>
      <w:szCs w:val="16"/>
    </w:rPr>
  </w:style>
  <w:style w:type="paragraph" w:styleId="19">
    <w:name w:val="table of figures"/>
    <w:basedOn w:val="1"/>
    <w:next w:val="1"/>
    <w:semiHidden/>
    <w:qFormat/>
    <w:uiPriority w:val="0"/>
    <w:pPr>
      <w:adjustRightInd w:val="0"/>
      <w:ind w:left="200" w:leftChars="200" w:hanging="200" w:hangingChars="200"/>
    </w:pPr>
    <w:rPr>
      <w:rFonts w:eastAsia="仿宋"/>
      <w:sz w:val="28"/>
    </w:rPr>
  </w:style>
  <w:style w:type="paragraph" w:styleId="20">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kern w:val="0"/>
      <w:sz w:val="24"/>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11"/>
    <w:next w:val="11"/>
    <w:link w:val="47"/>
    <w:unhideWhenUsed/>
    <w:qFormat/>
    <w:uiPriority w:val="99"/>
    <w:rPr>
      <w:b/>
      <w:bCs/>
      <w:kern w:val="2"/>
      <w:sz w:val="21"/>
    </w:rPr>
  </w:style>
  <w:style w:type="table" w:styleId="24">
    <w:name w:val="Table Grid"/>
    <w:basedOn w:val="2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22"/>
    <w:rPr>
      <w:b/>
      <w:bCs/>
    </w:rPr>
  </w:style>
  <w:style w:type="character" w:styleId="27">
    <w:name w:val="page number"/>
    <w:autoRedefine/>
    <w:qFormat/>
    <w:uiPriority w:val="0"/>
  </w:style>
  <w:style w:type="character" w:styleId="28">
    <w:name w:val="Hyperlink"/>
    <w:autoRedefine/>
    <w:qFormat/>
    <w:uiPriority w:val="0"/>
    <w:rPr>
      <w:color w:val="0000FF"/>
      <w:u w:val="single"/>
    </w:rPr>
  </w:style>
  <w:style w:type="character" w:styleId="29">
    <w:name w:val="annotation reference"/>
    <w:unhideWhenUsed/>
    <w:qFormat/>
    <w:uiPriority w:val="0"/>
    <w:rPr>
      <w:sz w:val="21"/>
      <w:szCs w:val="21"/>
    </w:rPr>
  </w:style>
  <w:style w:type="paragraph" w:customStyle="1" w:styleId="30">
    <w:name w:val="标书正文1"/>
    <w:basedOn w:val="1"/>
    <w:qFormat/>
    <w:uiPriority w:val="0"/>
    <w:pPr>
      <w:spacing w:line="520" w:lineRule="exact"/>
      <w:ind w:firstLine="640" w:firstLineChars="200"/>
    </w:pPr>
  </w:style>
  <w:style w:type="character" w:customStyle="1" w:styleId="31">
    <w:name w:val="标题 1 Char"/>
    <w:link w:val="4"/>
    <w:qFormat/>
    <w:uiPriority w:val="0"/>
    <w:rPr>
      <w:b/>
      <w:bCs/>
      <w:kern w:val="44"/>
      <w:sz w:val="44"/>
      <w:szCs w:val="44"/>
    </w:rPr>
  </w:style>
  <w:style w:type="character" w:customStyle="1" w:styleId="32">
    <w:name w:val="标题 2 Char"/>
    <w:link w:val="5"/>
    <w:autoRedefine/>
    <w:qFormat/>
    <w:uiPriority w:val="0"/>
    <w:rPr>
      <w:rFonts w:ascii="Arial" w:hAnsi="Arial" w:eastAsia="黑体"/>
      <w:b/>
      <w:bCs/>
      <w:kern w:val="2"/>
      <w:sz w:val="32"/>
      <w:szCs w:val="32"/>
    </w:rPr>
  </w:style>
  <w:style w:type="character" w:customStyle="1" w:styleId="33">
    <w:name w:val="标题 3 Char"/>
    <w:basedOn w:val="25"/>
    <w:link w:val="6"/>
    <w:qFormat/>
    <w:uiPriority w:val="9"/>
    <w:rPr>
      <w:b/>
      <w:bCs/>
      <w:kern w:val="2"/>
      <w:sz w:val="32"/>
      <w:szCs w:val="32"/>
    </w:rPr>
  </w:style>
  <w:style w:type="character" w:customStyle="1" w:styleId="34">
    <w:name w:val="标题 4 Char"/>
    <w:link w:val="7"/>
    <w:autoRedefine/>
    <w:qFormat/>
    <w:uiPriority w:val="0"/>
    <w:rPr>
      <w:rFonts w:ascii="Cambria" w:hAnsi="Cambria"/>
      <w:b/>
      <w:bCs/>
      <w:kern w:val="2"/>
      <w:sz w:val="28"/>
      <w:szCs w:val="28"/>
    </w:rPr>
  </w:style>
  <w:style w:type="character" w:customStyle="1" w:styleId="35">
    <w:name w:val="标题 6 Char"/>
    <w:link w:val="8"/>
    <w:autoRedefine/>
    <w:semiHidden/>
    <w:qFormat/>
    <w:uiPriority w:val="9"/>
    <w:rPr>
      <w:rFonts w:ascii="等线 Light" w:hAnsi="等线 Light" w:eastAsia="等线 Light" w:cs="Times New Roman"/>
      <w:b/>
      <w:bCs/>
      <w:kern w:val="2"/>
      <w:sz w:val="24"/>
      <w:szCs w:val="24"/>
    </w:rPr>
  </w:style>
  <w:style w:type="character" w:customStyle="1" w:styleId="36">
    <w:name w:val="正文缩进 Char"/>
    <w:link w:val="9"/>
    <w:autoRedefine/>
    <w:qFormat/>
    <w:uiPriority w:val="0"/>
    <w:rPr>
      <w:rFonts w:ascii="Calibri" w:hAnsi="Calibri"/>
    </w:rPr>
  </w:style>
  <w:style w:type="character" w:customStyle="1" w:styleId="37">
    <w:name w:val="批注文字 Char"/>
    <w:link w:val="11"/>
    <w:autoRedefine/>
    <w:qFormat/>
    <w:uiPriority w:val="0"/>
    <w:rPr>
      <w:szCs w:val="24"/>
    </w:rPr>
  </w:style>
  <w:style w:type="character" w:customStyle="1" w:styleId="38">
    <w:name w:val="正文文本 Char"/>
    <w:link w:val="12"/>
    <w:qFormat/>
    <w:uiPriority w:val="0"/>
    <w:rPr>
      <w:kern w:val="2"/>
      <w:sz w:val="21"/>
      <w:szCs w:val="24"/>
    </w:rPr>
  </w:style>
  <w:style w:type="character" w:customStyle="1" w:styleId="39">
    <w:name w:val="正文文本缩进 Char"/>
    <w:link w:val="3"/>
    <w:autoRedefine/>
    <w:semiHidden/>
    <w:qFormat/>
    <w:uiPriority w:val="99"/>
    <w:rPr>
      <w:kern w:val="2"/>
      <w:sz w:val="21"/>
      <w:szCs w:val="24"/>
    </w:rPr>
  </w:style>
  <w:style w:type="character" w:customStyle="1" w:styleId="40">
    <w:name w:val="纯文本 Char2"/>
    <w:link w:val="13"/>
    <w:qFormat/>
    <w:uiPriority w:val="0"/>
    <w:rPr>
      <w:rFonts w:ascii="宋体" w:hAnsi="Courier New" w:cs="Courier New"/>
      <w:szCs w:val="21"/>
    </w:rPr>
  </w:style>
  <w:style w:type="character" w:customStyle="1" w:styleId="41">
    <w:name w:val="正文文本缩进 2 Char"/>
    <w:link w:val="14"/>
    <w:qFormat/>
    <w:uiPriority w:val="0"/>
    <w:rPr>
      <w:kern w:val="2"/>
      <w:sz w:val="21"/>
      <w:szCs w:val="24"/>
    </w:rPr>
  </w:style>
  <w:style w:type="character" w:customStyle="1" w:styleId="42">
    <w:name w:val="批注框文本 Char"/>
    <w:link w:val="15"/>
    <w:autoRedefine/>
    <w:qFormat/>
    <w:uiPriority w:val="0"/>
    <w:rPr>
      <w:rFonts w:ascii="Times New Roman" w:hAnsi="Times New Roman" w:eastAsia="宋体" w:cs="Times New Roman"/>
      <w:sz w:val="18"/>
      <w:szCs w:val="18"/>
    </w:rPr>
  </w:style>
  <w:style w:type="character" w:customStyle="1" w:styleId="43">
    <w:name w:val="页脚 Char"/>
    <w:link w:val="16"/>
    <w:autoRedefine/>
    <w:qFormat/>
    <w:uiPriority w:val="99"/>
    <w:rPr>
      <w:rFonts w:ascii="Times New Roman" w:hAnsi="Times New Roman" w:eastAsia="宋体" w:cs="Times New Roman"/>
      <w:sz w:val="18"/>
      <w:szCs w:val="18"/>
    </w:rPr>
  </w:style>
  <w:style w:type="character" w:customStyle="1" w:styleId="44">
    <w:name w:val="页眉 Char"/>
    <w:link w:val="17"/>
    <w:autoRedefine/>
    <w:qFormat/>
    <w:uiPriority w:val="0"/>
    <w:rPr>
      <w:rFonts w:ascii="Times New Roman" w:hAnsi="Times New Roman" w:eastAsia="宋体" w:cs="Times New Roman"/>
      <w:sz w:val="18"/>
      <w:szCs w:val="18"/>
    </w:rPr>
  </w:style>
  <w:style w:type="character" w:customStyle="1" w:styleId="45">
    <w:name w:val="正文文本缩进 3 Char"/>
    <w:link w:val="18"/>
    <w:autoRedefine/>
    <w:semiHidden/>
    <w:qFormat/>
    <w:uiPriority w:val="99"/>
    <w:rPr>
      <w:kern w:val="2"/>
      <w:sz w:val="16"/>
      <w:szCs w:val="16"/>
    </w:rPr>
  </w:style>
  <w:style w:type="character" w:customStyle="1" w:styleId="46">
    <w:name w:val="HTML 预设格式 Char"/>
    <w:link w:val="20"/>
    <w:autoRedefine/>
    <w:qFormat/>
    <w:uiPriority w:val="99"/>
    <w:rPr>
      <w:rFonts w:ascii="宋体" w:hAnsi="宋体" w:eastAsia="仿宋" w:cs="宋体"/>
      <w:sz w:val="24"/>
      <w:szCs w:val="24"/>
    </w:rPr>
  </w:style>
  <w:style w:type="character" w:customStyle="1" w:styleId="47">
    <w:name w:val="批注主题 Char"/>
    <w:link w:val="22"/>
    <w:autoRedefine/>
    <w:semiHidden/>
    <w:qFormat/>
    <w:uiPriority w:val="99"/>
    <w:rPr>
      <w:b/>
      <w:bCs/>
      <w:kern w:val="2"/>
      <w:sz w:val="21"/>
      <w:szCs w:val="24"/>
    </w:rPr>
  </w:style>
  <w:style w:type="character" w:customStyle="1" w:styleId="48">
    <w:name w:val="正文首行缩进 2 Char1"/>
    <w:link w:val="2"/>
    <w:autoRedefine/>
    <w:qFormat/>
    <w:uiPriority w:val="0"/>
  </w:style>
  <w:style w:type="character" w:customStyle="1" w:styleId="49">
    <w:name w:val="纯文本 Char1"/>
    <w:qFormat/>
    <w:uiPriority w:val="0"/>
    <w:rPr>
      <w:rFonts w:ascii="宋体" w:hAnsi="Courier New" w:eastAsia="宋体" w:cs="Courier New"/>
      <w:szCs w:val="21"/>
    </w:rPr>
  </w:style>
  <w:style w:type="character" w:customStyle="1" w:styleId="50">
    <w:name w:val="font51"/>
    <w:autoRedefine/>
    <w:qFormat/>
    <w:uiPriority w:val="0"/>
    <w:rPr>
      <w:rFonts w:hint="eastAsia" w:ascii="微软雅黑" w:hAnsi="微软雅黑" w:eastAsia="微软雅黑" w:cs="微软雅黑"/>
      <w:b/>
      <w:color w:val="000000"/>
      <w:sz w:val="18"/>
      <w:szCs w:val="18"/>
      <w:u w:val="none"/>
    </w:rPr>
  </w:style>
  <w:style w:type="character" w:customStyle="1" w:styleId="51">
    <w:name w:val="font41"/>
    <w:qFormat/>
    <w:uiPriority w:val="0"/>
    <w:rPr>
      <w:rFonts w:hint="eastAsia" w:ascii="宋体" w:hAnsi="宋体" w:eastAsia="宋体" w:cs="宋体"/>
      <w:color w:val="000000"/>
      <w:sz w:val="18"/>
      <w:szCs w:val="18"/>
      <w:u w:val="none"/>
    </w:rPr>
  </w:style>
  <w:style w:type="character" w:customStyle="1" w:styleId="52">
    <w:name w:val="font31"/>
    <w:autoRedefine/>
    <w:qFormat/>
    <w:uiPriority w:val="0"/>
    <w:rPr>
      <w:rFonts w:hint="eastAsia" w:ascii="微软雅黑" w:hAnsi="微软雅黑" w:eastAsia="微软雅黑" w:cs="微软雅黑"/>
      <w:color w:val="000000"/>
      <w:sz w:val="18"/>
      <w:szCs w:val="18"/>
      <w:u w:val="none"/>
    </w:rPr>
  </w:style>
  <w:style w:type="character" w:customStyle="1" w:styleId="53">
    <w:name w:val="font11"/>
    <w:qFormat/>
    <w:uiPriority w:val="0"/>
    <w:rPr>
      <w:rFonts w:hint="default" w:ascii="仿宋_GB2312" w:eastAsia="仿宋_GB2312" w:cs="仿宋_GB2312"/>
      <w:b/>
      <w:color w:val="000000"/>
      <w:sz w:val="21"/>
      <w:szCs w:val="21"/>
      <w:u w:val="none"/>
    </w:rPr>
  </w:style>
  <w:style w:type="character" w:customStyle="1" w:styleId="54">
    <w:name w:val="font01"/>
    <w:autoRedefine/>
    <w:qFormat/>
    <w:uiPriority w:val="0"/>
    <w:rPr>
      <w:rFonts w:hint="eastAsia" w:ascii="宋体" w:hAnsi="宋体" w:eastAsia="宋体" w:cs="宋体"/>
      <w:color w:val="000000"/>
      <w:sz w:val="22"/>
      <w:szCs w:val="22"/>
      <w:u w:val="none"/>
    </w:rPr>
  </w:style>
  <w:style w:type="character" w:customStyle="1" w:styleId="55">
    <w:name w:val="列出段落 字符"/>
    <w:link w:val="56"/>
    <w:autoRedefine/>
    <w:qFormat/>
    <w:uiPriority w:val="34"/>
    <w:rPr>
      <w:rFonts w:ascii="Calibri" w:hAnsi="Calibri"/>
      <w:kern w:val="2"/>
      <w:sz w:val="21"/>
      <w:szCs w:val="22"/>
    </w:rPr>
  </w:style>
  <w:style w:type="paragraph" w:customStyle="1" w:styleId="56">
    <w:name w:val="_Style 49"/>
    <w:basedOn w:val="1"/>
    <w:next w:val="57"/>
    <w:link w:val="55"/>
    <w:autoRedefine/>
    <w:qFormat/>
    <w:uiPriority w:val="34"/>
    <w:pPr>
      <w:ind w:firstLine="420" w:firstLineChars="200"/>
    </w:pPr>
    <w:rPr>
      <w:rFonts w:ascii="Calibri" w:hAnsi="Calibri"/>
      <w:szCs w:val="22"/>
    </w:rPr>
  </w:style>
  <w:style w:type="paragraph" w:styleId="57">
    <w:name w:val="List Paragraph"/>
    <w:basedOn w:val="1"/>
    <w:link w:val="58"/>
    <w:qFormat/>
    <w:uiPriority w:val="99"/>
    <w:pPr>
      <w:ind w:firstLine="420" w:firstLineChars="200"/>
    </w:pPr>
    <w:rPr>
      <w:rFonts w:ascii="Calibri" w:hAnsi="Calibri"/>
      <w:szCs w:val="22"/>
    </w:rPr>
  </w:style>
  <w:style w:type="character" w:customStyle="1" w:styleId="58">
    <w:name w:val="列出段落 Char"/>
    <w:link w:val="57"/>
    <w:autoRedefine/>
    <w:qFormat/>
    <w:uiPriority w:val="99"/>
    <w:rPr>
      <w:rFonts w:ascii="Calibri" w:hAnsi="Calibri"/>
      <w:kern w:val="2"/>
      <w:sz w:val="21"/>
      <w:szCs w:val="22"/>
    </w:rPr>
  </w:style>
  <w:style w:type="character" w:customStyle="1" w:styleId="59">
    <w:name w:val="纯文本 字符1"/>
    <w:autoRedefine/>
    <w:semiHidden/>
    <w:qFormat/>
    <w:uiPriority w:val="99"/>
    <w:rPr>
      <w:rFonts w:ascii="宋体" w:hAnsi="Courier New" w:cs="Courier New"/>
      <w:kern w:val="2"/>
      <w:sz w:val="21"/>
      <w:szCs w:val="21"/>
    </w:rPr>
  </w:style>
  <w:style w:type="character" w:customStyle="1" w:styleId="60">
    <w:name w:val="List Paragraph Char"/>
    <w:link w:val="61"/>
    <w:autoRedefine/>
    <w:qFormat/>
    <w:locked/>
    <w:uiPriority w:val="34"/>
    <w:rPr>
      <w:kern w:val="2"/>
      <w:sz w:val="21"/>
      <w:szCs w:val="21"/>
    </w:rPr>
  </w:style>
  <w:style w:type="paragraph" w:customStyle="1" w:styleId="61">
    <w:name w:val="列出段落1"/>
    <w:basedOn w:val="1"/>
    <w:link w:val="60"/>
    <w:autoRedefine/>
    <w:qFormat/>
    <w:uiPriority w:val="34"/>
    <w:pPr>
      <w:ind w:firstLine="420" w:firstLineChars="200"/>
    </w:pPr>
    <w:rPr>
      <w:szCs w:val="21"/>
    </w:rPr>
  </w:style>
  <w:style w:type="character" w:customStyle="1" w:styleId="62">
    <w:name w:val="_Style 61"/>
    <w:autoRedefine/>
    <w:unhideWhenUsed/>
    <w:qFormat/>
    <w:uiPriority w:val="99"/>
    <w:rPr>
      <w:color w:val="605E5C"/>
      <w:shd w:val="clear" w:color="auto" w:fill="E1DFDD"/>
    </w:rPr>
  </w:style>
  <w:style w:type="character" w:customStyle="1" w:styleId="63">
    <w:name w:val="15"/>
    <w:autoRedefine/>
    <w:qFormat/>
    <w:uiPriority w:val="0"/>
    <w:rPr>
      <w:rFonts w:hint="default" w:ascii="Times New Roman" w:hAnsi="Times New Roman" w:cs="Times New Roman"/>
      <w:sz w:val="20"/>
      <w:szCs w:val="20"/>
    </w:rPr>
  </w:style>
  <w:style w:type="character" w:customStyle="1" w:styleId="64">
    <w:name w:val="正文首行缩进 2 Char"/>
    <w:link w:val="65"/>
    <w:autoRedefine/>
    <w:qFormat/>
    <w:uiPriority w:val="99"/>
    <w:rPr>
      <w:rFonts w:ascii="Calibri" w:hAnsi="Calibri"/>
      <w:kern w:val="2"/>
      <w:sz w:val="21"/>
      <w:szCs w:val="24"/>
    </w:rPr>
  </w:style>
  <w:style w:type="paragraph" w:customStyle="1" w:styleId="65">
    <w:name w:val="_Style 30"/>
    <w:basedOn w:val="3"/>
    <w:next w:val="2"/>
    <w:link w:val="64"/>
    <w:autoRedefine/>
    <w:unhideWhenUsed/>
    <w:qFormat/>
    <w:uiPriority w:val="99"/>
    <w:pPr>
      <w:ind w:firstLine="420" w:firstLineChars="200"/>
    </w:pPr>
    <w:rPr>
      <w:rFonts w:ascii="Calibri" w:hAnsi="Calibri"/>
    </w:rPr>
  </w:style>
  <w:style w:type="character" w:customStyle="1" w:styleId="66">
    <w:name w:val="批注引用1"/>
    <w:qFormat/>
    <w:uiPriority w:val="0"/>
    <w:rPr>
      <w:sz w:val="21"/>
      <w:szCs w:val="21"/>
    </w:rPr>
  </w:style>
  <w:style w:type="character" w:customStyle="1" w:styleId="67">
    <w:name w:val="列出段落 Char1"/>
    <w:link w:val="68"/>
    <w:qFormat/>
    <w:uiPriority w:val="34"/>
    <w:rPr>
      <w:rFonts w:ascii="Calibri" w:hAnsi="Calibri"/>
      <w:kern w:val="2"/>
      <w:sz w:val="21"/>
      <w:szCs w:val="22"/>
    </w:rPr>
  </w:style>
  <w:style w:type="paragraph" w:customStyle="1" w:styleId="68">
    <w:name w:val="_Style 46"/>
    <w:basedOn w:val="1"/>
    <w:next w:val="57"/>
    <w:link w:val="67"/>
    <w:autoRedefine/>
    <w:qFormat/>
    <w:uiPriority w:val="34"/>
    <w:pPr>
      <w:ind w:firstLine="420" w:firstLineChars="200"/>
    </w:pPr>
    <w:rPr>
      <w:rFonts w:ascii="Calibri" w:hAnsi="Calibri"/>
      <w:szCs w:val="22"/>
    </w:rPr>
  </w:style>
  <w:style w:type="character" w:customStyle="1" w:styleId="69">
    <w:name w:val="纯文本 Char"/>
    <w:link w:val="70"/>
    <w:qFormat/>
    <w:uiPriority w:val="0"/>
    <w:rPr>
      <w:rFonts w:ascii="宋体" w:hAnsi="Courier New" w:eastAsia="宋体" w:cs="Courier New"/>
      <w:szCs w:val="21"/>
    </w:rPr>
  </w:style>
  <w:style w:type="paragraph" w:customStyle="1" w:styleId="70">
    <w:name w:val="纯文本1"/>
    <w:basedOn w:val="1"/>
    <w:link w:val="69"/>
    <w:qFormat/>
    <w:uiPriority w:val="0"/>
    <w:rPr>
      <w:rFonts w:ascii="宋体" w:hAnsi="Courier New"/>
      <w:kern w:val="0"/>
      <w:sz w:val="20"/>
      <w:szCs w:val="21"/>
    </w:rPr>
  </w:style>
  <w:style w:type="character" w:customStyle="1" w:styleId="71">
    <w:name w:val="批注文字 字符"/>
    <w:autoRedefine/>
    <w:qFormat/>
    <w:uiPriority w:val="99"/>
  </w:style>
  <w:style w:type="character" w:customStyle="1" w:styleId="72">
    <w:name w:val="NormalCharacter"/>
    <w:autoRedefine/>
    <w:qFormat/>
    <w:uiPriority w:val="0"/>
    <w:rPr>
      <w:rFonts w:ascii="Calibri" w:hAnsi="Calibri"/>
    </w:rPr>
  </w:style>
  <w:style w:type="character" w:customStyle="1" w:styleId="73">
    <w:name w:val="font21"/>
    <w:qFormat/>
    <w:uiPriority w:val="0"/>
    <w:rPr>
      <w:rFonts w:hint="default" w:ascii="Times New Roman" w:hAnsi="Times New Roman" w:cs="Times New Roman"/>
      <w:color w:val="000000"/>
      <w:sz w:val="18"/>
      <w:szCs w:val="18"/>
      <w:u w:val="none"/>
    </w:rPr>
  </w:style>
  <w:style w:type="character" w:customStyle="1" w:styleId="74">
    <w:name w:val="表格文字 字符"/>
    <w:link w:val="75"/>
    <w:autoRedefine/>
    <w:qFormat/>
    <w:uiPriority w:val="0"/>
    <w:rPr>
      <w:rFonts w:ascii="Cambria" w:hAnsi="Cambria" w:eastAsia="仿宋" w:cs="Times New Roman"/>
      <w:kern w:val="2"/>
      <w:sz w:val="24"/>
      <w:szCs w:val="21"/>
    </w:rPr>
  </w:style>
  <w:style w:type="paragraph" w:customStyle="1" w:styleId="75">
    <w:name w:val="表格文字"/>
    <w:basedOn w:val="1"/>
    <w:next w:val="1"/>
    <w:link w:val="74"/>
    <w:autoRedefine/>
    <w:qFormat/>
    <w:uiPriority w:val="0"/>
    <w:pPr>
      <w:spacing w:line="360" w:lineRule="auto"/>
    </w:pPr>
    <w:rPr>
      <w:rFonts w:ascii="Cambria" w:hAnsi="Cambria" w:eastAsia="仿宋"/>
      <w:sz w:val="24"/>
      <w:szCs w:val="21"/>
    </w:rPr>
  </w:style>
  <w:style w:type="character" w:customStyle="1" w:styleId="76">
    <w:name w:val="fontstyle01"/>
    <w:autoRedefine/>
    <w:qFormat/>
    <w:uiPriority w:val="0"/>
    <w:rPr>
      <w:rFonts w:hint="default" w:ascii="仿宋" w:hAnsi="仿宋"/>
      <w:color w:val="000000"/>
      <w:sz w:val="24"/>
      <w:szCs w:val="24"/>
    </w:rPr>
  </w:style>
  <w:style w:type="character" w:customStyle="1" w:styleId="77">
    <w:name w:val="p141"/>
    <w:qFormat/>
    <w:uiPriority w:val="0"/>
    <w:rPr>
      <w:sz w:val="21"/>
      <w:szCs w:val="21"/>
    </w:rPr>
  </w:style>
  <w:style w:type="character" w:customStyle="1" w:styleId="78">
    <w:name w:val="方案正文 字符"/>
    <w:link w:val="79"/>
    <w:autoRedefine/>
    <w:qFormat/>
    <w:uiPriority w:val="0"/>
    <w:rPr>
      <w:rFonts w:ascii="仿宋_GB2312" w:eastAsia="仿宋_GB2312"/>
      <w:kern w:val="2"/>
      <w:sz w:val="28"/>
      <w:szCs w:val="28"/>
      <w:lang w:val="en-US" w:eastAsia="zh-CN" w:bidi="ar-SA"/>
    </w:rPr>
  </w:style>
  <w:style w:type="paragraph" w:customStyle="1" w:styleId="79">
    <w:name w:val="方案正文"/>
    <w:link w:val="78"/>
    <w:qFormat/>
    <w:uiPriority w:val="0"/>
    <w:pPr>
      <w:spacing w:line="360" w:lineRule="auto"/>
      <w:ind w:firstLine="560" w:firstLineChars="200"/>
    </w:pPr>
    <w:rPr>
      <w:rFonts w:ascii="仿宋_GB2312" w:hAnsi="Times New Roman" w:eastAsia="仿宋_GB2312" w:cs="Times New Roman"/>
      <w:kern w:val="2"/>
      <w:sz w:val="28"/>
      <w:szCs w:val="28"/>
      <w:lang w:val="en-US" w:eastAsia="zh-CN" w:bidi="ar-SA"/>
    </w:rPr>
  </w:style>
  <w:style w:type="paragraph" w:customStyle="1" w:styleId="80">
    <w:name w:val="p16"/>
    <w:basedOn w:val="1"/>
    <w:autoRedefine/>
    <w:qFormat/>
    <w:uiPriority w:val="0"/>
    <w:pPr>
      <w:widowControl/>
      <w:spacing w:line="336" w:lineRule="auto"/>
      <w:ind w:left="126" w:firstLine="588"/>
    </w:pPr>
    <w:rPr>
      <w:rFonts w:ascii="宋体" w:hAnsi="宋体" w:cs="宋体"/>
      <w:color w:val="000000"/>
      <w:kern w:val="0"/>
      <w:sz w:val="34"/>
      <w:szCs w:val="34"/>
    </w:rPr>
  </w:style>
  <w:style w:type="paragraph" w:customStyle="1" w:styleId="81">
    <w:name w:val="_Style 31"/>
    <w:basedOn w:val="3"/>
    <w:next w:val="2"/>
    <w:autoRedefine/>
    <w:unhideWhenUsed/>
    <w:qFormat/>
    <w:uiPriority w:val="99"/>
    <w:pPr>
      <w:ind w:firstLine="420" w:firstLineChars="200"/>
    </w:pPr>
  </w:style>
  <w:style w:type="paragraph" w:customStyle="1" w:styleId="8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Normal Indent1"/>
    <w:basedOn w:val="1"/>
    <w:autoRedefine/>
    <w:qFormat/>
    <w:uiPriority w:val="0"/>
    <w:pPr>
      <w:widowControl/>
      <w:wordWrap w:val="0"/>
      <w:overflowPunct w:val="0"/>
      <w:topLinePunct/>
      <w:adjustRightInd w:val="0"/>
      <w:snapToGrid w:val="0"/>
      <w:spacing w:after="200"/>
      <w:ind w:firstLine="420"/>
      <w:jc w:val="left"/>
    </w:pPr>
    <w:rPr>
      <w:kern w:val="0"/>
      <w:sz w:val="18"/>
      <w:szCs w:val="18"/>
    </w:rPr>
  </w:style>
  <w:style w:type="paragraph" w:customStyle="1" w:styleId="84">
    <w:name w:val="_Style 2"/>
    <w:basedOn w:val="1"/>
    <w:autoRedefine/>
    <w:qFormat/>
    <w:uiPriority w:val="34"/>
    <w:pPr>
      <w:ind w:firstLine="420" w:firstLineChars="200"/>
    </w:pPr>
    <w:rPr>
      <w:rFonts w:ascii="Calibri" w:hAnsi="Calibri"/>
      <w:szCs w:val="22"/>
    </w:rPr>
  </w:style>
  <w:style w:type="paragraph" w:customStyle="1" w:styleId="85">
    <w:name w:val="正文_0"/>
    <w:autoRedefine/>
    <w:qFormat/>
    <w:uiPriority w:val="99"/>
    <w:pPr>
      <w:widowControl w:val="0"/>
      <w:jc w:val="both"/>
    </w:pPr>
    <w:rPr>
      <w:rFonts w:ascii="Times New Roman" w:hAnsi="Times New Roman" w:eastAsia="宋体" w:cs="Times New Roman"/>
      <w:lang w:val="en-US" w:eastAsia="zh-CN" w:bidi="ar-SA"/>
    </w:rPr>
  </w:style>
  <w:style w:type="paragraph" w:customStyle="1" w:styleId="86">
    <w:name w:val="文档正文"/>
    <w:basedOn w:val="1"/>
    <w:autoRedefine/>
    <w:qFormat/>
    <w:uiPriority w:val="0"/>
    <w:pPr>
      <w:spacing w:line="360" w:lineRule="auto"/>
    </w:pPr>
    <w:rPr>
      <w:rFonts w:ascii="宋体" w:hAnsi="Calibri" w:cs="Arial"/>
      <w:bCs/>
    </w:rPr>
  </w:style>
  <w:style w:type="paragraph" w:customStyle="1" w:styleId="87">
    <w:name w:val="F正文"/>
    <w:basedOn w:val="1"/>
    <w:qFormat/>
    <w:uiPriority w:val="0"/>
    <w:pPr>
      <w:spacing w:before="60" w:after="60" w:line="360" w:lineRule="auto"/>
      <w:ind w:firstLine="480" w:firstLineChars="200"/>
      <w:jc w:val="left"/>
    </w:pPr>
    <w:rPr>
      <w:rFonts w:ascii="宋体" w:hAnsi="宋体" w:cs="Helvetica"/>
      <w:sz w:val="24"/>
      <w:shd w:val="clear" w:color="auto" w:fill="FFFFFF"/>
    </w:rPr>
  </w:style>
  <w:style w:type="paragraph" w:customStyle="1" w:styleId="88">
    <w:name w:val="纯文本_0"/>
    <w:basedOn w:val="85"/>
    <w:autoRedefine/>
    <w:qFormat/>
    <w:uiPriority w:val="99"/>
    <w:rPr>
      <w:rFonts w:ascii="宋体" w:hAnsi="Courier New"/>
      <w:kern w:val="2"/>
      <w:sz w:val="21"/>
      <w:szCs w:val="24"/>
    </w:rPr>
  </w:style>
  <w:style w:type="paragraph" w:customStyle="1" w:styleId="89">
    <w:name w:val="p0"/>
    <w:basedOn w:val="1"/>
    <w:qFormat/>
    <w:uiPriority w:val="0"/>
    <w:pPr>
      <w:widowControl/>
    </w:pPr>
    <w:rPr>
      <w:rFonts w:ascii="宋体" w:hAnsi="宋体" w:cs="宋体"/>
      <w:kern w:val="0"/>
      <w:sz w:val="34"/>
      <w:szCs w:val="34"/>
    </w:rPr>
  </w:style>
  <w:style w:type="paragraph" w:customStyle="1" w:styleId="90">
    <w:name w:val="List Paragraph1"/>
    <w:basedOn w:val="1"/>
    <w:autoRedefine/>
    <w:qFormat/>
    <w:uiPriority w:val="0"/>
    <w:pPr>
      <w:ind w:firstLine="420" w:firstLineChars="200"/>
    </w:pPr>
  </w:style>
  <w:style w:type="paragraph" w:customStyle="1" w:styleId="9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92">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列表段落1"/>
    <w:basedOn w:val="1"/>
    <w:autoRedefine/>
    <w:qFormat/>
    <w:uiPriority w:val="0"/>
    <w:pPr>
      <w:widowControl/>
      <w:adjustRightInd w:val="0"/>
      <w:snapToGrid w:val="0"/>
      <w:spacing w:after="200"/>
      <w:ind w:firstLine="420" w:firstLineChars="200"/>
      <w:jc w:val="left"/>
    </w:pPr>
    <w:rPr>
      <w:rFonts w:ascii="Tahoma" w:hAnsi="Tahoma"/>
      <w:kern w:val="0"/>
      <w:sz w:val="22"/>
      <w:szCs w:val="22"/>
    </w:rPr>
  </w:style>
  <w:style w:type="paragraph" w:customStyle="1" w:styleId="9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95">
    <w:name w:val="Table Paragraph"/>
    <w:basedOn w:val="1"/>
    <w:autoRedefine/>
    <w:qFormat/>
    <w:uiPriority w:val="1"/>
    <w:pPr>
      <w:autoSpaceDE w:val="0"/>
      <w:autoSpaceDN w:val="0"/>
      <w:adjustRightInd w:val="0"/>
      <w:jc w:val="left"/>
    </w:pPr>
    <w:rPr>
      <w:rFonts w:ascii="宋体" w:hAnsi="Calibri" w:cs="宋体"/>
      <w:kern w:val="0"/>
      <w:sz w:val="24"/>
    </w:rPr>
  </w:style>
  <w:style w:type="paragraph" w:customStyle="1" w:styleId="96">
    <w:name w:val="p17"/>
    <w:basedOn w:val="1"/>
    <w:autoRedefine/>
    <w:qFormat/>
    <w:uiPriority w:val="0"/>
    <w:pPr>
      <w:widowControl/>
      <w:snapToGrid w:val="0"/>
      <w:spacing w:line="312" w:lineRule="atLeast"/>
      <w:ind w:firstLine="420"/>
    </w:pPr>
    <w:rPr>
      <w:rFonts w:ascii="宋体" w:hAnsi="宋体" w:cs="宋体"/>
      <w:kern w:val="0"/>
      <w:sz w:val="32"/>
      <w:szCs w:val="32"/>
    </w:rPr>
  </w:style>
  <w:style w:type="paragraph" w:customStyle="1" w:styleId="97">
    <w:name w:val="p15"/>
    <w:basedOn w:val="1"/>
    <w:autoRedefine/>
    <w:qFormat/>
    <w:uiPriority w:val="0"/>
    <w:pPr>
      <w:widowControl/>
    </w:pPr>
    <w:rPr>
      <w:rFonts w:ascii="宋体" w:hAnsi="宋体" w:cs="宋体"/>
      <w:kern w:val="0"/>
      <w:szCs w:val="21"/>
    </w:rPr>
  </w:style>
  <w:style w:type="paragraph" w:customStyle="1" w:styleId="98">
    <w:name w:val="正文1"/>
    <w:autoRedefine/>
    <w:qFormat/>
    <w:uiPriority w:val="0"/>
    <w:pPr>
      <w:jc w:val="both"/>
    </w:pPr>
    <w:rPr>
      <w:rFonts w:ascii="Times New Roman" w:hAnsi="Times New Roman" w:eastAsia="宋体" w:cs="Times New Roman"/>
      <w:kern w:val="2"/>
      <w:sz w:val="21"/>
      <w:szCs w:val="22"/>
      <w:lang w:val="en-US" w:eastAsia="zh-CN" w:bidi="ar-SA"/>
    </w:rPr>
  </w:style>
  <w:style w:type="paragraph" w:customStyle="1" w:styleId="99">
    <w:name w:val="正文1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p18"/>
    <w:basedOn w:val="1"/>
    <w:autoRedefine/>
    <w:qFormat/>
    <w:uiPriority w:val="0"/>
    <w:pPr>
      <w:widowControl/>
    </w:pPr>
    <w:rPr>
      <w:rFonts w:ascii="宋体" w:hAnsi="Calibri" w:cs="宋体"/>
      <w:color w:val="000000"/>
      <w:kern w:val="0"/>
      <w:szCs w:val="21"/>
    </w:rPr>
  </w:style>
  <w:style w:type="paragraph" w:customStyle="1" w:styleId="102">
    <w:name w:val="正文_0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3">
    <w:name w:val="正文_0_0_0_0"/>
    <w:autoRedefine/>
    <w:qFormat/>
    <w:uiPriority w:val="99"/>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104">
    <w:name w:val="_Style 10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_Style 3"/>
    <w:basedOn w:val="1"/>
    <w:next w:val="18"/>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106">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1280</Words>
  <Characters>7298</Characters>
  <Lines>60</Lines>
  <Paragraphs>17</Paragraphs>
  <TotalTime>2</TotalTime>
  <ScaleCrop>false</ScaleCrop>
  <LinksUpToDate>false</LinksUpToDate>
  <CharactersWithSpaces>8561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2023-04-17T02:52:00Z</dcterms:created>
  <dc:creator>NTKO</dc:creator>
  <cp:lastModifiedBy>云采链-清</cp:lastModifiedBy>
  <cp:lastPrinted>2020-06-23T06:49:00Z</cp:lastPrinted>
  <dcterms:modified xsi:type="dcterms:W3CDTF">2024-04-25T09:13:54Z</dcterms:modified>
  <dc:title>s001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760604A132154088BA58FC99214157D8_13</vt:lpwstr>
  </property>
</Properties>
</file>